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77961F" w14:textId="77777777" w:rsidR="00F057DC" w:rsidRDefault="00F057DC" w:rsidP="008A7725">
      <w:pPr>
        <w:jc w:val="center"/>
        <w:rPr>
          <w:rFonts w:ascii="Andes" w:hAnsi="Andes"/>
          <w:b/>
          <w:color w:val="002060"/>
          <w:sz w:val="36"/>
          <w:szCs w:val="36"/>
        </w:rPr>
      </w:pPr>
      <w:bookmarkStart w:id="0" w:name="_Hlk191332194"/>
      <w:bookmarkEnd w:id="0"/>
      <w:r>
        <w:rPr>
          <w:noProof/>
        </w:rPr>
        <w:drawing>
          <wp:inline distT="0" distB="0" distL="0" distR="0" wp14:anchorId="4BF4F720" wp14:editId="3FF8C20D">
            <wp:extent cx="5943600" cy="444341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51577" cy="4449376"/>
                    </a:xfrm>
                    <a:prstGeom prst="rect">
                      <a:avLst/>
                    </a:prstGeom>
                  </pic:spPr>
                </pic:pic>
              </a:graphicData>
            </a:graphic>
          </wp:inline>
        </w:drawing>
      </w:r>
    </w:p>
    <w:p w14:paraId="134A6502" w14:textId="77C6D862" w:rsidR="00A86BDB" w:rsidRDefault="008A7725" w:rsidP="00F057DC">
      <w:pPr>
        <w:spacing w:before="240" w:after="0"/>
        <w:contextualSpacing w:val="0"/>
        <w:jc w:val="center"/>
        <w:rPr>
          <w:rFonts w:ascii="Andes" w:hAnsi="Andes"/>
          <w:b/>
          <w:color w:val="002060"/>
          <w:sz w:val="36"/>
          <w:szCs w:val="36"/>
        </w:rPr>
      </w:pPr>
      <w:r w:rsidRPr="001C0E94">
        <w:rPr>
          <w:rFonts w:ascii="Andes" w:hAnsi="Andes"/>
          <w:b/>
          <w:color w:val="002060"/>
          <w:sz w:val="36"/>
          <w:szCs w:val="36"/>
        </w:rPr>
        <w:t>PASSATION DES MARCHÉS DANS LE CADRE D</w:t>
      </w:r>
      <w:r w:rsidR="00CD4A00">
        <w:rPr>
          <w:rFonts w:ascii="Andes" w:hAnsi="Andes"/>
          <w:b/>
          <w:color w:val="002060"/>
          <w:sz w:val="36"/>
          <w:szCs w:val="36"/>
        </w:rPr>
        <w:t>U</w:t>
      </w:r>
      <w:r w:rsidRPr="001C0E94">
        <w:rPr>
          <w:rFonts w:ascii="Andes" w:hAnsi="Andes"/>
          <w:b/>
          <w:color w:val="002060"/>
          <w:sz w:val="36"/>
          <w:szCs w:val="36"/>
        </w:rPr>
        <w:t xml:space="preserve"> </w:t>
      </w:r>
    </w:p>
    <w:p w14:paraId="596FD1D0" w14:textId="154ECA97" w:rsidR="008A7725" w:rsidRPr="001C0E94" w:rsidRDefault="008A7725" w:rsidP="00F057DC">
      <w:pPr>
        <w:spacing w:before="0"/>
        <w:contextualSpacing w:val="0"/>
        <w:jc w:val="center"/>
        <w:rPr>
          <w:rFonts w:ascii="Andes" w:hAnsi="Andes"/>
          <w:b/>
          <w:color w:val="002060"/>
          <w:sz w:val="36"/>
          <w:szCs w:val="36"/>
        </w:rPr>
      </w:pPr>
      <w:r w:rsidRPr="00FB1AD5">
        <w:rPr>
          <w:rFonts w:ascii="Andes" w:hAnsi="Andes"/>
          <w:b/>
          <w:color w:val="002060"/>
          <w:sz w:val="36"/>
          <w:szCs w:val="36"/>
        </w:rPr>
        <w:t>FINANCEMENT DE PROJETS D’INVESTISSEMENT</w:t>
      </w:r>
    </w:p>
    <w:p w14:paraId="31D0ECDC" w14:textId="4A42F2D7" w:rsidR="008A7725" w:rsidRPr="007E298B" w:rsidRDefault="008A7725" w:rsidP="008A7725">
      <w:pPr>
        <w:spacing w:before="0" w:after="0" w:line="240" w:lineRule="auto"/>
        <w:jc w:val="center"/>
        <w:rPr>
          <w:rFonts w:ascii="Andes" w:hAnsi="Andes"/>
          <w:b/>
          <w:color w:val="002060"/>
          <w:sz w:val="40"/>
          <w:szCs w:val="40"/>
        </w:rPr>
      </w:pPr>
      <w:r w:rsidRPr="007E298B">
        <w:rPr>
          <w:rFonts w:ascii="Andes" w:hAnsi="Andes"/>
          <w:b/>
          <w:color w:val="002060"/>
          <w:sz w:val="40"/>
          <w:szCs w:val="40"/>
        </w:rPr>
        <w:t>Fournitures, Travaux, Services Autres que des Services de Consultants et Services de Consultants</w:t>
      </w:r>
    </w:p>
    <w:p w14:paraId="371B74A9" w14:textId="1F4767F6" w:rsidR="008A7725" w:rsidRPr="00636C10" w:rsidRDefault="008A7725" w:rsidP="008A7725">
      <w:pPr>
        <w:spacing w:before="0" w:after="0" w:line="240" w:lineRule="auto"/>
        <w:jc w:val="center"/>
        <w:rPr>
          <w:rFonts w:ascii="Andes" w:hAnsi="Andes"/>
          <w:b/>
          <w:color w:val="002060"/>
          <w:sz w:val="32"/>
          <w:szCs w:val="32"/>
        </w:rPr>
      </w:pPr>
    </w:p>
    <w:p w14:paraId="58A26106" w14:textId="4881DB10" w:rsidR="00EF4776" w:rsidRPr="009F1E48" w:rsidRDefault="00002127" w:rsidP="008A7725">
      <w:pPr>
        <w:spacing w:before="0" w:after="0" w:line="240" w:lineRule="auto"/>
        <w:jc w:val="center"/>
        <w:rPr>
          <w:rFonts w:ascii="Andes" w:hAnsi="Andes"/>
          <w:b/>
          <w:color w:val="002060"/>
          <w:szCs w:val="24"/>
        </w:rPr>
      </w:pPr>
      <w:r>
        <w:rPr>
          <w:rFonts w:ascii="Andes" w:hAnsi="Andes"/>
          <w:b/>
          <w:color w:val="002060"/>
          <w:szCs w:val="24"/>
        </w:rPr>
        <w:t>Sixième</w:t>
      </w:r>
      <w:r w:rsidRPr="009F1E48">
        <w:rPr>
          <w:rFonts w:ascii="Andes" w:hAnsi="Andes"/>
          <w:b/>
          <w:color w:val="002060"/>
          <w:szCs w:val="24"/>
        </w:rPr>
        <w:t xml:space="preserve"> </w:t>
      </w:r>
      <w:r w:rsidR="00EF4776" w:rsidRPr="009F1E48">
        <w:rPr>
          <w:rFonts w:ascii="Andes" w:hAnsi="Andes"/>
          <w:b/>
          <w:color w:val="002060"/>
          <w:szCs w:val="24"/>
        </w:rPr>
        <w:t>Edition</w:t>
      </w:r>
    </w:p>
    <w:p w14:paraId="3B656977" w14:textId="66CA1606" w:rsidR="00EF4776" w:rsidRDefault="002D2FA5" w:rsidP="000F36BD">
      <w:pPr>
        <w:spacing w:before="0" w:after="0" w:line="240" w:lineRule="auto"/>
        <w:jc w:val="center"/>
        <w:rPr>
          <w:rFonts w:ascii="Andes" w:hAnsi="Andes"/>
          <w:b/>
          <w:color w:val="002060"/>
          <w:szCs w:val="24"/>
        </w:rPr>
      </w:pPr>
      <w:r>
        <w:rPr>
          <w:rFonts w:ascii="Andes" w:hAnsi="Andes"/>
          <w:b/>
          <w:color w:val="002060"/>
          <w:szCs w:val="24"/>
        </w:rPr>
        <w:t xml:space="preserve">Février </w:t>
      </w:r>
      <w:r w:rsidR="00EF4776" w:rsidRPr="009F1E48">
        <w:rPr>
          <w:rFonts w:ascii="Andes" w:hAnsi="Andes"/>
          <w:b/>
          <w:color w:val="002060"/>
          <w:szCs w:val="24"/>
        </w:rPr>
        <w:t>202</w:t>
      </w:r>
      <w:r>
        <w:rPr>
          <w:rFonts w:ascii="Andes" w:hAnsi="Andes"/>
          <w:b/>
          <w:color w:val="002060"/>
          <w:szCs w:val="24"/>
        </w:rPr>
        <w:t>5</w:t>
      </w:r>
      <w:r w:rsidR="008A7725" w:rsidRPr="009F1E48">
        <w:rPr>
          <w:rFonts w:ascii="Andes" w:hAnsi="Andes"/>
          <w:b/>
          <w:color w:val="002060"/>
          <w:szCs w:val="24"/>
        </w:rPr>
        <w:t xml:space="preserve"> </w:t>
      </w:r>
    </w:p>
    <w:p w14:paraId="3A12A17E" w14:textId="77CA286D" w:rsidR="009F1E48" w:rsidRDefault="009F1E48" w:rsidP="000F36BD">
      <w:pPr>
        <w:spacing w:before="0" w:after="0" w:line="240" w:lineRule="auto"/>
        <w:jc w:val="center"/>
        <w:rPr>
          <w:rFonts w:ascii="Andes" w:hAnsi="Andes"/>
          <w:b/>
          <w:color w:val="002060"/>
          <w:szCs w:val="24"/>
        </w:rPr>
      </w:pPr>
    </w:p>
    <w:p w14:paraId="217DCCA5" w14:textId="77777777" w:rsidR="009F1E48" w:rsidRPr="009F1E48" w:rsidRDefault="009F1E48" w:rsidP="000F36BD">
      <w:pPr>
        <w:spacing w:before="0" w:after="0" w:line="240" w:lineRule="auto"/>
        <w:jc w:val="center"/>
        <w:rPr>
          <w:rFonts w:ascii="Andes" w:hAnsi="Andes"/>
          <w:b/>
          <w:color w:val="002060"/>
          <w:sz w:val="20"/>
        </w:rPr>
      </w:pPr>
    </w:p>
    <w:p w14:paraId="6942AB48" w14:textId="6CA43068" w:rsidR="008A7725" w:rsidRDefault="008A7725" w:rsidP="000F36BD">
      <w:pPr>
        <w:spacing w:before="0" w:after="0" w:line="240" w:lineRule="auto"/>
        <w:jc w:val="center"/>
        <w:rPr>
          <w:rFonts w:ascii="Andes" w:eastAsiaTheme="minorEastAsia" w:hAnsi="Andes" w:cs="Arial"/>
          <w:sz w:val="18"/>
          <w:szCs w:val="18"/>
          <w:highlight w:val="yellow"/>
        </w:rPr>
      </w:pPr>
      <w:r>
        <w:rPr>
          <w:rFonts w:ascii="Andes" w:eastAsiaTheme="minorHAnsi" w:hAnsi="Andes"/>
          <w:b/>
          <w:noProof/>
          <w:color w:val="98252B"/>
          <w:lang w:val="en-US"/>
        </w:rPr>
        <mc:AlternateContent>
          <mc:Choice Requires="wps">
            <w:drawing>
              <wp:anchor distT="0" distB="0" distL="114300" distR="114300" simplePos="0" relativeHeight="251698176" behindDoc="0" locked="0" layoutInCell="1" allowOverlap="1" wp14:anchorId="60645056" wp14:editId="65A29E07">
                <wp:simplePos x="0" y="0"/>
                <wp:positionH relativeFrom="page">
                  <wp:posOffset>489585</wp:posOffset>
                </wp:positionH>
                <wp:positionV relativeFrom="paragraph">
                  <wp:posOffset>7793355</wp:posOffset>
                </wp:positionV>
                <wp:extent cx="6982460" cy="1080770"/>
                <wp:effectExtent l="0" t="0" r="8890" b="5080"/>
                <wp:wrapNone/>
                <wp:docPr id="5" name="Rectangle 5"/>
                <wp:cNvGraphicFramePr/>
                <a:graphic xmlns:a="http://schemas.openxmlformats.org/drawingml/2006/main">
                  <a:graphicData uri="http://schemas.microsoft.com/office/word/2010/wordprocessingShape">
                    <wps:wsp>
                      <wps:cNvSpPr/>
                      <wps:spPr>
                        <a:xfrm>
                          <a:off x="0" y="0"/>
                          <a:ext cx="6982460" cy="108077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D09632" w14:textId="77777777" w:rsidR="00A41794" w:rsidRDefault="00A41794" w:rsidP="008A7725">
                            <w:pPr>
                              <w:shd w:val="clear" w:color="auto" w:fill="002060"/>
                              <w:spacing w:before="0" w:after="0" w:line="240" w:lineRule="auto"/>
                              <w:ind w:left="-547" w:right="-634"/>
                              <w:contextualSpacing w:val="0"/>
                              <w:jc w:val="center"/>
                              <w:rPr>
                                <w:rFonts w:ascii="Andes" w:eastAsiaTheme="minorHAnsi" w:hAnsi="Andes" w:cs="Arial"/>
                                <w:b/>
                                <w:color w:val="FFFFFF" w:themeColor="background1"/>
                                <w:sz w:val="20"/>
                              </w:rPr>
                            </w:pPr>
                          </w:p>
                          <w:p w14:paraId="6A1EF865" w14:textId="77777777" w:rsidR="00A41794" w:rsidRPr="00B1581D" w:rsidRDefault="00A41794" w:rsidP="008A7725">
                            <w:pPr>
                              <w:shd w:val="clear" w:color="auto" w:fill="002060"/>
                              <w:spacing w:before="0" w:after="0" w:line="240" w:lineRule="auto"/>
                              <w:ind w:left="-72" w:right="-144"/>
                              <w:contextualSpacing w:val="0"/>
                              <w:jc w:val="center"/>
                              <w:rPr>
                                <w:rFonts w:ascii="Andes" w:eastAsiaTheme="minorHAnsi" w:hAnsi="Andes" w:cs="Arial"/>
                                <w:b/>
                                <w:color w:val="FFFFFF" w:themeColor="background1"/>
                                <w:sz w:val="56"/>
                                <w:szCs w:val="56"/>
                              </w:rPr>
                            </w:pPr>
                            <w:r w:rsidRPr="00B1581D">
                              <w:rPr>
                                <w:rFonts w:ascii="Andes" w:eastAsiaTheme="minorHAnsi" w:hAnsi="Andes"/>
                                <w:b/>
                                <w:color w:val="FFFFFF" w:themeColor="background1"/>
                                <w:sz w:val="56"/>
                              </w:rPr>
                              <w:t>BANQUE MONDIALE</w:t>
                            </w:r>
                          </w:p>
                          <w:p w14:paraId="412C1AD3" w14:textId="77777777" w:rsidR="00A41794" w:rsidRPr="00B1581D" w:rsidRDefault="00A41794" w:rsidP="008A7725">
                            <w:pPr>
                              <w:shd w:val="clear" w:color="auto" w:fill="002060"/>
                              <w:spacing w:before="0" w:after="0" w:line="240" w:lineRule="auto"/>
                              <w:ind w:left="-68" w:right="-141"/>
                              <w:contextualSpacing w:val="0"/>
                              <w:jc w:val="center"/>
                              <w:rPr>
                                <w:rFonts w:ascii="Andes" w:eastAsiaTheme="minorHAnsi" w:hAnsi="Andes" w:cs="Arial"/>
                                <w:b/>
                                <w:color w:val="FFFFFF" w:themeColor="background1"/>
                                <w:sz w:val="44"/>
                                <w:szCs w:val="44"/>
                              </w:rPr>
                            </w:pPr>
                            <w:r w:rsidRPr="00B1581D">
                              <w:rPr>
                                <w:rFonts w:ascii="Andes" w:eastAsiaTheme="minorHAnsi" w:hAnsi="Andes"/>
                                <w:b/>
                                <w:color w:val="FFFFFF" w:themeColor="background1"/>
                                <w:sz w:val="44"/>
                              </w:rPr>
                              <w:t>Règlement de Passation des Marchés pour les Emprunteurs sollicitant un FPI</w:t>
                            </w:r>
                          </w:p>
                          <w:p w14:paraId="540DEC37" w14:textId="77777777" w:rsidR="00A41794" w:rsidRPr="00B1581D" w:rsidRDefault="00A41794" w:rsidP="008A7725">
                            <w:pPr>
                              <w:shd w:val="clear" w:color="auto" w:fill="0020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45056" id="Rectangle 5" o:spid="_x0000_s1026" style="position:absolute;left:0;text-align:left;margin-left:38.55pt;margin-top:613.65pt;width:549.8pt;height:85.1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" fillcolor="#002060" stroked="f" strokeweight="2pt">
                <v:textbox>
                  <w:txbxContent>
                    <w:p w14:paraId="71D09632" w14:textId="77777777" w:rsidR="00A41794" w:rsidRDefault="00A41794" w:rsidP="008A7725">
                      <w:pPr>
                        <w:shd w:val="clear" w:color="auto" w:fill="002060"/>
                        <w:spacing w:before="0" w:after="0" w:line="240" w:lineRule="auto"/>
                        <w:ind w:left="-547" w:right="-634"/>
                        <w:contextualSpacing w:val="0"/>
                        <w:jc w:val="center"/>
                        <w:rPr>
                          <w:rFonts w:ascii="Andes" w:eastAsiaTheme="minorHAnsi" w:hAnsi="Andes" w:cs="Arial"/>
                          <w:b/>
                          <w:color w:val="FFFFFF" w:themeColor="background1"/>
                          <w:sz w:val="20"/>
                        </w:rPr>
                      </w:pPr>
                    </w:p>
                    <w:p w14:paraId="6A1EF865" w14:textId="77777777" w:rsidR="00A41794" w:rsidRPr="00B1581D" w:rsidRDefault="00A41794" w:rsidP="008A7725">
                      <w:pPr>
                        <w:shd w:val="clear" w:color="auto" w:fill="002060"/>
                        <w:spacing w:before="0" w:after="0" w:line="240" w:lineRule="auto"/>
                        <w:ind w:left="-72" w:right="-144"/>
                        <w:contextualSpacing w:val="0"/>
                        <w:jc w:val="center"/>
                        <w:rPr>
                          <w:rFonts w:ascii="Andes" w:eastAsiaTheme="minorHAnsi" w:hAnsi="Andes" w:cs="Arial"/>
                          <w:b/>
                          <w:color w:val="FFFFFF" w:themeColor="background1"/>
                          <w:sz w:val="56"/>
                          <w:szCs w:val="56"/>
                        </w:rPr>
                      </w:pPr>
                      <w:r w:rsidRPr="00B1581D">
                        <w:rPr>
                          <w:rFonts w:ascii="Andes" w:eastAsiaTheme="minorHAnsi" w:hAnsi="Andes"/>
                          <w:b/>
                          <w:color w:val="FFFFFF" w:themeColor="background1"/>
                          <w:sz w:val="56"/>
                        </w:rPr>
                        <w:t>BANQUE MONDIALE</w:t>
                      </w:r>
                    </w:p>
                    <w:p w14:paraId="412C1AD3" w14:textId="77777777" w:rsidR="00A41794" w:rsidRPr="00B1581D" w:rsidRDefault="00A41794" w:rsidP="008A7725">
                      <w:pPr>
                        <w:shd w:val="clear" w:color="auto" w:fill="002060"/>
                        <w:spacing w:before="0" w:after="0" w:line="240" w:lineRule="auto"/>
                        <w:ind w:left="-68" w:right="-141"/>
                        <w:contextualSpacing w:val="0"/>
                        <w:jc w:val="center"/>
                        <w:rPr>
                          <w:rFonts w:ascii="Andes" w:eastAsiaTheme="minorHAnsi" w:hAnsi="Andes" w:cs="Arial"/>
                          <w:b/>
                          <w:color w:val="FFFFFF" w:themeColor="background1"/>
                          <w:sz w:val="44"/>
                          <w:szCs w:val="44"/>
                        </w:rPr>
                      </w:pPr>
                      <w:r w:rsidRPr="00B1581D">
                        <w:rPr>
                          <w:rFonts w:ascii="Andes" w:eastAsiaTheme="minorHAnsi" w:hAnsi="Andes"/>
                          <w:b/>
                          <w:color w:val="FFFFFF" w:themeColor="background1"/>
                          <w:sz w:val="44"/>
                        </w:rPr>
                        <w:t>Règlement de Passation des Marchés pour les Emprunteurs sollicitant un FPI</w:t>
                      </w:r>
                    </w:p>
                    <w:p w14:paraId="540DEC37" w14:textId="77777777" w:rsidR="00A41794" w:rsidRPr="00B1581D" w:rsidRDefault="00A41794" w:rsidP="008A7725">
                      <w:pPr>
                        <w:shd w:val="clear" w:color="auto" w:fill="002060"/>
                        <w:jc w:val="center"/>
                      </w:pPr>
                    </w:p>
                  </w:txbxContent>
                </v:textbox>
                <w10:wrap anchorx="page"/>
              </v:rect>
            </w:pict>
          </mc:Fallback>
        </mc:AlternateContent>
      </w:r>
      <w:r>
        <w:rPr>
          <w:rFonts w:ascii="Andes" w:eastAsiaTheme="minorEastAsia" w:hAnsi="Andes" w:cs="Arial"/>
          <w:noProof/>
          <w:sz w:val="18"/>
          <w:szCs w:val="18"/>
          <w:lang w:val="en-US"/>
        </w:rPr>
        <w:drawing>
          <wp:inline distT="0" distB="0" distL="0" distR="0" wp14:anchorId="35753758" wp14:editId="2A955C32">
            <wp:extent cx="2538374" cy="657670"/>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bank.png"/>
                    <pic:cNvPicPr/>
                  </pic:nvPicPr>
                  <pic:blipFill>
                    <a:blip r:embed="rId12">
                      <a:extLst>
                        <a:ext uri="{28A0092B-C50C-407E-A947-70E740481C1C}">
                          <a14:useLocalDpi xmlns:a14="http://schemas.microsoft.com/office/drawing/2010/main" val="0"/>
                        </a:ext>
                      </a:extLst>
                    </a:blip>
                    <a:stretch>
                      <a:fillRect/>
                    </a:stretch>
                  </pic:blipFill>
                  <pic:spPr>
                    <a:xfrm>
                      <a:off x="0" y="0"/>
                      <a:ext cx="2555190" cy="662027"/>
                    </a:xfrm>
                    <a:prstGeom prst="rect">
                      <a:avLst/>
                    </a:prstGeom>
                  </pic:spPr>
                </pic:pic>
              </a:graphicData>
            </a:graphic>
          </wp:inline>
        </w:drawing>
      </w:r>
    </w:p>
    <w:p w14:paraId="74DC5DB1" w14:textId="45033D12" w:rsidR="00C00E7F" w:rsidRDefault="00C00E7F" w:rsidP="003C30CC">
      <w:pPr>
        <w:spacing w:before="0" w:after="0" w:line="240" w:lineRule="auto"/>
        <w:contextualSpacing w:val="0"/>
        <w:rPr>
          <w:rFonts w:ascii="Andes" w:hAnsi="Andes"/>
          <w:bCs/>
          <w:color w:val="002060"/>
          <w:szCs w:val="24"/>
        </w:rPr>
      </w:pPr>
    </w:p>
    <w:p w14:paraId="284AB96D" w14:textId="55B854ED" w:rsidR="00C00E7F" w:rsidRDefault="00C00E7F" w:rsidP="003C30CC">
      <w:pPr>
        <w:spacing w:before="0" w:after="0" w:line="240" w:lineRule="auto"/>
        <w:contextualSpacing w:val="0"/>
        <w:rPr>
          <w:rFonts w:ascii="Andes" w:hAnsi="Andes"/>
          <w:bCs/>
          <w:color w:val="002060"/>
          <w:szCs w:val="24"/>
        </w:rPr>
      </w:pPr>
    </w:p>
    <w:p w14:paraId="1B9EE922" w14:textId="63761EBC" w:rsidR="00C00E7F" w:rsidRDefault="00C00E7F" w:rsidP="003C30CC">
      <w:pPr>
        <w:spacing w:before="0" w:after="0" w:line="240" w:lineRule="auto"/>
        <w:contextualSpacing w:val="0"/>
        <w:rPr>
          <w:rFonts w:ascii="Andes" w:hAnsi="Andes"/>
          <w:bCs/>
          <w:color w:val="002060"/>
          <w:szCs w:val="24"/>
        </w:rPr>
      </w:pPr>
    </w:p>
    <w:p w14:paraId="4585FE58" w14:textId="48FE5C88" w:rsidR="00C00E7F" w:rsidRDefault="00C00E7F" w:rsidP="003C30CC">
      <w:pPr>
        <w:spacing w:before="0" w:after="0" w:line="240" w:lineRule="auto"/>
        <w:contextualSpacing w:val="0"/>
        <w:rPr>
          <w:rFonts w:ascii="Andes" w:hAnsi="Andes"/>
          <w:bCs/>
          <w:color w:val="002060"/>
          <w:szCs w:val="24"/>
        </w:rPr>
      </w:pPr>
    </w:p>
    <w:p w14:paraId="6130B867" w14:textId="7A63EB05" w:rsidR="00C00E7F" w:rsidRDefault="00C00E7F" w:rsidP="003C30CC">
      <w:pPr>
        <w:spacing w:before="0" w:after="0" w:line="240" w:lineRule="auto"/>
        <w:contextualSpacing w:val="0"/>
        <w:rPr>
          <w:rFonts w:ascii="Andes" w:hAnsi="Andes"/>
          <w:bCs/>
          <w:color w:val="002060"/>
          <w:szCs w:val="24"/>
        </w:rPr>
      </w:pPr>
    </w:p>
    <w:p w14:paraId="663C1D38" w14:textId="2B39D7AB" w:rsidR="008A4717" w:rsidRDefault="008A4717" w:rsidP="003C30CC">
      <w:pPr>
        <w:spacing w:before="0" w:after="0" w:line="240" w:lineRule="auto"/>
        <w:contextualSpacing w:val="0"/>
        <w:rPr>
          <w:rFonts w:ascii="Andes" w:hAnsi="Andes"/>
          <w:bCs/>
          <w:color w:val="002060"/>
          <w:szCs w:val="24"/>
        </w:rPr>
      </w:pPr>
    </w:p>
    <w:p w14:paraId="65138B4B" w14:textId="39D3A3B9" w:rsidR="008A4717" w:rsidRDefault="008A4717" w:rsidP="003C30CC">
      <w:pPr>
        <w:spacing w:before="0" w:after="0" w:line="240" w:lineRule="auto"/>
        <w:contextualSpacing w:val="0"/>
        <w:rPr>
          <w:rFonts w:ascii="Andes" w:hAnsi="Andes"/>
          <w:bCs/>
          <w:color w:val="002060"/>
          <w:szCs w:val="24"/>
        </w:rPr>
      </w:pPr>
    </w:p>
    <w:p w14:paraId="073CC421" w14:textId="413CEA40" w:rsidR="008A4717" w:rsidRDefault="008A4717" w:rsidP="003C30CC">
      <w:pPr>
        <w:spacing w:before="0" w:after="0" w:line="240" w:lineRule="auto"/>
        <w:contextualSpacing w:val="0"/>
        <w:rPr>
          <w:rFonts w:ascii="Andes" w:hAnsi="Andes"/>
          <w:bCs/>
          <w:color w:val="002060"/>
          <w:szCs w:val="24"/>
        </w:rPr>
      </w:pPr>
    </w:p>
    <w:p w14:paraId="58F35EEF" w14:textId="15FEB662" w:rsidR="008A4717" w:rsidRDefault="008A4717" w:rsidP="003C30CC">
      <w:pPr>
        <w:spacing w:before="0" w:after="0" w:line="240" w:lineRule="auto"/>
        <w:contextualSpacing w:val="0"/>
        <w:rPr>
          <w:rFonts w:ascii="Andes" w:hAnsi="Andes"/>
          <w:bCs/>
          <w:color w:val="002060"/>
          <w:szCs w:val="24"/>
        </w:rPr>
      </w:pPr>
    </w:p>
    <w:p w14:paraId="67A78B91" w14:textId="21A21BD6" w:rsidR="008A4717" w:rsidRDefault="008A4717" w:rsidP="003C30CC">
      <w:pPr>
        <w:spacing w:before="0" w:after="0" w:line="240" w:lineRule="auto"/>
        <w:contextualSpacing w:val="0"/>
        <w:rPr>
          <w:rFonts w:ascii="Andes" w:hAnsi="Andes"/>
          <w:bCs/>
          <w:color w:val="002060"/>
          <w:szCs w:val="24"/>
        </w:rPr>
      </w:pPr>
    </w:p>
    <w:p w14:paraId="63129245" w14:textId="5A823D60" w:rsidR="008A4717" w:rsidRDefault="008A4717" w:rsidP="003C30CC">
      <w:pPr>
        <w:spacing w:before="0" w:after="0" w:line="240" w:lineRule="auto"/>
        <w:contextualSpacing w:val="0"/>
        <w:rPr>
          <w:rFonts w:ascii="Andes" w:hAnsi="Andes"/>
          <w:bCs/>
          <w:color w:val="002060"/>
          <w:szCs w:val="24"/>
        </w:rPr>
      </w:pPr>
    </w:p>
    <w:p w14:paraId="517983AF" w14:textId="67FA46A4" w:rsidR="008A4717" w:rsidRDefault="008A4717" w:rsidP="003C30CC">
      <w:pPr>
        <w:spacing w:before="0" w:after="0" w:line="240" w:lineRule="auto"/>
        <w:contextualSpacing w:val="0"/>
        <w:rPr>
          <w:rFonts w:ascii="Andes" w:hAnsi="Andes"/>
          <w:bCs/>
          <w:color w:val="002060"/>
          <w:szCs w:val="24"/>
        </w:rPr>
      </w:pPr>
    </w:p>
    <w:p w14:paraId="0774F592" w14:textId="2CFD9C69" w:rsidR="00FB165B" w:rsidRDefault="00FB165B" w:rsidP="003C30CC">
      <w:pPr>
        <w:spacing w:before="0" w:after="0" w:line="240" w:lineRule="auto"/>
        <w:contextualSpacing w:val="0"/>
        <w:rPr>
          <w:rFonts w:ascii="Andes" w:hAnsi="Andes"/>
          <w:bCs/>
          <w:color w:val="002060"/>
          <w:szCs w:val="24"/>
        </w:rPr>
      </w:pPr>
    </w:p>
    <w:p w14:paraId="18662EBB" w14:textId="231B7375" w:rsidR="00FB165B" w:rsidRDefault="00FB165B" w:rsidP="003C30CC">
      <w:pPr>
        <w:spacing w:before="0" w:after="0" w:line="240" w:lineRule="auto"/>
        <w:contextualSpacing w:val="0"/>
        <w:rPr>
          <w:rFonts w:ascii="Andes" w:hAnsi="Andes"/>
          <w:bCs/>
          <w:color w:val="002060"/>
          <w:szCs w:val="24"/>
        </w:rPr>
      </w:pPr>
    </w:p>
    <w:p w14:paraId="6F2919D5" w14:textId="16D0E16A" w:rsidR="00FB165B" w:rsidRDefault="00FB165B" w:rsidP="003C30CC">
      <w:pPr>
        <w:spacing w:before="0" w:after="0" w:line="240" w:lineRule="auto"/>
        <w:contextualSpacing w:val="0"/>
        <w:rPr>
          <w:rFonts w:ascii="Andes" w:hAnsi="Andes"/>
          <w:bCs/>
          <w:color w:val="002060"/>
          <w:szCs w:val="24"/>
        </w:rPr>
      </w:pPr>
    </w:p>
    <w:p w14:paraId="1401093D" w14:textId="06CC2987" w:rsidR="00FB165B" w:rsidRDefault="00FB165B" w:rsidP="003C30CC">
      <w:pPr>
        <w:spacing w:before="0" w:after="0" w:line="240" w:lineRule="auto"/>
        <w:contextualSpacing w:val="0"/>
        <w:rPr>
          <w:rFonts w:ascii="Andes" w:hAnsi="Andes"/>
          <w:bCs/>
          <w:color w:val="002060"/>
          <w:szCs w:val="24"/>
        </w:rPr>
      </w:pPr>
    </w:p>
    <w:p w14:paraId="6161D4A4" w14:textId="77777777" w:rsidR="00FB165B" w:rsidRDefault="00FB165B" w:rsidP="003C30CC">
      <w:pPr>
        <w:spacing w:before="0" w:after="0" w:line="240" w:lineRule="auto"/>
        <w:contextualSpacing w:val="0"/>
        <w:rPr>
          <w:rFonts w:ascii="Andes" w:hAnsi="Andes"/>
          <w:bCs/>
          <w:color w:val="002060"/>
          <w:szCs w:val="24"/>
        </w:rPr>
      </w:pPr>
    </w:p>
    <w:p w14:paraId="32CBF8D3" w14:textId="56158148" w:rsidR="008A4717" w:rsidRDefault="008A4717" w:rsidP="003C30CC">
      <w:pPr>
        <w:spacing w:before="0" w:after="0" w:line="240" w:lineRule="auto"/>
        <w:contextualSpacing w:val="0"/>
        <w:rPr>
          <w:rFonts w:ascii="Andes" w:hAnsi="Andes"/>
          <w:bCs/>
          <w:color w:val="002060"/>
          <w:szCs w:val="24"/>
        </w:rPr>
      </w:pPr>
    </w:p>
    <w:p w14:paraId="120D7DB4" w14:textId="77777777" w:rsidR="008A4717" w:rsidRDefault="008A4717" w:rsidP="003C30CC">
      <w:pPr>
        <w:spacing w:before="0" w:after="0" w:line="240" w:lineRule="auto"/>
        <w:contextualSpacing w:val="0"/>
        <w:rPr>
          <w:rFonts w:ascii="Andes" w:hAnsi="Andes"/>
          <w:bCs/>
          <w:color w:val="002060"/>
          <w:szCs w:val="24"/>
        </w:rPr>
      </w:pPr>
    </w:p>
    <w:p w14:paraId="387F194D" w14:textId="77777777" w:rsidR="00C00E7F" w:rsidRDefault="00C00E7F" w:rsidP="003C30CC">
      <w:pPr>
        <w:spacing w:before="0" w:after="0" w:line="240" w:lineRule="auto"/>
        <w:contextualSpacing w:val="0"/>
        <w:rPr>
          <w:rFonts w:ascii="Andes" w:hAnsi="Andes"/>
          <w:bCs/>
          <w:color w:val="002060"/>
          <w:szCs w:val="24"/>
        </w:rPr>
      </w:pPr>
    </w:p>
    <w:p w14:paraId="10E2C377" w14:textId="667155D0" w:rsidR="00C00E7F" w:rsidRDefault="00C00E7F" w:rsidP="003C30CC">
      <w:pPr>
        <w:spacing w:before="0" w:after="0" w:line="240" w:lineRule="auto"/>
        <w:contextualSpacing w:val="0"/>
        <w:rPr>
          <w:rFonts w:ascii="Andes" w:hAnsi="Andes"/>
          <w:bCs/>
          <w:color w:val="002060"/>
          <w:szCs w:val="24"/>
        </w:rPr>
      </w:pPr>
    </w:p>
    <w:p w14:paraId="24F60580" w14:textId="77777777" w:rsidR="00C00E7F" w:rsidRDefault="00C00E7F" w:rsidP="003C30CC">
      <w:pPr>
        <w:spacing w:before="0" w:after="0" w:line="240" w:lineRule="auto"/>
        <w:contextualSpacing w:val="0"/>
        <w:rPr>
          <w:rFonts w:ascii="Andes" w:hAnsi="Andes"/>
          <w:bCs/>
          <w:color w:val="002060"/>
          <w:szCs w:val="24"/>
        </w:rPr>
      </w:pPr>
    </w:p>
    <w:p w14:paraId="55444EC9" w14:textId="388F518F" w:rsidR="00C00E7F" w:rsidRDefault="00C00E7F" w:rsidP="003C30CC">
      <w:pPr>
        <w:spacing w:before="0" w:after="0" w:line="240" w:lineRule="auto"/>
        <w:contextualSpacing w:val="0"/>
        <w:rPr>
          <w:rFonts w:ascii="Andes" w:hAnsi="Andes"/>
          <w:bCs/>
          <w:color w:val="002060"/>
          <w:szCs w:val="24"/>
        </w:rPr>
      </w:pPr>
    </w:p>
    <w:p w14:paraId="6D389AF0" w14:textId="77777777" w:rsidR="00C00E7F" w:rsidRDefault="00C00E7F" w:rsidP="003C30CC">
      <w:pPr>
        <w:spacing w:before="0" w:after="0" w:line="240" w:lineRule="auto"/>
        <w:contextualSpacing w:val="0"/>
        <w:rPr>
          <w:rFonts w:ascii="Andes" w:hAnsi="Andes"/>
          <w:bCs/>
          <w:color w:val="002060"/>
          <w:szCs w:val="24"/>
        </w:rPr>
      </w:pPr>
    </w:p>
    <w:p w14:paraId="6ED9D7D0" w14:textId="363938C1" w:rsidR="00C00E7F" w:rsidRDefault="00C00E7F" w:rsidP="003C30CC">
      <w:pPr>
        <w:spacing w:before="0" w:after="0" w:line="240" w:lineRule="auto"/>
        <w:contextualSpacing w:val="0"/>
        <w:rPr>
          <w:rFonts w:ascii="Andes" w:hAnsi="Andes"/>
          <w:bCs/>
          <w:color w:val="002060"/>
          <w:szCs w:val="24"/>
        </w:rPr>
      </w:pPr>
    </w:p>
    <w:p w14:paraId="4C43170F" w14:textId="77777777" w:rsidR="00C00E7F" w:rsidRDefault="00C00E7F" w:rsidP="003C30CC">
      <w:pPr>
        <w:spacing w:before="0" w:after="0" w:line="240" w:lineRule="auto"/>
        <w:contextualSpacing w:val="0"/>
        <w:rPr>
          <w:rFonts w:ascii="Andes" w:hAnsi="Andes"/>
          <w:bCs/>
          <w:color w:val="002060"/>
          <w:szCs w:val="24"/>
        </w:rPr>
      </w:pPr>
    </w:p>
    <w:p w14:paraId="067AA791" w14:textId="177CB106" w:rsidR="008611E1" w:rsidRPr="00882278" w:rsidRDefault="008611E1" w:rsidP="003C30CC">
      <w:pPr>
        <w:spacing w:before="0" w:after="0" w:line="240" w:lineRule="auto"/>
        <w:contextualSpacing w:val="0"/>
        <w:rPr>
          <w:rFonts w:ascii="Andes" w:hAnsi="Andes"/>
          <w:bCs/>
          <w:color w:val="002060"/>
          <w:sz w:val="18"/>
          <w:szCs w:val="18"/>
        </w:rPr>
      </w:pPr>
      <w:r w:rsidRPr="00882278">
        <w:rPr>
          <w:rFonts w:ascii="Andes" w:hAnsi="Andes"/>
          <w:bCs/>
          <w:color w:val="002060"/>
          <w:sz w:val="18"/>
          <w:szCs w:val="18"/>
        </w:rPr>
        <w:t>Première Publication – Juillet 2016</w:t>
      </w:r>
    </w:p>
    <w:p w14:paraId="3DB1D8E0" w14:textId="083A4021" w:rsidR="008A7725" w:rsidRPr="00882278" w:rsidRDefault="008611E1" w:rsidP="005E65E6">
      <w:pPr>
        <w:autoSpaceDE w:val="0"/>
        <w:autoSpaceDN w:val="0"/>
        <w:adjustRightInd w:val="0"/>
        <w:spacing w:before="0" w:after="0" w:line="240" w:lineRule="auto"/>
        <w:contextualSpacing w:val="0"/>
        <w:jc w:val="left"/>
        <w:rPr>
          <w:rFonts w:ascii="Andes" w:hAnsi="Andes"/>
          <w:bCs/>
          <w:color w:val="002060"/>
          <w:sz w:val="18"/>
          <w:szCs w:val="18"/>
        </w:rPr>
      </w:pPr>
      <w:r w:rsidRPr="00882278">
        <w:rPr>
          <w:rFonts w:ascii="Andes" w:hAnsi="Andes"/>
          <w:bCs/>
          <w:color w:val="002060"/>
          <w:sz w:val="18"/>
          <w:szCs w:val="18"/>
        </w:rPr>
        <w:t>Seconde Edition – Novembre 2017</w:t>
      </w:r>
    </w:p>
    <w:p w14:paraId="3DBAD85A" w14:textId="73B6C656" w:rsidR="008611E1" w:rsidRPr="00882278" w:rsidRDefault="008611E1" w:rsidP="005E65E6">
      <w:pPr>
        <w:autoSpaceDE w:val="0"/>
        <w:autoSpaceDN w:val="0"/>
        <w:adjustRightInd w:val="0"/>
        <w:spacing w:before="0" w:after="0" w:line="240" w:lineRule="auto"/>
        <w:contextualSpacing w:val="0"/>
        <w:jc w:val="left"/>
        <w:rPr>
          <w:rFonts w:ascii="Andes" w:hAnsi="Andes"/>
          <w:bCs/>
          <w:color w:val="002060"/>
          <w:sz w:val="18"/>
          <w:szCs w:val="18"/>
        </w:rPr>
      </w:pPr>
      <w:r w:rsidRPr="00882278">
        <w:rPr>
          <w:rFonts w:ascii="Andes" w:hAnsi="Andes"/>
          <w:bCs/>
          <w:color w:val="002060"/>
          <w:sz w:val="18"/>
          <w:szCs w:val="18"/>
        </w:rPr>
        <w:t>Troisième Edition – Juillet 2018</w:t>
      </w:r>
    </w:p>
    <w:p w14:paraId="45E3C2FC" w14:textId="27D0E7E7" w:rsidR="008611E1" w:rsidRPr="00882278" w:rsidRDefault="008611E1" w:rsidP="005E65E6">
      <w:pPr>
        <w:autoSpaceDE w:val="0"/>
        <w:autoSpaceDN w:val="0"/>
        <w:adjustRightInd w:val="0"/>
        <w:spacing w:before="0" w:after="0" w:line="240" w:lineRule="auto"/>
        <w:contextualSpacing w:val="0"/>
        <w:jc w:val="left"/>
        <w:rPr>
          <w:rFonts w:ascii="Andes" w:hAnsi="Andes"/>
          <w:bCs/>
          <w:color w:val="002060"/>
          <w:sz w:val="18"/>
          <w:szCs w:val="18"/>
        </w:rPr>
      </w:pPr>
      <w:r w:rsidRPr="00882278">
        <w:rPr>
          <w:rFonts w:ascii="Andes" w:hAnsi="Andes"/>
          <w:bCs/>
          <w:color w:val="002060"/>
          <w:sz w:val="18"/>
          <w:szCs w:val="18"/>
        </w:rPr>
        <w:t>Quatrième Edition – Novembre 2020</w:t>
      </w:r>
    </w:p>
    <w:p w14:paraId="1C728A34" w14:textId="5E1A5084" w:rsidR="00233070" w:rsidRPr="00882278" w:rsidRDefault="00233070" w:rsidP="005E65E6">
      <w:pPr>
        <w:autoSpaceDE w:val="0"/>
        <w:autoSpaceDN w:val="0"/>
        <w:adjustRightInd w:val="0"/>
        <w:spacing w:before="0" w:after="0" w:line="240" w:lineRule="auto"/>
        <w:contextualSpacing w:val="0"/>
        <w:jc w:val="left"/>
        <w:rPr>
          <w:rFonts w:ascii="Andes" w:hAnsi="Andes"/>
          <w:bCs/>
          <w:color w:val="002060"/>
          <w:sz w:val="18"/>
          <w:szCs w:val="18"/>
        </w:rPr>
      </w:pPr>
      <w:r w:rsidRPr="00882278">
        <w:rPr>
          <w:rFonts w:ascii="Andes" w:hAnsi="Andes"/>
          <w:bCs/>
          <w:color w:val="002060"/>
          <w:sz w:val="18"/>
          <w:szCs w:val="18"/>
        </w:rPr>
        <w:t>Cinquième Edition – Septembre 2023</w:t>
      </w:r>
    </w:p>
    <w:p w14:paraId="520AD4BB" w14:textId="2296FA4B" w:rsidR="002D2FA5" w:rsidRPr="00492557" w:rsidRDefault="008F5D08" w:rsidP="005E65E6">
      <w:pPr>
        <w:autoSpaceDE w:val="0"/>
        <w:autoSpaceDN w:val="0"/>
        <w:adjustRightInd w:val="0"/>
        <w:spacing w:before="0" w:after="0" w:line="240" w:lineRule="auto"/>
        <w:contextualSpacing w:val="0"/>
        <w:jc w:val="left"/>
        <w:rPr>
          <w:rFonts w:ascii="Andes" w:eastAsiaTheme="minorEastAsia" w:hAnsi="Andes" w:cs="Arial"/>
          <w:bCs/>
          <w:sz w:val="18"/>
          <w:szCs w:val="18"/>
          <w:highlight w:val="yellow"/>
        </w:rPr>
      </w:pPr>
      <w:r w:rsidRPr="00882278">
        <w:rPr>
          <w:rFonts w:ascii="Andes" w:hAnsi="Andes"/>
          <w:bCs/>
          <w:color w:val="002060"/>
          <w:sz w:val="18"/>
          <w:szCs w:val="18"/>
        </w:rPr>
        <w:t>Sixi</w:t>
      </w:r>
      <w:r w:rsidR="002D2FA5" w:rsidRPr="00882278">
        <w:rPr>
          <w:rFonts w:ascii="Andes" w:hAnsi="Andes"/>
          <w:bCs/>
          <w:color w:val="002060"/>
          <w:sz w:val="18"/>
          <w:szCs w:val="18"/>
        </w:rPr>
        <w:t xml:space="preserve">ème Edition – </w:t>
      </w:r>
      <w:r w:rsidRPr="00882278">
        <w:rPr>
          <w:rFonts w:ascii="Andes" w:hAnsi="Andes"/>
          <w:bCs/>
          <w:color w:val="002060"/>
          <w:sz w:val="18"/>
          <w:szCs w:val="18"/>
        </w:rPr>
        <w:t>Février</w:t>
      </w:r>
      <w:r w:rsidR="002D2FA5" w:rsidRPr="00882278">
        <w:rPr>
          <w:rFonts w:ascii="Andes" w:hAnsi="Andes"/>
          <w:bCs/>
          <w:color w:val="002060"/>
          <w:sz w:val="18"/>
          <w:szCs w:val="18"/>
        </w:rPr>
        <w:t xml:space="preserve"> 202</w:t>
      </w:r>
      <w:r w:rsidRPr="00882278">
        <w:rPr>
          <w:rFonts w:ascii="Andes" w:hAnsi="Andes"/>
          <w:bCs/>
          <w:color w:val="002060"/>
          <w:sz w:val="18"/>
          <w:szCs w:val="18"/>
        </w:rPr>
        <w:t xml:space="preserve">5 </w:t>
      </w:r>
      <w:r w:rsidR="00E00E4C" w:rsidRPr="00882278">
        <w:rPr>
          <w:rFonts w:ascii="Andes" w:hAnsi="Andes"/>
          <w:bCs/>
          <w:color w:val="002060"/>
          <w:sz w:val="18"/>
          <w:szCs w:val="18"/>
        </w:rPr>
        <w:t>[</w:t>
      </w:r>
      <w:r w:rsidR="00CF7B30" w:rsidRPr="00882278">
        <w:rPr>
          <w:rFonts w:ascii="Andes" w:hAnsi="Andes"/>
          <w:bCs/>
          <w:color w:val="002060"/>
          <w:sz w:val="18"/>
          <w:szCs w:val="18"/>
        </w:rPr>
        <w:t>en vigueur à compter du 1</w:t>
      </w:r>
      <w:r w:rsidR="00CF7B30" w:rsidRPr="00882278">
        <w:rPr>
          <w:rFonts w:ascii="Andes" w:hAnsi="Andes"/>
          <w:bCs/>
          <w:color w:val="002060"/>
          <w:sz w:val="18"/>
          <w:szCs w:val="18"/>
          <w:vertAlign w:val="superscript"/>
        </w:rPr>
        <w:t>er</w:t>
      </w:r>
      <w:r w:rsidR="00CF7B30" w:rsidRPr="00882278">
        <w:rPr>
          <w:rFonts w:ascii="Andes" w:hAnsi="Andes"/>
          <w:bCs/>
          <w:color w:val="002060"/>
          <w:sz w:val="18"/>
          <w:szCs w:val="18"/>
        </w:rPr>
        <w:t xml:space="preserve"> mars 2025</w:t>
      </w:r>
      <w:r w:rsidR="00E00E4C" w:rsidRPr="00882278">
        <w:rPr>
          <w:rFonts w:ascii="Andes" w:hAnsi="Andes"/>
          <w:bCs/>
          <w:color w:val="002060"/>
          <w:sz w:val="18"/>
          <w:szCs w:val="18"/>
        </w:rPr>
        <w:t>]</w:t>
      </w:r>
    </w:p>
    <w:p w14:paraId="42EEB22A" w14:textId="534CC34D" w:rsidR="008A7725" w:rsidRDefault="008A7725" w:rsidP="008A7725">
      <w:pPr>
        <w:autoSpaceDE w:val="0"/>
        <w:autoSpaceDN w:val="0"/>
        <w:adjustRightInd w:val="0"/>
        <w:spacing w:before="0" w:after="0" w:line="240" w:lineRule="auto"/>
        <w:contextualSpacing w:val="0"/>
        <w:jc w:val="left"/>
        <w:rPr>
          <w:rFonts w:ascii="Andes" w:eastAsiaTheme="minorEastAsia" w:hAnsi="Andes" w:cs="Arial"/>
          <w:sz w:val="18"/>
          <w:szCs w:val="18"/>
          <w:highlight w:val="yellow"/>
        </w:rPr>
      </w:pPr>
    </w:p>
    <w:p w14:paraId="3CED3187" w14:textId="77777777" w:rsidR="008A7725" w:rsidRPr="00B1581D" w:rsidRDefault="008A7725" w:rsidP="008A7725">
      <w:pPr>
        <w:autoSpaceDE w:val="0"/>
        <w:autoSpaceDN w:val="0"/>
        <w:adjustRightInd w:val="0"/>
        <w:spacing w:after="0" w:line="240" w:lineRule="auto"/>
        <w:jc w:val="left"/>
        <w:rPr>
          <w:rFonts w:ascii="Andes" w:hAnsi="Andes" w:cs="Arial"/>
          <w:sz w:val="18"/>
          <w:szCs w:val="18"/>
        </w:rPr>
      </w:pPr>
    </w:p>
    <w:p w14:paraId="7291DE6F" w14:textId="77777777" w:rsidR="008A7725" w:rsidRPr="00B1581D" w:rsidRDefault="008A7725" w:rsidP="008A7725">
      <w:pPr>
        <w:autoSpaceDE w:val="0"/>
        <w:autoSpaceDN w:val="0"/>
        <w:rPr>
          <w:rFonts w:ascii="Andes" w:eastAsiaTheme="minorEastAsia" w:hAnsi="Andes" w:cs="Arial"/>
          <w:sz w:val="18"/>
          <w:szCs w:val="18"/>
        </w:rPr>
      </w:pPr>
      <w:r w:rsidRPr="00B1581D">
        <w:rPr>
          <w:rFonts w:ascii="Andes" w:eastAsiaTheme="minorEastAsia" w:hAnsi="Andes"/>
          <w:sz w:val="18"/>
        </w:rPr>
        <w:t xml:space="preserve">Le présent document fait l'objet d'un dépôt légal. Il peut être utilisé et reproduit à des fins non commerciales, sous réserve d'indication de sa source. Il ne peut être modifié.  </w:t>
      </w:r>
    </w:p>
    <w:p w14:paraId="610F32B8" w14:textId="77777777" w:rsidR="008A7725" w:rsidRPr="00B1581D" w:rsidRDefault="008A7725" w:rsidP="008A7725">
      <w:pPr>
        <w:autoSpaceDE w:val="0"/>
        <w:autoSpaceDN w:val="0"/>
        <w:rPr>
          <w:rFonts w:ascii="Andes" w:eastAsiaTheme="minorEastAsia" w:hAnsi="Andes" w:cs="Arial"/>
          <w:sz w:val="18"/>
          <w:szCs w:val="18"/>
        </w:rPr>
      </w:pPr>
    </w:p>
    <w:p w14:paraId="1F19BA5A" w14:textId="77777777" w:rsidR="008A7725" w:rsidRPr="00B1581D" w:rsidRDefault="008A7725" w:rsidP="008A7725">
      <w:pPr>
        <w:autoSpaceDE w:val="0"/>
        <w:autoSpaceDN w:val="0"/>
        <w:rPr>
          <w:rFonts w:ascii="Andes" w:eastAsiaTheme="minorEastAsia" w:hAnsi="Andes" w:cs="Arial"/>
          <w:sz w:val="18"/>
          <w:szCs w:val="18"/>
        </w:rPr>
      </w:pPr>
      <w:r w:rsidRPr="00B1581D">
        <w:rPr>
          <w:rFonts w:ascii="Andes" w:eastAsiaTheme="minorEastAsia" w:hAnsi="Andes"/>
          <w:sz w:val="18"/>
        </w:rPr>
        <w:t>Les observations ou les questions concernant le présent Règlement ainsi que les demandes de renseignements complémentaires sur la passation des marchés dans le cadre des projets financés par la Banque mondiale peuvent être envoyés à :</w:t>
      </w:r>
    </w:p>
    <w:p w14:paraId="390ECBB0" w14:textId="77777777" w:rsidR="008A7725" w:rsidRPr="00B1581D" w:rsidRDefault="008A7725" w:rsidP="008A7725">
      <w:pPr>
        <w:autoSpaceDE w:val="0"/>
        <w:autoSpaceDN w:val="0"/>
        <w:rPr>
          <w:rFonts w:ascii="Andes" w:eastAsiaTheme="minorEastAsia" w:hAnsi="Andes" w:cs="Arial"/>
          <w:sz w:val="18"/>
          <w:szCs w:val="18"/>
        </w:rPr>
      </w:pPr>
    </w:p>
    <w:p w14:paraId="07A8F33C" w14:textId="77777777" w:rsidR="008A7725" w:rsidRPr="002D1FF0" w:rsidRDefault="008A7725" w:rsidP="008A7725">
      <w:pPr>
        <w:autoSpaceDE w:val="0"/>
        <w:autoSpaceDN w:val="0"/>
        <w:rPr>
          <w:rFonts w:ascii="Andes" w:eastAsiaTheme="minorEastAsia" w:hAnsi="Andes" w:cs="Arial"/>
          <w:sz w:val="18"/>
          <w:szCs w:val="18"/>
          <w:lang w:val="en-US"/>
        </w:rPr>
      </w:pPr>
      <w:r w:rsidRPr="002D1FF0">
        <w:rPr>
          <w:rFonts w:ascii="Andes" w:eastAsiaTheme="minorEastAsia" w:hAnsi="Andes"/>
          <w:sz w:val="18"/>
          <w:lang w:val="en-US"/>
        </w:rPr>
        <w:t>Procurement Policy and Services Group</w:t>
      </w:r>
    </w:p>
    <w:p w14:paraId="0B1685C4" w14:textId="7461355D" w:rsidR="00AF144E" w:rsidRDefault="008A7725" w:rsidP="00AF144E">
      <w:pPr>
        <w:autoSpaceDE w:val="0"/>
        <w:autoSpaceDN w:val="0"/>
        <w:rPr>
          <w:rFonts w:ascii="Andes" w:eastAsiaTheme="minorEastAsia" w:hAnsi="Andes"/>
          <w:sz w:val="18"/>
          <w:lang w:val="en-US"/>
        </w:rPr>
      </w:pPr>
      <w:r w:rsidRPr="002D1FF0">
        <w:rPr>
          <w:rFonts w:ascii="Andes" w:eastAsiaTheme="minorEastAsia" w:hAnsi="Andes"/>
          <w:sz w:val="18"/>
          <w:lang w:val="en-US"/>
        </w:rPr>
        <w:t>Operations P</w:t>
      </w:r>
      <w:r>
        <w:rPr>
          <w:rFonts w:ascii="Andes" w:eastAsiaTheme="minorEastAsia" w:hAnsi="Andes"/>
          <w:sz w:val="18"/>
          <w:lang w:val="en-US"/>
        </w:rPr>
        <w:t>olicy and Country Services Vice-</w:t>
      </w:r>
      <w:r w:rsidRPr="002D1FF0">
        <w:rPr>
          <w:rFonts w:ascii="Andes" w:eastAsiaTheme="minorEastAsia" w:hAnsi="Andes"/>
          <w:sz w:val="18"/>
          <w:lang w:val="en-US"/>
        </w:rPr>
        <w:t xml:space="preserve">Presidency </w:t>
      </w:r>
    </w:p>
    <w:p w14:paraId="504939E7" w14:textId="51A93925" w:rsidR="001728CB" w:rsidRPr="001728CB" w:rsidRDefault="001728CB" w:rsidP="00AF144E">
      <w:pPr>
        <w:autoSpaceDE w:val="0"/>
        <w:autoSpaceDN w:val="0"/>
        <w:rPr>
          <w:rFonts w:ascii="Andes" w:eastAsiaTheme="minorEastAsia" w:hAnsi="Andes"/>
          <w:sz w:val="18"/>
          <w:lang w:val="en-US"/>
        </w:rPr>
      </w:pPr>
      <w:r w:rsidRPr="001728CB">
        <w:rPr>
          <w:rFonts w:ascii="Andes" w:eastAsiaTheme="minorEastAsia" w:hAnsi="Andes"/>
          <w:sz w:val="18"/>
          <w:lang w:val="en-US"/>
        </w:rPr>
        <w:t>The World Bank, 1818 H Street, NW Washington, D.C., 20433, U.S.A.</w:t>
      </w:r>
    </w:p>
    <w:p w14:paraId="4710B66B" w14:textId="7ED5523C" w:rsidR="001728CB" w:rsidRDefault="001728CB">
      <w:pPr>
        <w:spacing w:before="0" w:after="200"/>
        <w:contextualSpacing w:val="0"/>
        <w:jc w:val="left"/>
        <w:rPr>
          <w:rFonts w:ascii="Andes" w:eastAsiaTheme="minorEastAsia" w:hAnsi="Andes"/>
          <w:sz w:val="18"/>
          <w:lang w:val="en-US"/>
        </w:rPr>
      </w:pPr>
      <w:r>
        <w:rPr>
          <w:rFonts w:ascii="Andes" w:eastAsiaTheme="minorEastAsia" w:hAnsi="Andes"/>
          <w:sz w:val="18"/>
          <w:lang w:val="en-US"/>
        </w:rPr>
        <w:br w:type="page"/>
      </w:r>
    </w:p>
    <w:p w14:paraId="58C0B80A" w14:textId="50A82381" w:rsidR="001728CB" w:rsidRPr="00AF144E" w:rsidRDefault="001728CB" w:rsidP="00AF144E">
      <w:pPr>
        <w:autoSpaceDE w:val="0"/>
        <w:autoSpaceDN w:val="0"/>
        <w:rPr>
          <w:rFonts w:ascii="Andes" w:eastAsiaTheme="minorEastAsia" w:hAnsi="Andes"/>
          <w:sz w:val="18"/>
          <w:lang w:val="en-US"/>
        </w:rPr>
      </w:pPr>
      <w:r>
        <w:rPr>
          <w:rFonts w:ascii="Andes" w:hAnsi="Andes" w:cs="Microsoft Sans Serif"/>
          <w:noProof/>
          <w:color w:val="002060"/>
          <w:lang w:val="en-US"/>
        </w:rPr>
        <w:lastRenderedPageBreak/>
        <mc:AlternateContent>
          <mc:Choice Requires="wps">
            <w:drawing>
              <wp:anchor distT="0" distB="0" distL="114300" distR="114300" simplePos="0" relativeHeight="251699200" behindDoc="0" locked="0" layoutInCell="1" allowOverlap="1" wp14:anchorId="58531C25" wp14:editId="537CF866">
                <wp:simplePos x="0" y="0"/>
                <wp:positionH relativeFrom="page">
                  <wp:posOffset>-38100</wp:posOffset>
                </wp:positionH>
                <wp:positionV relativeFrom="paragraph">
                  <wp:posOffset>-1188720</wp:posOffset>
                </wp:positionV>
                <wp:extent cx="8082915" cy="1571625"/>
                <wp:effectExtent l="0" t="0" r="0" b="9525"/>
                <wp:wrapNone/>
                <wp:docPr id="14" name="Rectangle 14"/>
                <wp:cNvGraphicFramePr/>
                <a:graphic xmlns:a="http://schemas.openxmlformats.org/drawingml/2006/main">
                  <a:graphicData uri="http://schemas.microsoft.com/office/word/2010/wordprocessingShape">
                    <wps:wsp>
                      <wps:cNvSpPr/>
                      <wps:spPr>
                        <a:xfrm>
                          <a:off x="0" y="0"/>
                          <a:ext cx="8082915" cy="1571625"/>
                        </a:xfrm>
                        <a:prstGeom prst="rect">
                          <a:avLst/>
                        </a:prstGeom>
                        <a:solidFill>
                          <a:srgbClr val="002060"/>
                        </a:solidFill>
                        <a:ln w="12700" cap="flat" cmpd="sng" algn="ctr">
                          <a:noFill/>
                          <a:prstDash val="solid"/>
                          <a:miter lim="800000"/>
                        </a:ln>
                        <a:effectLst/>
                      </wps:spPr>
                      <wps:txbx>
                        <w:txbxContent>
                          <w:p w14:paraId="352BD279" w14:textId="77777777" w:rsidR="00A41794" w:rsidRPr="00295CE9" w:rsidRDefault="00A41794" w:rsidP="008A7725">
                            <w:pPr>
                              <w:ind w:left="1350"/>
                              <w:rPr>
                                <w:rFonts w:ascii="Andes" w:hAnsi="Andes"/>
                                <w:color w:val="FFFFFF" w:themeColor="background1"/>
                                <w:sz w:val="44"/>
                                <w:szCs w:val="44"/>
                              </w:rPr>
                            </w:pPr>
                            <w:r w:rsidRPr="00295CE9">
                              <w:rPr>
                                <w:rFonts w:ascii="Andes" w:hAnsi="Andes"/>
                                <w:color w:val="FFFFFF" w:themeColor="background1"/>
                                <w:sz w:val="44"/>
                              </w:rPr>
                              <w:t>Avant-propos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31C25" id="Rectangle 14" o:spid="_x0000_s1027" style="position:absolute;left:0;text-align:left;margin-left:-3pt;margin-top:-93.6pt;width:636.45pt;height:123.7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" fillcolor="#002060" stroked="f" strokeweight="1pt">
                <v:textbox>
                  <w:txbxContent>
                    <w:p w14:paraId="352BD279" w14:textId="77777777" w:rsidR="00A41794" w:rsidRPr="00295CE9" w:rsidRDefault="00A41794" w:rsidP="008A7725">
                      <w:pPr>
                        <w:ind w:left="1350"/>
                        <w:rPr>
                          <w:rFonts w:ascii="Andes" w:hAnsi="Andes"/>
                          <w:color w:val="FFFFFF" w:themeColor="background1"/>
                          <w:sz w:val="44"/>
                          <w:szCs w:val="44"/>
                        </w:rPr>
                      </w:pPr>
                      <w:r w:rsidRPr="00295CE9">
                        <w:rPr>
                          <w:rFonts w:ascii="Andes" w:hAnsi="Andes"/>
                          <w:color w:val="FFFFFF" w:themeColor="background1"/>
                          <w:sz w:val="44"/>
                        </w:rPr>
                        <w:t>Avant-propos</w:t>
                      </w:r>
                    </w:p>
                  </w:txbxContent>
                </v:textbox>
                <w10:wrap anchorx="page"/>
              </v:rect>
            </w:pict>
          </mc:Fallback>
        </mc:AlternateContent>
      </w:r>
    </w:p>
    <w:p w14:paraId="2A757C33" w14:textId="2771B7E2" w:rsidR="008A7725" w:rsidRPr="008A4717" w:rsidRDefault="008A7725" w:rsidP="00590367">
      <w:pPr>
        <w:contextualSpacing w:val="0"/>
        <w:jc w:val="left"/>
        <w:rPr>
          <w:rFonts w:ascii="Andes" w:hAnsi="Andes" w:cs="Arial"/>
          <w:b/>
          <w:caps/>
          <w:color w:val="4F81BD" w:themeColor="accent1"/>
          <w:sz w:val="30"/>
          <w:szCs w:val="30"/>
          <w:lang w:val="en-US"/>
        </w:rPr>
      </w:pPr>
      <w:r w:rsidRPr="002D1FF0">
        <w:rPr>
          <w:rFonts w:ascii="Andes" w:eastAsiaTheme="minorEastAsia" w:hAnsi="Andes"/>
          <w:sz w:val="18"/>
          <w:lang w:val="en-US"/>
        </w:rPr>
        <w:t>The World Bank, 1818 H Street, NW Washington, D.C., 20433, U.S.</w:t>
      </w:r>
      <w:proofErr w:type="gramStart"/>
      <w:r w:rsidRPr="002D1FF0">
        <w:rPr>
          <w:rFonts w:ascii="Andes" w:eastAsiaTheme="minorEastAsia" w:hAnsi="Andes"/>
          <w:sz w:val="18"/>
          <w:lang w:val="en-US"/>
        </w:rPr>
        <w:t>A.</w:t>
      </w:r>
      <w:r w:rsidRPr="008A4717">
        <w:rPr>
          <w:rFonts w:ascii="Andes" w:hAnsi="Andes"/>
          <w:b/>
          <w:caps/>
          <w:color w:val="4F81BD" w:themeColor="accent1"/>
          <w:sz w:val="30"/>
          <w:lang w:val="en-US"/>
        </w:rPr>
        <w:t>AVANT</w:t>
      </w:r>
      <w:proofErr w:type="gramEnd"/>
      <w:r w:rsidRPr="008A4717">
        <w:rPr>
          <w:rFonts w:ascii="Andes" w:hAnsi="Andes"/>
          <w:b/>
          <w:caps/>
          <w:color w:val="4F81BD" w:themeColor="accent1"/>
          <w:sz w:val="30"/>
          <w:lang w:val="en-US"/>
        </w:rPr>
        <w:t>-PROPOS</w:t>
      </w:r>
    </w:p>
    <w:p w14:paraId="782A8831" w14:textId="5A662783" w:rsidR="008A7725" w:rsidRPr="00B1581D" w:rsidRDefault="008A7725" w:rsidP="00590367">
      <w:pPr>
        <w:spacing w:before="0" w:after="100"/>
        <w:contextualSpacing w:val="0"/>
        <w:rPr>
          <w:rFonts w:ascii="Andes" w:hAnsi="Andes"/>
          <w:sz w:val="22"/>
          <w:szCs w:val="22"/>
        </w:rPr>
      </w:pPr>
      <w:r w:rsidRPr="00B1581D">
        <w:rPr>
          <w:rFonts w:ascii="Andes" w:hAnsi="Andes"/>
          <w:sz w:val="22"/>
        </w:rPr>
        <w:t xml:space="preserve">Nous avons le plaisir de présenter le Règlement de Passation des Marchés pour les Emprunteurs sollicitant </w:t>
      </w:r>
      <w:r w:rsidR="00154B00" w:rsidRPr="00B1581D">
        <w:rPr>
          <w:rFonts w:ascii="Andes" w:hAnsi="Andes"/>
          <w:sz w:val="22"/>
        </w:rPr>
        <w:t>de la Banque mondiale</w:t>
      </w:r>
      <w:r w:rsidR="00154B00" w:rsidRPr="00B1581D" w:rsidDel="007D3A54">
        <w:rPr>
          <w:rFonts w:ascii="Andes" w:hAnsi="Andes"/>
          <w:sz w:val="22"/>
        </w:rPr>
        <w:t xml:space="preserve"> </w:t>
      </w:r>
      <w:r w:rsidR="00154B00">
        <w:rPr>
          <w:rFonts w:ascii="Andes" w:hAnsi="Andes"/>
          <w:sz w:val="22"/>
        </w:rPr>
        <w:t>l</w:t>
      </w:r>
      <w:r w:rsidR="007D3A54">
        <w:rPr>
          <w:rFonts w:ascii="Andes" w:hAnsi="Andes"/>
          <w:sz w:val="22"/>
        </w:rPr>
        <w:t>e</w:t>
      </w:r>
      <w:r w:rsidR="007D3A54" w:rsidRPr="00B1581D">
        <w:rPr>
          <w:rFonts w:ascii="Andes" w:hAnsi="Andes"/>
          <w:sz w:val="22"/>
        </w:rPr>
        <w:t xml:space="preserve"> </w:t>
      </w:r>
      <w:r w:rsidRPr="00B1581D">
        <w:rPr>
          <w:rFonts w:ascii="Andes" w:hAnsi="Andes"/>
          <w:sz w:val="22"/>
        </w:rPr>
        <w:t>financement de projet</w:t>
      </w:r>
      <w:r w:rsidR="007D3A54">
        <w:rPr>
          <w:rFonts w:ascii="Andes" w:hAnsi="Andes"/>
          <w:sz w:val="22"/>
        </w:rPr>
        <w:t>s</w:t>
      </w:r>
      <w:r w:rsidRPr="00B1581D">
        <w:rPr>
          <w:rFonts w:ascii="Andes" w:hAnsi="Andes"/>
          <w:sz w:val="22"/>
        </w:rPr>
        <w:t xml:space="preserve"> d’investissement (le Règlement).</w:t>
      </w:r>
    </w:p>
    <w:p w14:paraId="12B7AD93" w14:textId="77777777" w:rsidR="008A7725" w:rsidRPr="00B1581D" w:rsidRDefault="008A7725" w:rsidP="00590367">
      <w:pPr>
        <w:spacing w:before="100" w:after="100"/>
        <w:contextualSpacing w:val="0"/>
        <w:rPr>
          <w:rFonts w:ascii="Andes" w:hAnsi="Andes"/>
          <w:sz w:val="22"/>
          <w:szCs w:val="22"/>
        </w:rPr>
      </w:pPr>
      <w:r w:rsidRPr="00B1581D">
        <w:rPr>
          <w:rFonts w:ascii="Andes" w:hAnsi="Andes"/>
          <w:sz w:val="22"/>
        </w:rPr>
        <w:t>Notre vision :</w:t>
      </w:r>
    </w:p>
    <w:p w14:paraId="2B8A97ED" w14:textId="05FF111E" w:rsidR="008A7725" w:rsidRPr="00B1581D" w:rsidRDefault="008A7725" w:rsidP="00590367">
      <w:pPr>
        <w:spacing w:before="100" w:after="100"/>
        <w:contextualSpacing w:val="0"/>
        <w:rPr>
          <w:rFonts w:ascii="Andes" w:hAnsi="Andes"/>
          <w:sz w:val="22"/>
          <w:szCs w:val="22"/>
        </w:rPr>
      </w:pPr>
      <w:r w:rsidRPr="00B1581D">
        <w:rPr>
          <w:rFonts w:ascii="Andes" w:hAnsi="Andes"/>
          <w:b/>
          <w:i/>
          <w:sz w:val="22"/>
        </w:rPr>
        <w:t>« </w:t>
      </w:r>
      <w:r w:rsidR="007D3A54">
        <w:rPr>
          <w:rFonts w:ascii="Andes" w:hAnsi="Andes"/>
          <w:b/>
          <w:i/>
          <w:sz w:val="22"/>
        </w:rPr>
        <w:t>L</w:t>
      </w:r>
      <w:r w:rsidRPr="00B1581D">
        <w:rPr>
          <w:rFonts w:ascii="Andes" w:hAnsi="Andes"/>
          <w:b/>
          <w:i/>
          <w:sz w:val="22"/>
        </w:rPr>
        <w:t xml:space="preserve">a passation des marchés dans les opérations de financement de projets d’investissement (FPI) aide les Emprunteurs à optimiser </w:t>
      </w:r>
      <w:r w:rsidR="003E72E6">
        <w:rPr>
          <w:rFonts w:ascii="Andes" w:hAnsi="Andes"/>
          <w:b/>
          <w:i/>
          <w:sz w:val="22"/>
        </w:rPr>
        <w:t>l</w:t>
      </w:r>
      <w:r w:rsidRPr="00B1581D">
        <w:rPr>
          <w:rFonts w:ascii="Andes" w:hAnsi="Andes"/>
          <w:b/>
          <w:i/>
          <w:sz w:val="22"/>
        </w:rPr>
        <w:t>es ressources avec intégrité, dans la promotion du développement durable. »</w:t>
      </w:r>
    </w:p>
    <w:p w14:paraId="7EF3296C" w14:textId="414782F7" w:rsidR="008A7725" w:rsidRPr="00B1581D" w:rsidRDefault="008A7725" w:rsidP="00590367">
      <w:pPr>
        <w:spacing w:before="100" w:after="100" w:line="240" w:lineRule="auto"/>
        <w:contextualSpacing w:val="0"/>
        <w:rPr>
          <w:rFonts w:ascii="Andes" w:hAnsi="Andes"/>
          <w:sz w:val="22"/>
          <w:szCs w:val="22"/>
        </w:rPr>
      </w:pPr>
      <w:r w:rsidRPr="00B1581D">
        <w:rPr>
          <w:rFonts w:ascii="Andes" w:hAnsi="Andes"/>
          <w:sz w:val="22"/>
        </w:rPr>
        <w:t xml:space="preserve">Le Règlement a été </w:t>
      </w:r>
      <w:r w:rsidR="00BE2AD1">
        <w:rPr>
          <w:rFonts w:ascii="Andes" w:hAnsi="Andes"/>
          <w:sz w:val="22"/>
        </w:rPr>
        <w:t xml:space="preserve">rédigé </w:t>
      </w:r>
      <w:r w:rsidR="00C775F1">
        <w:rPr>
          <w:rFonts w:ascii="Andes" w:hAnsi="Andes"/>
          <w:sz w:val="22"/>
        </w:rPr>
        <w:t xml:space="preserve">pour </w:t>
      </w:r>
      <w:r w:rsidRPr="00B1581D">
        <w:rPr>
          <w:rFonts w:ascii="Andes" w:hAnsi="Andes"/>
          <w:sz w:val="22"/>
        </w:rPr>
        <w:t xml:space="preserve">soutenir cette vision et </w:t>
      </w:r>
      <w:r w:rsidR="00C775F1">
        <w:rPr>
          <w:rFonts w:ascii="Andes" w:hAnsi="Andes"/>
          <w:sz w:val="22"/>
        </w:rPr>
        <w:t>il refl</w:t>
      </w:r>
      <w:r w:rsidR="00C775F1" w:rsidRPr="00D672E8">
        <w:rPr>
          <w:rFonts w:ascii="Andes" w:hAnsi="Andes"/>
          <w:sz w:val="22"/>
        </w:rPr>
        <w:t>è</w:t>
      </w:r>
      <w:r w:rsidR="00C775F1">
        <w:rPr>
          <w:rFonts w:ascii="Andes" w:hAnsi="Andes"/>
          <w:sz w:val="22"/>
        </w:rPr>
        <w:t>te les</w:t>
      </w:r>
      <w:r w:rsidR="00C775F1" w:rsidRPr="00B1581D">
        <w:rPr>
          <w:rFonts w:ascii="Andes" w:hAnsi="Andes"/>
          <w:sz w:val="22"/>
        </w:rPr>
        <w:t xml:space="preserve"> </w:t>
      </w:r>
      <w:r w:rsidRPr="00B1581D">
        <w:rPr>
          <w:rFonts w:ascii="Andes" w:hAnsi="Andes"/>
          <w:sz w:val="22"/>
        </w:rPr>
        <w:t xml:space="preserve">observations </w:t>
      </w:r>
      <w:r w:rsidR="00C775F1">
        <w:rPr>
          <w:rFonts w:ascii="Andes" w:hAnsi="Andes"/>
          <w:sz w:val="22"/>
        </w:rPr>
        <w:t xml:space="preserve">détaillées </w:t>
      </w:r>
      <w:r w:rsidRPr="00B1581D">
        <w:rPr>
          <w:rFonts w:ascii="Andes" w:hAnsi="Andes"/>
          <w:sz w:val="22"/>
        </w:rPr>
        <w:t xml:space="preserve">formulées par les acteurs </w:t>
      </w:r>
      <w:r w:rsidR="00C775F1">
        <w:rPr>
          <w:rFonts w:ascii="Andes" w:hAnsi="Andes"/>
          <w:sz w:val="22"/>
        </w:rPr>
        <w:t xml:space="preserve">impliqués dans le </w:t>
      </w:r>
      <w:r w:rsidRPr="00B1581D">
        <w:rPr>
          <w:rFonts w:ascii="Andes" w:hAnsi="Andes"/>
          <w:sz w:val="22"/>
        </w:rPr>
        <w:t xml:space="preserve">processus de passation de marchés </w:t>
      </w:r>
      <w:r w:rsidR="00C775F1">
        <w:rPr>
          <w:rFonts w:ascii="Andes" w:hAnsi="Andes"/>
          <w:sz w:val="22"/>
        </w:rPr>
        <w:t xml:space="preserve">dans le cadre </w:t>
      </w:r>
      <w:r w:rsidRPr="00B1581D">
        <w:rPr>
          <w:rFonts w:ascii="Andes" w:hAnsi="Andes"/>
          <w:sz w:val="22"/>
        </w:rPr>
        <w:t xml:space="preserve">des opérations de FPI financées par la Banque mondiale. </w:t>
      </w:r>
      <w:r w:rsidRPr="00B1581D">
        <w:rPr>
          <w:rFonts w:ascii="Andes" w:hAnsi="Andes"/>
          <w:color w:val="000000"/>
          <w:sz w:val="22"/>
        </w:rPr>
        <w:t xml:space="preserve">Il </w:t>
      </w:r>
      <w:r w:rsidR="00C775F1">
        <w:rPr>
          <w:rFonts w:ascii="Andes" w:hAnsi="Andes"/>
          <w:color w:val="000000"/>
          <w:sz w:val="22"/>
        </w:rPr>
        <w:t xml:space="preserve">est conçu pour </w:t>
      </w:r>
      <w:r w:rsidRPr="00B1581D">
        <w:rPr>
          <w:rFonts w:ascii="Andes" w:hAnsi="Andes"/>
          <w:color w:val="000000"/>
          <w:sz w:val="22"/>
        </w:rPr>
        <w:t xml:space="preserve">soutenir un cadre de passation des marchés moderne et adapté </w:t>
      </w:r>
      <w:r w:rsidR="00B91F8B">
        <w:rPr>
          <w:rFonts w:ascii="Andes" w:hAnsi="Andes"/>
          <w:color w:val="000000"/>
          <w:sz w:val="22"/>
        </w:rPr>
        <w:t>aux besoins</w:t>
      </w:r>
      <w:r w:rsidRPr="00B1581D">
        <w:rPr>
          <w:rFonts w:ascii="Andes" w:hAnsi="Andes"/>
          <w:color w:val="000000"/>
          <w:sz w:val="22"/>
        </w:rPr>
        <w:t>. Il présente de manière détaillée de nombreuses options pour adapter chaque processus de passation de marchés afin de répondre aux besoins opérationnels et d’obtenir le résultat</w:t>
      </w:r>
      <w:r w:rsidR="00B91F8B">
        <w:rPr>
          <w:rFonts w:ascii="Andes" w:hAnsi="Andes"/>
          <w:color w:val="000000"/>
          <w:sz w:val="22"/>
        </w:rPr>
        <w:t xml:space="preserve"> recherché</w:t>
      </w:r>
      <w:r w:rsidRPr="00B1581D">
        <w:rPr>
          <w:rFonts w:ascii="Andes" w:hAnsi="Andes"/>
          <w:color w:val="000000"/>
          <w:sz w:val="22"/>
        </w:rPr>
        <w:t xml:space="preserve">. </w:t>
      </w:r>
    </w:p>
    <w:p w14:paraId="51891BA1" w14:textId="084C6B43" w:rsidR="008A7725" w:rsidRPr="00B1581D" w:rsidRDefault="008A7725" w:rsidP="00590367">
      <w:pPr>
        <w:spacing w:before="100" w:after="100" w:line="240" w:lineRule="auto"/>
        <w:contextualSpacing w:val="0"/>
        <w:rPr>
          <w:rFonts w:ascii="Andes" w:hAnsi="Andes"/>
          <w:sz w:val="22"/>
          <w:szCs w:val="22"/>
        </w:rPr>
      </w:pPr>
      <w:r w:rsidRPr="00B1581D">
        <w:rPr>
          <w:rFonts w:ascii="Andes" w:hAnsi="Andes"/>
          <w:sz w:val="22"/>
        </w:rPr>
        <w:t>Les Emprunteurs qui appliquent le Règlement dépensent des milliards chaque année pour se procurer les travaux, les services et les fournitures dont ils ont besoin</w:t>
      </w:r>
      <w:r w:rsidR="00B91F8B">
        <w:rPr>
          <w:rFonts w:ascii="Andes" w:hAnsi="Andes"/>
          <w:sz w:val="22"/>
        </w:rPr>
        <w:t>,</w:t>
      </w:r>
      <w:r w:rsidRPr="00B1581D">
        <w:rPr>
          <w:rFonts w:ascii="Andes" w:hAnsi="Andes"/>
          <w:sz w:val="22"/>
        </w:rPr>
        <w:t xml:space="preserve"> auprès de </w:t>
      </w:r>
      <w:r w:rsidR="006059E0">
        <w:rPr>
          <w:rFonts w:ascii="Andes" w:hAnsi="Andes"/>
          <w:sz w:val="22"/>
        </w:rPr>
        <w:t xml:space="preserve">tierces </w:t>
      </w:r>
      <w:r w:rsidR="00BE2AD1">
        <w:rPr>
          <w:rFonts w:ascii="Andes" w:hAnsi="Andes"/>
          <w:sz w:val="22"/>
        </w:rPr>
        <w:t xml:space="preserve">parties </w:t>
      </w:r>
      <w:r w:rsidR="006059E0">
        <w:rPr>
          <w:rFonts w:ascii="Andes" w:hAnsi="Andes"/>
          <w:sz w:val="22"/>
        </w:rPr>
        <w:t xml:space="preserve">que sont les </w:t>
      </w:r>
      <w:r w:rsidRPr="00B1581D">
        <w:rPr>
          <w:rFonts w:ascii="Andes" w:hAnsi="Andes"/>
          <w:sz w:val="22"/>
        </w:rPr>
        <w:t xml:space="preserve">fournisseurs, </w:t>
      </w:r>
      <w:r w:rsidR="006059E0">
        <w:rPr>
          <w:rFonts w:ascii="Andes" w:hAnsi="Andes"/>
          <w:sz w:val="22"/>
        </w:rPr>
        <w:t xml:space="preserve">les </w:t>
      </w:r>
      <w:r w:rsidRPr="00B1581D">
        <w:rPr>
          <w:rFonts w:ascii="Andes" w:hAnsi="Andes"/>
          <w:sz w:val="22"/>
        </w:rPr>
        <w:t xml:space="preserve">entrepreneurs et </w:t>
      </w:r>
      <w:r w:rsidR="006059E0">
        <w:rPr>
          <w:rFonts w:ascii="Andes" w:hAnsi="Andes"/>
          <w:sz w:val="22"/>
        </w:rPr>
        <w:t>les</w:t>
      </w:r>
      <w:r w:rsidRPr="00B1581D">
        <w:rPr>
          <w:rFonts w:ascii="Andes" w:hAnsi="Andes"/>
          <w:sz w:val="22"/>
        </w:rPr>
        <w:t xml:space="preserve"> consultants. </w:t>
      </w:r>
      <w:r w:rsidR="004D3D32">
        <w:rPr>
          <w:rFonts w:ascii="Andes" w:hAnsi="Andes"/>
          <w:sz w:val="22"/>
        </w:rPr>
        <w:t>Le présent Règlement s’applique à la passation d</w:t>
      </w:r>
      <w:r w:rsidRPr="00B1581D">
        <w:rPr>
          <w:rFonts w:ascii="Andes" w:hAnsi="Andes"/>
          <w:sz w:val="22"/>
        </w:rPr>
        <w:t xml:space="preserve">es marchés dans plus de 170 pays à travers le monde, </w:t>
      </w:r>
      <w:r w:rsidR="00D672E8">
        <w:rPr>
          <w:rFonts w:ascii="Andes" w:hAnsi="Andes"/>
          <w:sz w:val="22"/>
        </w:rPr>
        <w:t>dans des</w:t>
      </w:r>
      <w:r w:rsidRPr="00B1581D">
        <w:rPr>
          <w:rFonts w:ascii="Andes" w:hAnsi="Andes"/>
          <w:sz w:val="22"/>
        </w:rPr>
        <w:t xml:space="preserve"> endroits et </w:t>
      </w:r>
      <w:r w:rsidR="004D3D32">
        <w:rPr>
          <w:rFonts w:ascii="Andes" w:hAnsi="Andes"/>
          <w:sz w:val="22"/>
        </w:rPr>
        <w:t>des</w:t>
      </w:r>
      <w:r w:rsidR="00D672E8">
        <w:rPr>
          <w:rFonts w:ascii="Andes" w:hAnsi="Andes"/>
          <w:sz w:val="22"/>
        </w:rPr>
        <w:t xml:space="preserve"> </w:t>
      </w:r>
      <w:r w:rsidRPr="00B1581D">
        <w:rPr>
          <w:rFonts w:ascii="Andes" w:hAnsi="Andes"/>
          <w:sz w:val="22"/>
        </w:rPr>
        <w:t xml:space="preserve">environnements où il est </w:t>
      </w:r>
      <w:r w:rsidR="00D672E8">
        <w:rPr>
          <w:rFonts w:ascii="Andes" w:hAnsi="Andes"/>
          <w:sz w:val="22"/>
        </w:rPr>
        <w:t xml:space="preserve">parfois </w:t>
      </w:r>
      <w:r w:rsidRPr="00B1581D">
        <w:rPr>
          <w:rFonts w:ascii="Andes" w:hAnsi="Andes"/>
          <w:sz w:val="22"/>
        </w:rPr>
        <w:t>difficile de mener des opérations. L</w:t>
      </w:r>
      <w:r w:rsidR="0098576B">
        <w:rPr>
          <w:rFonts w:ascii="Andes" w:hAnsi="Andes"/>
          <w:sz w:val="22"/>
        </w:rPr>
        <w:t>a passation des</w:t>
      </w:r>
      <w:r w:rsidRPr="00B1581D">
        <w:rPr>
          <w:rFonts w:ascii="Andes" w:hAnsi="Andes"/>
          <w:sz w:val="22"/>
        </w:rPr>
        <w:t xml:space="preserve"> marchés porte aussi bien sur des biens et services usuels simples</w:t>
      </w:r>
      <w:r w:rsidR="00D47A23">
        <w:rPr>
          <w:rFonts w:ascii="Andes" w:hAnsi="Andes"/>
          <w:sz w:val="22"/>
        </w:rPr>
        <w:t>,</w:t>
      </w:r>
      <w:r w:rsidRPr="00B1581D">
        <w:rPr>
          <w:rFonts w:ascii="Andes" w:hAnsi="Andes"/>
          <w:sz w:val="22"/>
        </w:rPr>
        <w:t xml:space="preserve"> que sur des infrastructures très complexes, des services de conseil de pointe, des composants </w:t>
      </w:r>
      <w:r w:rsidR="00D672E8">
        <w:rPr>
          <w:rFonts w:ascii="Andes" w:hAnsi="Andes"/>
          <w:sz w:val="22"/>
        </w:rPr>
        <w:t>essentiels</w:t>
      </w:r>
      <w:r w:rsidR="00D672E8" w:rsidRPr="00B1581D">
        <w:rPr>
          <w:rFonts w:ascii="Andes" w:hAnsi="Andes"/>
          <w:sz w:val="22"/>
        </w:rPr>
        <w:t xml:space="preserve"> </w:t>
      </w:r>
      <w:r w:rsidRPr="00B1581D">
        <w:rPr>
          <w:rFonts w:ascii="Andes" w:hAnsi="Andes"/>
          <w:sz w:val="22"/>
        </w:rPr>
        <w:t xml:space="preserve">d’ouvrages/d’équipements, des </w:t>
      </w:r>
      <w:r w:rsidR="00D672E8">
        <w:rPr>
          <w:rFonts w:ascii="Andes" w:hAnsi="Andes"/>
          <w:sz w:val="22"/>
        </w:rPr>
        <w:t xml:space="preserve">systèmes </w:t>
      </w:r>
      <w:r w:rsidR="00177151">
        <w:rPr>
          <w:rFonts w:ascii="Andes" w:hAnsi="Andes"/>
          <w:sz w:val="22"/>
        </w:rPr>
        <w:t>d’information de haute technologie</w:t>
      </w:r>
      <w:r w:rsidRPr="00B1581D">
        <w:rPr>
          <w:rFonts w:ascii="Andes" w:hAnsi="Andes"/>
          <w:sz w:val="22"/>
        </w:rPr>
        <w:t xml:space="preserve">, des activités de recherche et </w:t>
      </w:r>
      <w:r w:rsidR="00177151">
        <w:rPr>
          <w:rFonts w:ascii="Andes" w:hAnsi="Andes"/>
          <w:sz w:val="22"/>
        </w:rPr>
        <w:t xml:space="preserve">de </w:t>
      </w:r>
      <w:r w:rsidRPr="00B1581D">
        <w:rPr>
          <w:rFonts w:ascii="Andes" w:hAnsi="Andes"/>
          <w:sz w:val="22"/>
        </w:rPr>
        <w:t xml:space="preserve">développement, </w:t>
      </w:r>
      <w:r w:rsidR="00177151">
        <w:rPr>
          <w:rFonts w:ascii="Andes" w:hAnsi="Andes"/>
          <w:sz w:val="22"/>
        </w:rPr>
        <w:t>ainsi</w:t>
      </w:r>
      <w:r w:rsidRPr="00B1581D">
        <w:rPr>
          <w:rFonts w:ascii="Andes" w:hAnsi="Andes"/>
          <w:sz w:val="22"/>
        </w:rPr>
        <w:t xml:space="preserve"> </w:t>
      </w:r>
      <w:r w:rsidR="00177151">
        <w:rPr>
          <w:rFonts w:ascii="Andes" w:hAnsi="Andes"/>
          <w:sz w:val="22"/>
        </w:rPr>
        <w:t xml:space="preserve">que sur </w:t>
      </w:r>
      <w:r w:rsidRPr="00B1581D">
        <w:rPr>
          <w:rFonts w:ascii="Andes" w:hAnsi="Andes"/>
          <w:sz w:val="22"/>
        </w:rPr>
        <w:t xml:space="preserve">des </w:t>
      </w:r>
      <w:r w:rsidR="00177151">
        <w:rPr>
          <w:rFonts w:ascii="Andes" w:hAnsi="Andes"/>
          <w:sz w:val="22"/>
        </w:rPr>
        <w:t>approvisionnements critiques</w:t>
      </w:r>
      <w:r w:rsidRPr="00B1581D">
        <w:rPr>
          <w:rFonts w:ascii="Andes" w:hAnsi="Andes"/>
          <w:sz w:val="22"/>
        </w:rPr>
        <w:t>. Par conséquent, le présent Règlement doit être appliqué</w:t>
      </w:r>
      <w:r w:rsidR="005A5978">
        <w:rPr>
          <w:rFonts w:ascii="Andes" w:hAnsi="Andes"/>
          <w:sz w:val="22"/>
        </w:rPr>
        <w:t xml:space="preserve"> de manière pratique</w:t>
      </w:r>
      <w:r w:rsidRPr="00B1581D">
        <w:rPr>
          <w:rFonts w:ascii="Andes" w:hAnsi="Andes"/>
          <w:sz w:val="22"/>
        </w:rPr>
        <w:t xml:space="preserve">, dans toutes les situations, afin de s’assurer que la </w:t>
      </w:r>
      <w:r w:rsidR="00177151">
        <w:rPr>
          <w:rFonts w:ascii="Andes" w:hAnsi="Andes"/>
          <w:sz w:val="22"/>
        </w:rPr>
        <w:t>meilleure approche</w:t>
      </w:r>
      <w:r w:rsidR="005A5978">
        <w:rPr>
          <w:rFonts w:ascii="Andes" w:hAnsi="Andes"/>
          <w:sz w:val="22"/>
        </w:rPr>
        <w:t xml:space="preserve"> </w:t>
      </w:r>
      <w:r w:rsidRPr="00B1581D">
        <w:rPr>
          <w:rFonts w:ascii="Andes" w:hAnsi="Andes"/>
          <w:sz w:val="22"/>
        </w:rPr>
        <w:t xml:space="preserve">de passation de marchés </w:t>
      </w:r>
      <w:r w:rsidR="00177151">
        <w:rPr>
          <w:rFonts w:ascii="Andes" w:hAnsi="Andes"/>
          <w:sz w:val="22"/>
        </w:rPr>
        <w:t>soit</w:t>
      </w:r>
      <w:r w:rsidR="00177151" w:rsidRPr="00B1581D">
        <w:rPr>
          <w:rFonts w:ascii="Andes" w:hAnsi="Andes"/>
          <w:sz w:val="22"/>
        </w:rPr>
        <w:t xml:space="preserve"> </w:t>
      </w:r>
      <w:r w:rsidRPr="00B1581D">
        <w:rPr>
          <w:rFonts w:ascii="Andes" w:hAnsi="Andes"/>
          <w:sz w:val="22"/>
        </w:rPr>
        <w:t>utilisée pour obtenir les résultats</w:t>
      </w:r>
      <w:r w:rsidR="005A5978">
        <w:rPr>
          <w:rFonts w:ascii="Andes" w:hAnsi="Andes"/>
          <w:sz w:val="22"/>
        </w:rPr>
        <w:t xml:space="preserve"> recherché</w:t>
      </w:r>
      <w:r w:rsidR="00BE2AD1">
        <w:rPr>
          <w:rFonts w:ascii="Andes" w:hAnsi="Andes"/>
          <w:sz w:val="22"/>
        </w:rPr>
        <w:t>s</w:t>
      </w:r>
      <w:r w:rsidRPr="00B1581D">
        <w:rPr>
          <w:rFonts w:ascii="Andes" w:hAnsi="Andes"/>
          <w:sz w:val="22"/>
        </w:rPr>
        <w:t>.</w:t>
      </w:r>
    </w:p>
    <w:p w14:paraId="13F5D206" w14:textId="1EE1C0D3" w:rsidR="008A7725" w:rsidRPr="00B1581D" w:rsidRDefault="008A7725" w:rsidP="00590367">
      <w:pPr>
        <w:spacing w:before="100" w:after="100" w:line="240" w:lineRule="auto"/>
        <w:contextualSpacing w:val="0"/>
        <w:rPr>
          <w:rFonts w:ascii="Andes" w:hAnsi="Andes"/>
          <w:color w:val="000000"/>
          <w:sz w:val="22"/>
          <w:szCs w:val="22"/>
        </w:rPr>
      </w:pPr>
      <w:r w:rsidRPr="00B1581D">
        <w:rPr>
          <w:rFonts w:ascii="Andes" w:hAnsi="Andes"/>
          <w:sz w:val="22"/>
        </w:rPr>
        <w:t>Le Règlement est guidé par les principes fondamentaux suivants de passation des marchés : optimisation des ressources, économie, intégrité, adaptation</w:t>
      </w:r>
      <w:r w:rsidR="005A5978">
        <w:rPr>
          <w:rFonts w:ascii="Andes" w:hAnsi="Andes"/>
          <w:sz w:val="22"/>
        </w:rPr>
        <w:t xml:space="preserve"> aux besoins</w:t>
      </w:r>
      <w:r w:rsidRPr="00B1581D">
        <w:rPr>
          <w:rFonts w:ascii="Andes" w:hAnsi="Andes"/>
          <w:sz w:val="22"/>
        </w:rPr>
        <w:t>,</w:t>
      </w:r>
      <w:r w:rsidR="005A5978">
        <w:rPr>
          <w:rFonts w:ascii="Andes" w:hAnsi="Andes"/>
          <w:sz w:val="22"/>
        </w:rPr>
        <w:t xml:space="preserve"> </w:t>
      </w:r>
      <w:r w:rsidR="00A91660">
        <w:rPr>
          <w:rFonts w:ascii="Andes" w:hAnsi="Andes"/>
          <w:sz w:val="22"/>
        </w:rPr>
        <w:t>efficacité</w:t>
      </w:r>
      <w:r w:rsidRPr="00B1581D">
        <w:rPr>
          <w:rFonts w:ascii="Andes" w:hAnsi="Andes"/>
          <w:sz w:val="22"/>
        </w:rPr>
        <w:t>, transparence et équité.</w:t>
      </w:r>
    </w:p>
    <w:p w14:paraId="5886DE2F" w14:textId="067E85B3" w:rsidR="008A7725" w:rsidRPr="00B1581D" w:rsidRDefault="008A7725" w:rsidP="00590367">
      <w:pPr>
        <w:spacing w:before="100" w:after="100" w:line="240" w:lineRule="auto"/>
        <w:contextualSpacing w:val="0"/>
        <w:rPr>
          <w:rFonts w:ascii="Andes" w:hAnsi="Andes"/>
          <w:color w:val="000000"/>
          <w:sz w:val="22"/>
          <w:szCs w:val="22"/>
        </w:rPr>
      </w:pPr>
      <w:r w:rsidRPr="00B1581D">
        <w:rPr>
          <w:rFonts w:ascii="Andes" w:hAnsi="Andes"/>
          <w:color w:val="000000"/>
          <w:sz w:val="22"/>
        </w:rPr>
        <w:t xml:space="preserve">En promouvant ces principes fondamentaux, le Règlement propose aux Emprunteurs de nombreux choix pour </w:t>
      </w:r>
      <w:r w:rsidR="00B27F0B">
        <w:rPr>
          <w:rFonts w:ascii="Andes" w:hAnsi="Andes"/>
          <w:color w:val="000000"/>
          <w:sz w:val="22"/>
        </w:rPr>
        <w:t>arriver à la meilleure approche</w:t>
      </w:r>
      <w:r w:rsidR="00B27F0B" w:rsidRPr="00B1581D">
        <w:rPr>
          <w:rFonts w:ascii="Andes" w:hAnsi="Andes"/>
          <w:color w:val="000000"/>
          <w:sz w:val="22"/>
        </w:rPr>
        <w:t xml:space="preserve"> </w:t>
      </w:r>
      <w:r w:rsidRPr="00B1581D">
        <w:rPr>
          <w:rFonts w:ascii="Andes" w:hAnsi="Andes"/>
          <w:color w:val="000000"/>
          <w:sz w:val="22"/>
        </w:rPr>
        <w:t>pour aborder le marché. Le Règlement précise également les règles à suivre afin qu</w:t>
      </w:r>
      <w:r w:rsidR="00C6347A">
        <w:rPr>
          <w:rFonts w:ascii="Andes" w:hAnsi="Andes"/>
          <w:color w:val="000000"/>
          <w:sz w:val="22"/>
        </w:rPr>
        <w:t>’il soit facile pour</w:t>
      </w:r>
      <w:r w:rsidRPr="00B1581D">
        <w:rPr>
          <w:rFonts w:ascii="Andes" w:hAnsi="Andes"/>
          <w:color w:val="000000"/>
          <w:sz w:val="22"/>
        </w:rPr>
        <w:t xml:space="preserve"> tous les acteurs</w:t>
      </w:r>
      <w:r w:rsidR="00C6347A">
        <w:rPr>
          <w:rFonts w:ascii="Andes" w:hAnsi="Andes"/>
          <w:color w:val="000000"/>
          <w:sz w:val="22"/>
        </w:rPr>
        <w:t>, de</w:t>
      </w:r>
      <w:r w:rsidRPr="00B1581D">
        <w:rPr>
          <w:rFonts w:ascii="Andes" w:hAnsi="Andes"/>
          <w:color w:val="000000"/>
          <w:sz w:val="22"/>
        </w:rPr>
        <w:t xml:space="preserve"> comprendre le processus de passation des marchés.  </w:t>
      </w:r>
    </w:p>
    <w:p w14:paraId="49069F25" w14:textId="1F9FCA3B" w:rsidR="008A7725" w:rsidRPr="00B1581D" w:rsidRDefault="008A7725" w:rsidP="00590367">
      <w:pPr>
        <w:spacing w:before="100" w:after="100" w:line="240" w:lineRule="auto"/>
        <w:contextualSpacing w:val="0"/>
        <w:rPr>
          <w:rFonts w:ascii="Andes" w:hAnsi="Andes"/>
          <w:color w:val="000000"/>
          <w:sz w:val="22"/>
          <w:szCs w:val="22"/>
        </w:rPr>
      </w:pPr>
      <w:r w:rsidRPr="00B1581D">
        <w:rPr>
          <w:rFonts w:ascii="Andes" w:hAnsi="Andes"/>
          <w:color w:val="000000"/>
          <w:sz w:val="22"/>
        </w:rPr>
        <w:t>Le Règlement est complété par une série de dossiers types de passation de marchés, des Guides et un ensemble de supports d’information, de formation</w:t>
      </w:r>
      <w:r w:rsidR="00233070">
        <w:rPr>
          <w:rFonts w:ascii="Andes" w:hAnsi="Andes"/>
          <w:color w:val="000000"/>
          <w:sz w:val="22"/>
        </w:rPr>
        <w:t>, de vidéos,</w:t>
      </w:r>
      <w:r w:rsidRPr="00B1581D">
        <w:rPr>
          <w:rFonts w:ascii="Andes" w:hAnsi="Andes"/>
          <w:color w:val="000000"/>
          <w:sz w:val="22"/>
        </w:rPr>
        <w:t xml:space="preserve"> et d’apprentissage en ligne, tous accessibles à l’adresse www.worldbank.org/procurement.</w:t>
      </w:r>
    </w:p>
    <w:p w14:paraId="1E1421C4" w14:textId="55AF1C3E" w:rsidR="008A7725" w:rsidRPr="00B1581D" w:rsidRDefault="00D309FA" w:rsidP="00590367">
      <w:pPr>
        <w:spacing w:before="100" w:after="100" w:line="240" w:lineRule="auto"/>
        <w:contextualSpacing w:val="0"/>
        <w:rPr>
          <w:rFonts w:ascii="Andes" w:hAnsi="Andes"/>
          <w:color w:val="000000"/>
          <w:sz w:val="22"/>
          <w:szCs w:val="22"/>
        </w:rPr>
      </w:pPr>
      <w:r>
        <w:rPr>
          <w:rFonts w:ascii="Andes" w:hAnsi="Andes"/>
          <w:color w:val="000000"/>
          <w:sz w:val="22"/>
        </w:rPr>
        <w:t xml:space="preserve"> La conduite de tout</w:t>
      </w:r>
      <w:r w:rsidR="008A7725" w:rsidRPr="00B1581D">
        <w:rPr>
          <w:rFonts w:ascii="Andes" w:hAnsi="Andes"/>
          <w:color w:val="000000"/>
          <w:sz w:val="22"/>
        </w:rPr>
        <w:t xml:space="preserve"> processus de passation de marchés</w:t>
      </w:r>
      <w:r w:rsidRPr="00D309FA">
        <w:rPr>
          <w:rFonts w:ascii="Andes" w:hAnsi="Andes"/>
          <w:color w:val="000000"/>
          <w:sz w:val="22"/>
        </w:rPr>
        <w:t xml:space="preserve"> </w:t>
      </w:r>
      <w:r w:rsidRPr="00B1581D">
        <w:rPr>
          <w:rFonts w:ascii="Andes" w:hAnsi="Andes"/>
          <w:color w:val="000000"/>
          <w:sz w:val="22"/>
        </w:rPr>
        <w:t xml:space="preserve">peut </w:t>
      </w:r>
      <w:r w:rsidR="002A30CD">
        <w:rPr>
          <w:rFonts w:ascii="Andes" w:hAnsi="Andes"/>
          <w:color w:val="000000"/>
          <w:sz w:val="22"/>
        </w:rPr>
        <w:t>aboutir à des difficultés</w:t>
      </w:r>
      <w:r w:rsidR="008A7725" w:rsidRPr="00B1581D">
        <w:rPr>
          <w:rFonts w:ascii="Andes" w:hAnsi="Andes"/>
          <w:color w:val="000000"/>
          <w:sz w:val="22"/>
        </w:rPr>
        <w:t>. La Banque mondiale, pour sa part,</w:t>
      </w:r>
      <w:r>
        <w:rPr>
          <w:rFonts w:ascii="Andes" w:hAnsi="Andes"/>
          <w:color w:val="000000"/>
          <w:sz w:val="22"/>
        </w:rPr>
        <w:t xml:space="preserve"> est présente aux côté</w:t>
      </w:r>
      <w:r w:rsidR="006229C8">
        <w:rPr>
          <w:rFonts w:ascii="Andes" w:hAnsi="Andes"/>
          <w:color w:val="000000"/>
          <w:sz w:val="22"/>
        </w:rPr>
        <w:t>s</w:t>
      </w:r>
      <w:r>
        <w:rPr>
          <w:rFonts w:ascii="Andes" w:hAnsi="Andes"/>
          <w:color w:val="000000"/>
          <w:sz w:val="22"/>
        </w:rPr>
        <w:t xml:space="preserve"> de</w:t>
      </w:r>
      <w:r w:rsidR="008A7725" w:rsidRPr="00B1581D">
        <w:rPr>
          <w:rFonts w:ascii="Andes" w:hAnsi="Andes"/>
          <w:color w:val="000000"/>
          <w:sz w:val="22"/>
        </w:rPr>
        <w:t xml:space="preserve"> </w:t>
      </w:r>
      <w:r w:rsidRPr="00B1581D">
        <w:rPr>
          <w:rFonts w:ascii="Andes" w:hAnsi="Andes"/>
          <w:color w:val="000000"/>
          <w:sz w:val="22"/>
        </w:rPr>
        <w:t>ses Emprunteurs</w:t>
      </w:r>
      <w:r>
        <w:rPr>
          <w:rFonts w:ascii="Andes" w:hAnsi="Andes"/>
          <w:color w:val="000000"/>
          <w:sz w:val="22"/>
        </w:rPr>
        <w:t xml:space="preserve"> pour</w:t>
      </w:r>
      <w:r w:rsidRPr="00B1581D">
        <w:rPr>
          <w:rFonts w:ascii="Andes" w:hAnsi="Andes"/>
          <w:color w:val="000000"/>
          <w:sz w:val="22"/>
        </w:rPr>
        <w:t xml:space="preserve"> </w:t>
      </w:r>
      <w:r>
        <w:rPr>
          <w:rFonts w:ascii="Andes" w:hAnsi="Andes"/>
          <w:color w:val="000000"/>
          <w:sz w:val="22"/>
        </w:rPr>
        <w:t xml:space="preserve">leur </w:t>
      </w:r>
      <w:r w:rsidR="008A7725" w:rsidRPr="00B1581D">
        <w:rPr>
          <w:rFonts w:ascii="Andes" w:hAnsi="Andes"/>
          <w:color w:val="000000"/>
          <w:sz w:val="22"/>
        </w:rPr>
        <w:t>apporter son soutien en tant que de besoin. Pour de</w:t>
      </w:r>
      <w:r>
        <w:rPr>
          <w:rFonts w:ascii="Andes" w:hAnsi="Andes"/>
          <w:color w:val="000000"/>
          <w:sz w:val="22"/>
        </w:rPr>
        <w:t xml:space="preserve"> plus</w:t>
      </w:r>
      <w:r w:rsidR="008A7725" w:rsidRPr="00B1581D">
        <w:rPr>
          <w:rFonts w:ascii="Andes" w:hAnsi="Andes"/>
          <w:color w:val="000000"/>
          <w:sz w:val="22"/>
        </w:rPr>
        <w:t xml:space="preserve"> amples informations, n’hésitez pas à contacter votre représentant local de la Banque mondiale ou à consulter le site www.worldbank.org/procurement.</w:t>
      </w:r>
    </w:p>
    <w:p w14:paraId="2F103A50" w14:textId="77777777" w:rsidR="008A7725" w:rsidRDefault="008A7725" w:rsidP="008A7725">
      <w:pPr>
        <w:spacing w:line="240" w:lineRule="auto"/>
        <w:contextualSpacing w:val="0"/>
        <w:rPr>
          <w:rFonts w:ascii="Andes" w:hAnsi="Andes"/>
          <w:color w:val="000000"/>
          <w:sz w:val="22"/>
        </w:rPr>
      </w:pPr>
      <w:r w:rsidRPr="00B1581D">
        <w:rPr>
          <w:rFonts w:ascii="Andes" w:hAnsi="Andes"/>
          <w:color w:val="000000"/>
          <w:sz w:val="22"/>
        </w:rPr>
        <w:t xml:space="preserve">Nous vous souhaitons plein succès dans l’utilisation de ce Règlement et nous nous réjouissons </w:t>
      </w:r>
      <w:r w:rsidR="000B7772">
        <w:rPr>
          <w:rFonts w:ascii="Andes" w:hAnsi="Andes"/>
          <w:color w:val="000000"/>
          <w:sz w:val="22"/>
        </w:rPr>
        <w:t>de</w:t>
      </w:r>
      <w:r w:rsidRPr="00B1581D">
        <w:rPr>
          <w:rFonts w:ascii="Andes" w:hAnsi="Andes"/>
          <w:color w:val="000000"/>
          <w:sz w:val="22"/>
        </w:rPr>
        <w:t xml:space="preserve"> la perspective de vous apporter notre appui dans la réalisation des objectifs de développement de vos projets.</w:t>
      </w:r>
    </w:p>
    <w:p w14:paraId="05600F15" w14:textId="5A349A4C" w:rsidR="00590367" w:rsidRPr="00B1581D" w:rsidRDefault="00590367" w:rsidP="008A7725">
      <w:pPr>
        <w:spacing w:line="240" w:lineRule="auto"/>
        <w:contextualSpacing w:val="0"/>
        <w:rPr>
          <w:rFonts w:ascii="Andes" w:hAnsi="Andes"/>
          <w:color w:val="000000"/>
        </w:rPr>
        <w:sectPr w:rsidR="00590367" w:rsidRPr="00B1581D" w:rsidSect="0030458B">
          <w:headerReference w:type="default" r:id="rId13"/>
          <w:footerReference w:type="default" r:id="rId14"/>
          <w:footnotePr>
            <w:numRestart w:val="eachSect"/>
          </w:footnotePr>
          <w:pgSz w:w="12240" w:h="15840"/>
          <w:pgMar w:top="1872" w:right="1440" w:bottom="1440" w:left="1440" w:header="720" w:footer="720" w:gutter="0"/>
          <w:pgNumType w:fmt="lowerRoman" w:start="1"/>
          <w:cols w:space="720"/>
          <w:docGrid w:linePitch="360"/>
        </w:sectPr>
      </w:pPr>
    </w:p>
    <w:p w14:paraId="512F58EB" w14:textId="77777777" w:rsidR="008A7725" w:rsidRPr="00B1581D" w:rsidRDefault="008A7725" w:rsidP="008A7725">
      <w:pPr>
        <w:contextualSpacing w:val="0"/>
        <w:rPr>
          <w:rFonts w:ascii="Andes" w:hAnsi="Andes"/>
        </w:rPr>
      </w:pPr>
      <w:r>
        <w:rPr>
          <w:rFonts w:ascii="Andes" w:hAnsi="Andes" w:cs="Microsoft Sans Serif"/>
          <w:noProof/>
          <w:color w:val="002060"/>
          <w:lang w:val="en-US"/>
        </w:rPr>
        <w:lastRenderedPageBreak/>
        <mc:AlternateContent>
          <mc:Choice Requires="wps">
            <w:drawing>
              <wp:anchor distT="0" distB="0" distL="114300" distR="114300" simplePos="0" relativeHeight="251689984" behindDoc="0" locked="0" layoutInCell="1" allowOverlap="1" wp14:anchorId="44388E43" wp14:editId="499926C0">
                <wp:simplePos x="0" y="0"/>
                <wp:positionH relativeFrom="page">
                  <wp:align>left</wp:align>
                </wp:positionH>
                <wp:positionV relativeFrom="paragraph">
                  <wp:posOffset>-1181405</wp:posOffset>
                </wp:positionV>
                <wp:extent cx="8126806" cy="1379855"/>
                <wp:effectExtent l="0" t="0" r="7620" b="0"/>
                <wp:wrapNone/>
                <wp:docPr id="33" name="Rectangle 33"/>
                <wp:cNvGraphicFramePr/>
                <a:graphic xmlns:a="http://schemas.openxmlformats.org/drawingml/2006/main">
                  <a:graphicData uri="http://schemas.microsoft.com/office/word/2010/wordprocessingShape">
                    <wps:wsp>
                      <wps:cNvSpPr/>
                      <wps:spPr>
                        <a:xfrm>
                          <a:off x="0" y="0"/>
                          <a:ext cx="8126806" cy="1379855"/>
                        </a:xfrm>
                        <a:prstGeom prst="rect">
                          <a:avLst/>
                        </a:prstGeom>
                        <a:solidFill>
                          <a:srgbClr val="002060"/>
                        </a:solidFill>
                        <a:ln w="12700" cap="flat" cmpd="sng" algn="ctr">
                          <a:noFill/>
                          <a:prstDash val="solid"/>
                          <a:miter lim="800000"/>
                        </a:ln>
                        <a:effectLst/>
                      </wps:spPr>
                      <wps:txbx>
                        <w:txbxContent>
                          <w:p w14:paraId="6D363349" w14:textId="77777777" w:rsidR="00A41794" w:rsidRPr="00B1581D" w:rsidRDefault="00A41794" w:rsidP="00447358">
                            <w:pPr>
                              <w:tabs>
                                <w:tab w:val="left" w:pos="11700"/>
                              </w:tabs>
                              <w:ind w:left="360" w:right="788"/>
                              <w:jc w:val="left"/>
                              <w:rPr>
                                <w:rFonts w:ascii="Andes" w:hAnsi="Andes"/>
                                <w:sz w:val="44"/>
                                <w:szCs w:val="44"/>
                              </w:rPr>
                            </w:pPr>
                            <w:r w:rsidRPr="00B1581D">
                              <w:rPr>
                                <w:rFonts w:ascii="Andes" w:hAnsi="Andes"/>
                                <w:sz w:val="44"/>
                              </w:rPr>
                              <w:t>Sigles et abréviations usuels et expressions et termes définis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44388E43" id="Rectangle 33" o:spid="_x0000_s1028" style="position:absolute;left:0;text-align:left;margin-left:0;margin-top:-93pt;width:639.9pt;height:108.65pt;z-index:25168998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" fillcolor="#002060" stroked="f" strokeweight="1pt">
                <v:textbox>
                  <w:txbxContent>
                    <w:p w14:paraId="6D363349" w14:textId="77777777" w:rsidR="00A41794" w:rsidRPr="00B1581D" w:rsidRDefault="00A41794" w:rsidP="00447358">
                      <w:pPr>
                        <w:tabs>
                          <w:tab w:val="left" w:pos="11700"/>
                        </w:tabs>
                        <w:ind w:left="360" w:right="788"/>
                        <w:jc w:val="left"/>
                        <w:rPr>
                          <w:rFonts w:ascii="Andes" w:hAnsi="Andes"/>
                          <w:sz w:val="44"/>
                          <w:szCs w:val="44"/>
                        </w:rPr>
                      </w:pPr>
                      <w:r w:rsidRPr="00B1581D">
                        <w:rPr>
                          <w:rFonts w:ascii="Andes" w:hAnsi="Andes"/>
                          <w:sz w:val="44"/>
                        </w:rPr>
                        <w:t>Sigles et abréviations usuels et expressions et termes définis</w:t>
                      </w:r>
                    </w:p>
                  </w:txbxContent>
                </v:textbox>
                <w10:wrap anchorx="page"/>
              </v:rect>
            </w:pict>
          </mc:Fallback>
        </mc:AlternateContent>
      </w:r>
    </w:p>
    <w:p w14:paraId="2073035E" w14:textId="77777777" w:rsidR="008A7725" w:rsidRPr="00B1581D" w:rsidRDefault="008A7725" w:rsidP="008A7725">
      <w:pPr>
        <w:spacing w:before="240" w:after="240" w:line="240" w:lineRule="auto"/>
        <w:ind w:left="180" w:right="-540"/>
        <w:contextualSpacing w:val="0"/>
        <w:rPr>
          <w:rFonts w:ascii="Andes" w:hAnsi="Andes" w:cs="Arial"/>
          <w:color w:val="000000" w:themeColor="text1"/>
          <w:sz w:val="22"/>
          <w:szCs w:val="22"/>
        </w:rPr>
      </w:pPr>
      <w:r w:rsidRPr="00B1581D">
        <w:rPr>
          <w:rFonts w:ascii="Andes" w:hAnsi="Andes"/>
          <w:color w:val="000000" w:themeColor="text1"/>
          <w:sz w:val="22"/>
        </w:rPr>
        <w:t>Cette section donne les sigles et abréviations usuels et les expressions et termes définis qui sont utilisés dans le présent Règlement. Les termes et les expressions ainsi définis, de même que les mots qui les composent, commencent par une majuscule.</w:t>
      </w:r>
    </w:p>
    <w:tbl>
      <w:tblPr>
        <w:tblStyle w:val="Grilledutableau"/>
        <w:tblW w:w="9270" w:type="dxa"/>
        <w:tblInd w:w="180" w:type="dxa"/>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Look w:val="04A0" w:firstRow="1" w:lastRow="0" w:firstColumn="1" w:lastColumn="0" w:noHBand="0" w:noVBand="1"/>
      </w:tblPr>
      <w:tblGrid>
        <w:gridCol w:w="2970"/>
        <w:gridCol w:w="6300"/>
      </w:tblGrid>
      <w:tr w:rsidR="008A7725" w:rsidRPr="00BB25EA" w14:paraId="75E029E9" w14:textId="77777777" w:rsidTr="006D600B">
        <w:trPr>
          <w:tblHeader/>
        </w:trPr>
        <w:tc>
          <w:tcPr>
            <w:tcW w:w="2970" w:type="dxa"/>
            <w:tcBorders>
              <w:top w:val="single" w:sz="4" w:space="0" w:color="auto"/>
              <w:left w:val="single" w:sz="4" w:space="0" w:color="auto"/>
              <w:bottom w:val="single" w:sz="12" w:space="0" w:color="002060"/>
            </w:tcBorders>
            <w:shd w:val="clear" w:color="auto" w:fill="002060"/>
          </w:tcPr>
          <w:p w14:paraId="7754F860" w14:textId="77777777" w:rsidR="008A7725" w:rsidRPr="00B1581D" w:rsidRDefault="008A7725" w:rsidP="006D600B">
            <w:pPr>
              <w:autoSpaceDE w:val="0"/>
              <w:autoSpaceDN w:val="0"/>
              <w:adjustRightInd w:val="0"/>
              <w:spacing w:before="60" w:after="60" w:line="276" w:lineRule="auto"/>
              <w:contextualSpacing w:val="0"/>
              <w:jc w:val="left"/>
              <w:rPr>
                <w:rFonts w:ascii="Andes" w:hAnsi="Andes" w:cs="Microsoft Sans Serif"/>
                <w:b/>
                <w:color w:val="FFFFFF" w:themeColor="background1"/>
                <w:sz w:val="22"/>
                <w:szCs w:val="22"/>
              </w:rPr>
            </w:pPr>
            <w:r w:rsidRPr="00B1581D">
              <w:rPr>
                <w:rFonts w:ascii="Andes" w:hAnsi="Andes"/>
                <w:b/>
                <w:color w:val="FFFFFF" w:themeColor="background1"/>
                <w:sz w:val="22"/>
              </w:rPr>
              <w:t>Sigle ou abréviation / terme ou expression</w:t>
            </w:r>
          </w:p>
        </w:tc>
        <w:tc>
          <w:tcPr>
            <w:tcW w:w="6300" w:type="dxa"/>
            <w:tcBorders>
              <w:top w:val="single" w:sz="4" w:space="0" w:color="auto"/>
              <w:bottom w:val="single" w:sz="12" w:space="0" w:color="002060"/>
              <w:right w:val="single" w:sz="4" w:space="0" w:color="auto"/>
            </w:tcBorders>
            <w:shd w:val="clear" w:color="auto" w:fill="002060"/>
          </w:tcPr>
          <w:p w14:paraId="11C962CE" w14:textId="6265EF67" w:rsidR="008A7725" w:rsidRPr="008006C2" w:rsidRDefault="00BB25EA" w:rsidP="006D600B">
            <w:pPr>
              <w:autoSpaceDE w:val="0"/>
              <w:autoSpaceDN w:val="0"/>
              <w:adjustRightInd w:val="0"/>
              <w:spacing w:before="60" w:after="60" w:line="276" w:lineRule="auto"/>
              <w:contextualSpacing w:val="0"/>
              <w:jc w:val="left"/>
              <w:rPr>
                <w:rFonts w:ascii="Andes" w:hAnsi="Andes" w:cs="Microsoft Sans Serif"/>
                <w:b/>
                <w:color w:val="FFFFFF" w:themeColor="background1"/>
                <w:sz w:val="22"/>
                <w:szCs w:val="22"/>
              </w:rPr>
            </w:pPr>
            <w:r w:rsidRPr="00015FF1">
              <w:rPr>
                <w:b/>
                <w:color w:val="FFFFFF" w:themeColor="background1"/>
                <w:sz w:val="22"/>
              </w:rPr>
              <w:t>Développement du sigle ou de l’abréviation</w:t>
            </w:r>
            <w:r w:rsidR="008A7725" w:rsidRPr="008006C2">
              <w:rPr>
                <w:rFonts w:ascii="Andes" w:hAnsi="Andes"/>
                <w:b/>
                <w:color w:val="FFFFFF" w:themeColor="background1"/>
                <w:sz w:val="22"/>
              </w:rPr>
              <w:t xml:space="preserve">; </w:t>
            </w:r>
            <w:r>
              <w:rPr>
                <w:rFonts w:ascii="Andes" w:hAnsi="Andes"/>
                <w:b/>
                <w:color w:val="FFFFFF" w:themeColor="background1"/>
                <w:sz w:val="22"/>
              </w:rPr>
              <w:t>D</w:t>
            </w:r>
            <w:r w:rsidR="008A7725" w:rsidRPr="008006C2">
              <w:rPr>
                <w:rFonts w:ascii="Andes" w:hAnsi="Andes"/>
                <w:b/>
                <w:color w:val="FFFFFF" w:themeColor="background1"/>
                <w:sz w:val="22"/>
              </w:rPr>
              <w:t>éfinition</w:t>
            </w:r>
          </w:p>
        </w:tc>
      </w:tr>
      <w:tr w:rsidR="008A7725" w:rsidRPr="00D672E8" w14:paraId="2298526B"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33B4CEE0"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Annexe</w:t>
            </w:r>
          </w:p>
        </w:tc>
        <w:tc>
          <w:tcPr>
            <w:tcW w:w="6300" w:type="dxa"/>
            <w:tcBorders>
              <w:top w:val="single" w:sz="8" w:space="0" w:color="002060"/>
              <w:bottom w:val="single" w:sz="8" w:space="0" w:color="002060"/>
              <w:right w:val="single" w:sz="4" w:space="0" w:color="auto"/>
            </w:tcBorders>
            <w:shd w:val="clear" w:color="auto" w:fill="auto"/>
          </w:tcPr>
          <w:p w14:paraId="3A712B56" w14:textId="77777777" w:rsidR="008A7725" w:rsidRPr="00B1581D" w:rsidRDefault="008A7725" w:rsidP="006D600B">
            <w:pPr>
              <w:autoSpaceDE w:val="0"/>
              <w:autoSpaceDN w:val="0"/>
              <w:adjustRightInd w:val="0"/>
              <w:spacing w:before="80" w:after="80"/>
              <w:contextualSpacing w:val="0"/>
              <w:jc w:val="left"/>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Annexe au présent Règlement de Passation des Marchés pour les Emprunteurs.</w:t>
            </w:r>
          </w:p>
        </w:tc>
      </w:tr>
      <w:tr w:rsidR="008A7725" w:rsidRPr="00D672E8" w14:paraId="42F205DB"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489E93FC"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Candidat</w:t>
            </w:r>
          </w:p>
        </w:tc>
        <w:tc>
          <w:tcPr>
            <w:tcW w:w="6300" w:type="dxa"/>
            <w:tcBorders>
              <w:top w:val="single" w:sz="8" w:space="0" w:color="002060"/>
              <w:bottom w:val="single" w:sz="8" w:space="0" w:color="002060"/>
              <w:right w:val="single" w:sz="4" w:space="0" w:color="auto"/>
            </w:tcBorders>
            <w:shd w:val="clear" w:color="auto" w:fill="auto"/>
          </w:tcPr>
          <w:p w14:paraId="069FFE78" w14:textId="5347470A" w:rsidR="008A7725" w:rsidRPr="00B1581D" w:rsidRDefault="008A7725" w:rsidP="00AE6EFA">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 xml:space="preserve">Entreprise, </w:t>
            </w:r>
            <w:r w:rsidR="00AE6EFA">
              <w:rPr>
                <w:rFonts w:ascii="Andes" w:hAnsi="Andes"/>
                <w:color w:val="000000" w:themeColor="text1"/>
                <w:sz w:val="22"/>
                <w14:props3d w14:extrusionH="0" w14:contourW="0" w14:prstMaterial="matte"/>
              </w:rPr>
              <w:t>groupement d’</w:t>
            </w:r>
            <w:r w:rsidRPr="00B1581D">
              <w:rPr>
                <w:rFonts w:ascii="Andes" w:hAnsi="Andes"/>
                <w:color w:val="000000" w:themeColor="text1"/>
                <w:sz w:val="22"/>
                <w14:props3d w14:extrusionH="0" w14:contourW="0" w14:prstMaterial="matte"/>
              </w:rPr>
              <w:t>entreprise</w:t>
            </w:r>
            <w:r w:rsidR="00AE6EFA">
              <w:rPr>
                <w:rFonts w:ascii="Andes" w:hAnsi="Andes"/>
                <w:color w:val="000000" w:themeColor="text1"/>
                <w:sz w:val="22"/>
                <w14:props3d w14:extrusionH="0" w14:contourW="0" w14:prstMaterial="matte"/>
              </w:rPr>
              <w:t>s</w:t>
            </w:r>
            <w:r w:rsidRPr="00B1581D">
              <w:rPr>
                <w:rFonts w:ascii="Andes" w:hAnsi="Andes"/>
                <w:color w:val="000000" w:themeColor="text1"/>
                <w:sz w:val="22"/>
                <w14:props3d w14:extrusionH="0" w14:contourW="0" w14:prstMaterial="matte"/>
              </w:rPr>
              <w:t xml:space="preserve"> ou Consultant qui soumet une Candidature en réponse à une invitation pour </w:t>
            </w:r>
            <w:r w:rsidR="00810304">
              <w:rPr>
                <w:rFonts w:ascii="Andes" w:hAnsi="Andes"/>
                <w:color w:val="000000" w:themeColor="text1"/>
                <w:sz w:val="22"/>
                <w14:props3d w14:extrusionH="0" w14:contourW="0" w14:prstMaterial="matte"/>
              </w:rPr>
              <w:t xml:space="preserve">une </w:t>
            </w:r>
            <w:r w:rsidR="000A7F1B">
              <w:rPr>
                <w:rFonts w:ascii="Andes" w:hAnsi="Andes"/>
                <w:color w:val="000000" w:themeColor="text1"/>
                <w:sz w:val="22"/>
                <w14:props3d w14:extrusionH="0" w14:contourW="0" w14:prstMaterial="matte"/>
              </w:rPr>
              <w:t>Préqualification</w:t>
            </w:r>
            <w:r w:rsidRPr="00B1581D">
              <w:rPr>
                <w:rFonts w:ascii="Andes" w:hAnsi="Andes"/>
                <w:color w:val="000000" w:themeColor="text1"/>
                <w:sz w:val="22"/>
                <w14:props3d w14:extrusionH="0" w14:contourW="0" w14:prstMaterial="matte"/>
              </w:rPr>
              <w:t>, Sélection Initiale</w:t>
            </w:r>
            <w:r w:rsidR="00810304">
              <w:rPr>
                <w:rFonts w:ascii="Andes" w:hAnsi="Andes"/>
                <w:color w:val="000000" w:themeColor="text1"/>
                <w:sz w:val="22"/>
                <w14:props3d w14:extrusionH="0" w14:contourW="0" w14:prstMaterial="matte"/>
              </w:rPr>
              <w:t>,</w:t>
            </w:r>
            <w:r w:rsidRPr="00B1581D">
              <w:rPr>
                <w:rFonts w:ascii="Andes" w:hAnsi="Andes"/>
                <w:color w:val="000000" w:themeColor="text1"/>
                <w:sz w:val="22"/>
                <w14:props3d w14:extrusionH="0" w14:contourW="0" w14:prstMaterial="matte"/>
              </w:rPr>
              <w:t xml:space="preserve"> ou</w:t>
            </w:r>
            <w:r w:rsidR="00D309FA">
              <w:rPr>
                <w:rFonts w:ascii="Andes" w:hAnsi="Andes"/>
                <w:color w:val="000000" w:themeColor="text1"/>
                <w:sz w:val="22"/>
                <w14:props3d w14:extrusionH="0" w14:contourW="0" w14:prstMaterial="matte"/>
              </w:rPr>
              <w:t xml:space="preserve"> </w:t>
            </w:r>
            <w:r w:rsidR="00810304">
              <w:rPr>
                <w:rFonts w:ascii="Andes" w:hAnsi="Andes"/>
                <w:color w:val="000000" w:themeColor="text1"/>
                <w:sz w:val="22"/>
                <w14:props3d w14:extrusionH="0" w14:contourW="0" w14:prstMaterial="matte"/>
              </w:rPr>
              <w:t xml:space="preserve">une </w:t>
            </w:r>
            <w:r w:rsidR="008022AE">
              <w:rPr>
                <w:rFonts w:ascii="Andes" w:hAnsi="Andes"/>
                <w:color w:val="000000" w:themeColor="text1"/>
                <w:sz w:val="22"/>
                <w14:props3d w14:extrusionH="0" w14:contourW="0" w14:prstMaterial="matte"/>
              </w:rPr>
              <w:t xml:space="preserve">Présélection (pour une </w:t>
            </w:r>
            <w:r w:rsidR="00D309FA">
              <w:rPr>
                <w:rFonts w:ascii="Andes" w:hAnsi="Andes"/>
                <w:color w:val="000000" w:themeColor="text1"/>
                <w:sz w:val="22"/>
                <w14:props3d w14:extrusionH="0" w14:contourW="0" w14:prstMaterial="matte"/>
              </w:rPr>
              <w:t>Liste Restreinte</w:t>
            </w:r>
            <w:r w:rsidR="008022AE">
              <w:rPr>
                <w:rFonts w:ascii="Andes" w:hAnsi="Andes"/>
                <w:color w:val="000000" w:themeColor="text1"/>
                <w:sz w:val="22"/>
                <w14:props3d w14:extrusionH="0" w14:contourW="0" w14:prstMaterial="matte"/>
              </w:rPr>
              <w:t>)</w:t>
            </w:r>
            <w:r w:rsidRPr="00B1581D">
              <w:rPr>
                <w:rFonts w:ascii="Andes" w:hAnsi="Andes"/>
                <w:color w:val="000000" w:themeColor="text1"/>
                <w:sz w:val="22"/>
                <w14:props3d w14:extrusionH="0" w14:contourW="0" w14:prstMaterial="matte"/>
              </w:rPr>
              <w:t>.</w:t>
            </w:r>
          </w:p>
        </w:tc>
      </w:tr>
      <w:tr w:rsidR="008A7725" w:rsidRPr="00D672E8" w14:paraId="64F9425F"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59D7683E"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Candidature</w:t>
            </w:r>
          </w:p>
        </w:tc>
        <w:tc>
          <w:tcPr>
            <w:tcW w:w="6300" w:type="dxa"/>
            <w:tcBorders>
              <w:top w:val="single" w:sz="8" w:space="0" w:color="002060"/>
              <w:bottom w:val="single" w:sz="8" w:space="0" w:color="002060"/>
              <w:right w:val="single" w:sz="4" w:space="0" w:color="auto"/>
            </w:tcBorders>
            <w:shd w:val="clear" w:color="auto" w:fill="auto"/>
          </w:tcPr>
          <w:p w14:paraId="37C6E984" w14:textId="6FFEF573" w:rsidR="008A7725" w:rsidRPr="00B1581D" w:rsidRDefault="008A7725" w:rsidP="00160E62">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rPr>
              <w:t xml:space="preserve">Document présenté par un Candidat en réponse à une invitation pour </w:t>
            </w:r>
            <w:r w:rsidR="00810304">
              <w:rPr>
                <w:rFonts w:ascii="Andes" w:hAnsi="Andes"/>
                <w:color w:val="000000" w:themeColor="text1"/>
                <w:sz w:val="22"/>
              </w:rPr>
              <w:t xml:space="preserve">une </w:t>
            </w:r>
            <w:r w:rsidR="006229C8" w:rsidRPr="00B1581D">
              <w:rPr>
                <w:rFonts w:ascii="Andes" w:hAnsi="Andes"/>
                <w:color w:val="000000" w:themeColor="text1"/>
                <w:sz w:val="22"/>
              </w:rPr>
              <w:t>Pré</w:t>
            </w:r>
            <w:r w:rsidR="006229C8">
              <w:rPr>
                <w:rFonts w:ascii="Andes" w:hAnsi="Andes"/>
                <w:color w:val="000000" w:themeColor="text1"/>
                <w:sz w:val="22"/>
              </w:rPr>
              <w:t>q</w:t>
            </w:r>
            <w:r w:rsidR="006229C8" w:rsidRPr="00B1581D">
              <w:rPr>
                <w:rFonts w:ascii="Andes" w:hAnsi="Andes"/>
                <w:color w:val="000000" w:themeColor="text1"/>
                <w:sz w:val="22"/>
              </w:rPr>
              <w:t>ualifications</w:t>
            </w:r>
            <w:r w:rsidR="00810304">
              <w:rPr>
                <w:rFonts w:ascii="Andes" w:hAnsi="Andes"/>
                <w:color w:val="000000" w:themeColor="text1"/>
                <w:sz w:val="22"/>
              </w:rPr>
              <w:t>,</w:t>
            </w:r>
            <w:r w:rsidRPr="00B1581D">
              <w:rPr>
                <w:rFonts w:ascii="Andes" w:hAnsi="Andes"/>
                <w:color w:val="000000" w:themeColor="text1"/>
                <w:sz w:val="22"/>
              </w:rPr>
              <w:t xml:space="preserve"> </w:t>
            </w:r>
            <w:r w:rsidR="00810304">
              <w:rPr>
                <w:rFonts w:ascii="Andes" w:hAnsi="Andes"/>
                <w:color w:val="000000" w:themeColor="text1"/>
                <w:sz w:val="22"/>
              </w:rPr>
              <w:t xml:space="preserve">une </w:t>
            </w:r>
            <w:r w:rsidRPr="00B1581D">
              <w:rPr>
                <w:rFonts w:ascii="Andes" w:hAnsi="Andes"/>
                <w:color w:val="000000" w:themeColor="text1"/>
                <w:sz w:val="22"/>
              </w:rPr>
              <w:t>Sélection Initiale</w:t>
            </w:r>
            <w:r w:rsidR="00810304">
              <w:rPr>
                <w:rFonts w:ascii="Andes" w:hAnsi="Andes"/>
                <w:color w:val="000000" w:themeColor="text1"/>
                <w:sz w:val="22"/>
              </w:rPr>
              <w:t xml:space="preserve">, ou </w:t>
            </w:r>
            <w:r w:rsidR="000B7772">
              <w:rPr>
                <w:rFonts w:ascii="Andes" w:hAnsi="Andes"/>
                <w:color w:val="000000" w:themeColor="text1"/>
                <w:sz w:val="22"/>
              </w:rPr>
              <w:t xml:space="preserve">une </w:t>
            </w:r>
            <w:r w:rsidR="008022AE">
              <w:rPr>
                <w:rFonts w:ascii="Andes" w:hAnsi="Andes"/>
                <w:color w:val="000000" w:themeColor="text1"/>
                <w:sz w:val="22"/>
              </w:rPr>
              <w:t>P</w:t>
            </w:r>
            <w:r w:rsidR="00160E62">
              <w:rPr>
                <w:rFonts w:ascii="Andes" w:hAnsi="Andes"/>
                <w:color w:val="000000" w:themeColor="text1"/>
                <w:sz w:val="22"/>
              </w:rPr>
              <w:t>résélection (pour une</w:t>
            </w:r>
            <w:r w:rsidR="00810304">
              <w:rPr>
                <w:rFonts w:ascii="Andes" w:hAnsi="Andes"/>
                <w:color w:val="000000" w:themeColor="text1"/>
                <w:sz w:val="22"/>
              </w:rPr>
              <w:t xml:space="preserve"> Liste Restreinte</w:t>
            </w:r>
            <w:r w:rsidR="00160E62">
              <w:rPr>
                <w:rFonts w:ascii="Andes" w:hAnsi="Andes"/>
                <w:color w:val="000000" w:themeColor="text1"/>
                <w:sz w:val="22"/>
              </w:rPr>
              <w:t>)</w:t>
            </w:r>
            <w:r w:rsidRPr="00B1581D">
              <w:rPr>
                <w:rFonts w:ascii="Andes" w:hAnsi="Andes"/>
                <w:color w:val="000000" w:themeColor="text1"/>
                <w:sz w:val="22"/>
              </w:rPr>
              <w:t>.</w:t>
            </w:r>
          </w:p>
        </w:tc>
      </w:tr>
      <w:tr w:rsidR="008A7725" w:rsidRPr="003B076C" w14:paraId="2914B99A"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4974130C" w14:textId="0570E6BB" w:rsidR="008A7725" w:rsidRPr="00D317C1" w:rsidRDefault="008A7725" w:rsidP="00C455F1">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MOF</w:t>
            </w:r>
          </w:p>
        </w:tc>
        <w:tc>
          <w:tcPr>
            <w:tcW w:w="6300" w:type="dxa"/>
            <w:tcBorders>
              <w:top w:val="single" w:sz="8" w:space="0" w:color="002060"/>
              <w:bottom w:val="single" w:sz="8" w:space="0" w:color="002060"/>
              <w:right w:val="single" w:sz="4" w:space="0" w:color="auto"/>
            </w:tcBorders>
            <w:shd w:val="clear" w:color="auto" w:fill="auto"/>
          </w:tcPr>
          <w:p w14:paraId="050B99B7" w14:textId="7B9E3A73" w:rsidR="008A7725" w:rsidRPr="00D317C1" w:rsidRDefault="008A7725" w:rsidP="008006C2">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Pr>
                <w:rFonts w:ascii="Andes" w:hAnsi="Andes"/>
                <w:color w:val="000000" w:themeColor="text1"/>
                <w:sz w:val="22"/>
                <w14:props3d w14:extrusionH="0" w14:contourW="0" w14:prstMaterial="matte"/>
              </w:rPr>
              <w:t>Meilleure offre</w:t>
            </w:r>
            <w:r w:rsidR="008006C2">
              <w:rPr>
                <w:rFonts w:ascii="Andes" w:hAnsi="Andes"/>
                <w:color w:val="000000" w:themeColor="text1"/>
                <w:sz w:val="22"/>
                <w14:props3d w14:extrusionH="0" w14:contourW="0" w14:prstMaterial="matte"/>
              </w:rPr>
              <w:t xml:space="preserve"> </w:t>
            </w:r>
            <w:r>
              <w:rPr>
                <w:rFonts w:ascii="Andes" w:hAnsi="Andes"/>
                <w:color w:val="000000" w:themeColor="text1"/>
                <w:sz w:val="22"/>
                <w14:props3d w14:extrusionH="0" w14:contourW="0" w14:prstMaterial="matte"/>
              </w:rPr>
              <w:t xml:space="preserve">finale.  </w:t>
            </w:r>
          </w:p>
        </w:tc>
      </w:tr>
      <w:tr w:rsidR="008A7725" w:rsidRPr="00D672E8" w14:paraId="3F5E98F5"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1B2124A9"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Banque</w:t>
            </w:r>
          </w:p>
        </w:tc>
        <w:tc>
          <w:tcPr>
            <w:tcW w:w="6300" w:type="dxa"/>
            <w:tcBorders>
              <w:top w:val="single" w:sz="8" w:space="0" w:color="002060"/>
              <w:bottom w:val="single" w:sz="8" w:space="0" w:color="002060"/>
              <w:right w:val="single" w:sz="4" w:space="0" w:color="auto"/>
            </w:tcBorders>
            <w:shd w:val="clear" w:color="auto" w:fill="auto"/>
          </w:tcPr>
          <w:p w14:paraId="61882775" w14:textId="77777777"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La BIRD et/ou l’IDA (agissant pour son propre compte ou en sa qualité d’administrateur de fonds fiduciaires fournis par d’autres bailleurs de fonds).</w:t>
            </w:r>
          </w:p>
        </w:tc>
      </w:tr>
      <w:tr w:rsidR="008A7725" w:rsidRPr="00D672E8" w14:paraId="102F4DC0"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2B1EC699" w14:textId="50815D0E" w:rsidR="008A7725" w:rsidRPr="00D317C1" w:rsidRDefault="008A7725" w:rsidP="008006C2">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Offre</w:t>
            </w:r>
            <w:r w:rsidR="00BB25EA">
              <w:rPr>
                <w:rFonts w:ascii="Andes" w:hAnsi="Andes"/>
                <w:b/>
                <w:color w:val="000000" w:themeColor="text1"/>
                <w:sz w:val="22"/>
              </w:rPr>
              <w:t xml:space="preserve"> </w:t>
            </w:r>
          </w:p>
        </w:tc>
        <w:tc>
          <w:tcPr>
            <w:tcW w:w="6300" w:type="dxa"/>
            <w:tcBorders>
              <w:top w:val="single" w:sz="8" w:space="0" w:color="002060"/>
              <w:bottom w:val="single" w:sz="8" w:space="0" w:color="002060"/>
              <w:right w:val="single" w:sz="4" w:space="0" w:color="auto"/>
            </w:tcBorders>
            <w:shd w:val="clear" w:color="auto" w:fill="auto"/>
          </w:tcPr>
          <w:p w14:paraId="56B59C05" w14:textId="00354D89" w:rsidR="008A7725" w:rsidRPr="00B1581D" w:rsidRDefault="008A7725" w:rsidP="008006C2">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 xml:space="preserve">Offre soumise par une entreprise ou une coentreprise, en réponse à un Appel d’Offres, pour la livraison de Fournitures, l’exécution de Travaux ou la prestation de Services Autres que </w:t>
            </w:r>
            <w:r w:rsidR="00160E62">
              <w:rPr>
                <w:rFonts w:ascii="Andes" w:hAnsi="Andes"/>
                <w:color w:val="000000" w:themeColor="text1"/>
                <w:sz w:val="22"/>
                <w14:props3d w14:extrusionH="0" w14:contourW="0" w14:prstMaterial="matte"/>
              </w:rPr>
              <w:t>l</w:t>
            </w:r>
            <w:r w:rsidRPr="00B1581D">
              <w:rPr>
                <w:rFonts w:ascii="Andes" w:hAnsi="Andes"/>
                <w:color w:val="000000" w:themeColor="text1"/>
                <w:sz w:val="22"/>
                <w14:props3d w14:extrusionH="0" w14:contourW="0" w14:prstMaterial="matte"/>
              </w:rPr>
              <w:t xml:space="preserve">es Services de Consultants.  </w:t>
            </w:r>
          </w:p>
        </w:tc>
      </w:tr>
      <w:tr w:rsidR="008A7725" w:rsidRPr="00D672E8" w14:paraId="432EADC8"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01C681BD"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Soumissionnaire</w:t>
            </w:r>
          </w:p>
        </w:tc>
        <w:tc>
          <w:tcPr>
            <w:tcW w:w="6300" w:type="dxa"/>
            <w:tcBorders>
              <w:top w:val="single" w:sz="8" w:space="0" w:color="002060"/>
              <w:bottom w:val="single" w:sz="8" w:space="0" w:color="002060"/>
              <w:right w:val="single" w:sz="4" w:space="0" w:color="auto"/>
            </w:tcBorders>
            <w:shd w:val="clear" w:color="auto" w:fill="auto"/>
          </w:tcPr>
          <w:p w14:paraId="376BF1F9" w14:textId="1C21CF10" w:rsidR="008A7725" w:rsidRPr="00B1581D" w:rsidRDefault="008A7725" w:rsidP="0000081A">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 xml:space="preserve">Entreprise ou coentreprise qui soumet une Offre pour des Fournitures, des Travaux ou des Services Autres que </w:t>
            </w:r>
            <w:r w:rsidR="00160E62">
              <w:rPr>
                <w:rFonts w:ascii="Andes" w:hAnsi="Andes"/>
                <w:color w:val="000000" w:themeColor="text1"/>
                <w:sz w:val="22"/>
                <w14:props3d w14:extrusionH="0" w14:contourW="0" w14:prstMaterial="matte"/>
              </w:rPr>
              <w:t>l</w:t>
            </w:r>
            <w:r w:rsidRPr="00B1581D">
              <w:rPr>
                <w:rFonts w:ascii="Andes" w:hAnsi="Andes"/>
                <w:color w:val="000000" w:themeColor="text1"/>
                <w:sz w:val="22"/>
                <w14:props3d w14:extrusionH="0" w14:contourW="0" w14:prstMaterial="matte"/>
              </w:rPr>
              <w:t>es Services de Consultants</w:t>
            </w:r>
            <w:r w:rsidR="00160E62">
              <w:rPr>
                <w:rFonts w:ascii="Andes" w:hAnsi="Andes"/>
                <w:color w:val="000000" w:themeColor="text1"/>
                <w:sz w:val="22"/>
                <w14:props3d w14:extrusionH="0" w14:contourW="0" w14:prstMaterial="matte"/>
              </w:rPr>
              <w:t>,</w:t>
            </w:r>
            <w:r w:rsidRPr="00B1581D">
              <w:rPr>
                <w:rFonts w:ascii="Andes" w:hAnsi="Andes"/>
                <w:color w:val="000000" w:themeColor="text1"/>
                <w:sz w:val="22"/>
                <w14:props3d w14:extrusionH="0" w14:contourW="0" w14:prstMaterial="matte"/>
              </w:rPr>
              <w:t xml:space="preserve"> en réponse à un Appel d’Offres.</w:t>
            </w:r>
          </w:p>
        </w:tc>
      </w:tr>
      <w:tr w:rsidR="008A7725" w:rsidRPr="003B076C" w14:paraId="648362D7"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70CDB7B5"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CEP</w:t>
            </w:r>
          </w:p>
        </w:tc>
        <w:tc>
          <w:tcPr>
            <w:tcW w:w="6300" w:type="dxa"/>
            <w:tcBorders>
              <w:top w:val="single" w:sz="8" w:space="0" w:color="002060"/>
              <w:bottom w:val="single" w:sz="8" w:space="0" w:color="002060"/>
              <w:right w:val="single" w:sz="4" w:space="0" w:color="auto"/>
            </w:tcBorders>
            <w:shd w:val="clear" w:color="auto" w:fill="auto"/>
          </w:tcPr>
          <w:p w14:paraId="1F0D83BB" w14:textId="77777777" w:rsidR="008A7725" w:rsidRPr="00D317C1" w:rsidRDefault="008A7725" w:rsidP="006D600B">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Pr>
                <w:rFonts w:ascii="Andes" w:hAnsi="Andes"/>
                <w:color w:val="000000" w:themeColor="text1"/>
                <w:sz w:val="22"/>
                <w14:props3d w14:extrusionH="0" w14:contourW="0" w14:prstMaterial="matte"/>
              </w:rPr>
              <w:t>Construction-exploitation-propriété.</w:t>
            </w:r>
          </w:p>
        </w:tc>
      </w:tr>
      <w:tr w:rsidR="008A7725" w:rsidRPr="003B076C" w14:paraId="416FE788"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1F73BE01"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CPET</w:t>
            </w:r>
          </w:p>
        </w:tc>
        <w:tc>
          <w:tcPr>
            <w:tcW w:w="6300" w:type="dxa"/>
            <w:tcBorders>
              <w:top w:val="single" w:sz="8" w:space="0" w:color="002060"/>
              <w:bottom w:val="single" w:sz="8" w:space="0" w:color="002060"/>
              <w:right w:val="single" w:sz="4" w:space="0" w:color="auto"/>
            </w:tcBorders>
            <w:shd w:val="clear" w:color="auto" w:fill="auto"/>
          </w:tcPr>
          <w:p w14:paraId="364CF56B" w14:textId="77777777" w:rsidR="008A7725" w:rsidRPr="00D317C1" w:rsidRDefault="008A7725" w:rsidP="006D600B">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Pr>
                <w:rFonts w:ascii="Andes" w:hAnsi="Andes"/>
                <w:color w:val="000000" w:themeColor="text1"/>
                <w:sz w:val="22"/>
                <w14:props3d w14:extrusionH="0" w14:contourW="0" w14:prstMaterial="matte"/>
              </w:rPr>
              <w:t>Construction-propriété-exploitation-transfert.</w:t>
            </w:r>
          </w:p>
        </w:tc>
      </w:tr>
      <w:tr w:rsidR="008A7725" w:rsidRPr="00D672E8" w14:paraId="6678D87E"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7D122831"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Emprunteur</w:t>
            </w:r>
          </w:p>
        </w:tc>
        <w:tc>
          <w:tcPr>
            <w:tcW w:w="6300" w:type="dxa"/>
            <w:tcBorders>
              <w:top w:val="single" w:sz="8" w:space="0" w:color="002060"/>
              <w:bottom w:val="single" w:sz="8" w:space="0" w:color="002060"/>
              <w:right w:val="single" w:sz="4" w:space="0" w:color="auto"/>
            </w:tcBorders>
            <w:shd w:val="clear" w:color="auto" w:fill="auto"/>
          </w:tcPr>
          <w:p w14:paraId="3C9CCD32" w14:textId="77777777"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 xml:space="preserve">Emprunteur ou bénéficiaire d’un Financement de Projet d’Investissement (FPI) et toute autre entité participant à la mise en œuvre d’un projet financé au moyen d’un FPI.  </w:t>
            </w:r>
          </w:p>
        </w:tc>
      </w:tr>
      <w:tr w:rsidR="006F0199" w:rsidRPr="00D672E8" w14:paraId="1A485D64"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0BDFA50B" w14:textId="725F560C" w:rsidR="006F0199" w:rsidRDefault="006F0199" w:rsidP="006D600B">
            <w:pPr>
              <w:autoSpaceDE w:val="0"/>
              <w:autoSpaceDN w:val="0"/>
              <w:adjustRightInd w:val="0"/>
              <w:spacing w:before="80" w:after="80"/>
              <w:contextualSpacing w:val="0"/>
              <w:jc w:val="left"/>
              <w:rPr>
                <w:rFonts w:ascii="Andes" w:hAnsi="Andes"/>
                <w:b/>
                <w:color w:val="000000" w:themeColor="text1"/>
                <w:sz w:val="22"/>
              </w:rPr>
            </w:pPr>
            <w:r>
              <w:rPr>
                <w:rFonts w:ascii="Andes" w:hAnsi="Andes"/>
                <w:b/>
                <w:color w:val="000000" w:themeColor="text1"/>
                <w:sz w:val="22"/>
              </w:rPr>
              <w:t xml:space="preserve">Engagement précoce du </w:t>
            </w:r>
            <w:r w:rsidR="00D758A5">
              <w:rPr>
                <w:rFonts w:ascii="Andes" w:hAnsi="Andes"/>
                <w:b/>
                <w:color w:val="000000" w:themeColor="text1"/>
                <w:sz w:val="22"/>
              </w:rPr>
              <w:t>M</w:t>
            </w:r>
            <w:r>
              <w:rPr>
                <w:rFonts w:ascii="Andes" w:hAnsi="Andes"/>
                <w:b/>
                <w:color w:val="000000" w:themeColor="text1"/>
                <w:sz w:val="22"/>
              </w:rPr>
              <w:t>arché</w:t>
            </w:r>
          </w:p>
        </w:tc>
        <w:tc>
          <w:tcPr>
            <w:tcW w:w="6300" w:type="dxa"/>
            <w:tcBorders>
              <w:top w:val="single" w:sz="8" w:space="0" w:color="002060"/>
              <w:bottom w:val="single" w:sz="8" w:space="0" w:color="002060"/>
              <w:right w:val="single" w:sz="4" w:space="0" w:color="auto"/>
            </w:tcBorders>
            <w:shd w:val="clear" w:color="auto" w:fill="auto"/>
          </w:tcPr>
          <w:p w14:paraId="1DCB45FB" w14:textId="1DBCDCA9" w:rsidR="006F0199" w:rsidRPr="00B1581D" w:rsidRDefault="00116A4A" w:rsidP="00F25FB6">
            <w:pPr>
              <w:autoSpaceDE w:val="0"/>
              <w:autoSpaceDN w:val="0"/>
              <w:adjustRightInd w:val="0"/>
              <w:spacing w:before="80" w:after="80"/>
              <w:contextualSpacing w:val="0"/>
              <w:rPr>
                <w:rFonts w:ascii="Andes" w:hAnsi="Andes"/>
                <w:color w:val="000000" w:themeColor="text1"/>
                <w:sz w:val="22"/>
                <w14:props3d w14:extrusionH="0" w14:contourW="0" w14:prstMaterial="matte"/>
              </w:rPr>
            </w:pPr>
            <w:r w:rsidRPr="00882278">
              <w:rPr>
                <w:rFonts w:ascii="Andes" w:hAnsi="Andes"/>
                <w:color w:val="000000" w:themeColor="text1"/>
                <w:sz w:val="22"/>
                <w14:props3d w14:extrusionH="0" w14:contourW="0" w14:prstMaterial="matte"/>
              </w:rPr>
              <w:t xml:space="preserve">Une </w:t>
            </w:r>
            <w:r w:rsidR="00B2341B" w:rsidRPr="00882278">
              <w:rPr>
                <w:rFonts w:ascii="Andes" w:hAnsi="Andes"/>
                <w:color w:val="000000" w:themeColor="text1"/>
                <w:sz w:val="22"/>
                <w14:props3d w14:extrusionH="0" w14:contourW="0" w14:prstMaterial="matte"/>
              </w:rPr>
              <w:t>modalité</w:t>
            </w:r>
            <w:r w:rsidRPr="00882278">
              <w:rPr>
                <w:rFonts w:ascii="Andes" w:hAnsi="Andes"/>
                <w:color w:val="000000" w:themeColor="text1"/>
                <w:sz w:val="22"/>
                <w14:props3d w14:extrusionH="0" w14:contourW="0" w14:prstMaterial="matte"/>
              </w:rPr>
              <w:t xml:space="preserve"> de réunion (en personne ou virtuelle) ou de communication par </w:t>
            </w:r>
            <w:r w:rsidR="00930B55" w:rsidRPr="00882278">
              <w:rPr>
                <w:rFonts w:ascii="Andes" w:hAnsi="Andes"/>
                <w:color w:val="000000" w:themeColor="text1"/>
                <w:sz w:val="22"/>
                <w14:props3d w14:extrusionH="0" w14:contourW="0" w14:prstMaterial="matte"/>
              </w:rPr>
              <w:t>E</w:t>
            </w:r>
            <w:r w:rsidRPr="00882278">
              <w:rPr>
                <w:rFonts w:ascii="Andes" w:hAnsi="Andes"/>
                <w:color w:val="000000" w:themeColor="text1"/>
                <w:sz w:val="22"/>
                <w14:props3d w14:extrusionH="0" w14:contourW="0" w14:prstMaterial="matte"/>
              </w:rPr>
              <w:t xml:space="preserve">crit avec des représentants des soumissionnaires potentiels et/ou des organismes professionnels de industrie/des représentants des industries entières ou des segments pertinents d'une industrie donnée, effectuée comme décrit aux </w:t>
            </w:r>
            <w:r w:rsidRPr="00882278">
              <w:rPr>
                <w:rFonts w:ascii="Andes" w:hAnsi="Andes"/>
                <w:color w:val="000000" w:themeColor="text1"/>
                <w:sz w:val="22"/>
                <w14:props3d w14:extrusionH="0" w14:contourW="0" w14:prstMaterial="matte"/>
              </w:rPr>
              <w:lastRenderedPageBreak/>
              <w:t>p</w:t>
            </w:r>
            <w:r w:rsidR="00F25FB6" w:rsidRPr="00882278">
              <w:rPr>
                <w:rFonts w:ascii="Andes" w:hAnsi="Andes"/>
                <w:color w:val="000000" w:themeColor="text1"/>
                <w:sz w:val="22"/>
                <w14:props3d w14:extrusionH="0" w14:contourW="0" w14:prstMaterial="matte"/>
              </w:rPr>
              <w:t>aragraphe</w:t>
            </w:r>
            <w:r w:rsidRPr="00882278">
              <w:rPr>
                <w:rFonts w:ascii="Andes" w:hAnsi="Andes"/>
                <w:color w:val="000000" w:themeColor="text1"/>
                <w:sz w:val="22"/>
                <w14:props3d w14:extrusionH="0" w14:contourW="0" w14:prstMaterial="matte"/>
              </w:rPr>
              <w:t>s 3.8 à 3.13 de l'</w:t>
            </w:r>
            <w:r w:rsidR="00F25FB6" w:rsidRPr="00882278">
              <w:rPr>
                <w:rFonts w:ascii="Andes" w:hAnsi="Andes"/>
                <w:color w:val="000000" w:themeColor="text1"/>
                <w:sz w:val="22"/>
                <w14:props3d w14:extrusionH="0" w14:contourW="0" w14:prstMaterial="matte"/>
              </w:rPr>
              <w:t>A</w:t>
            </w:r>
            <w:r w:rsidRPr="00882278">
              <w:rPr>
                <w:rFonts w:ascii="Andes" w:hAnsi="Andes"/>
                <w:color w:val="000000" w:themeColor="text1"/>
                <w:sz w:val="22"/>
                <w14:props3d w14:extrusionH="0" w14:contourW="0" w14:prstMaterial="matte"/>
              </w:rPr>
              <w:t>nnexe V (avec les objectifs clés décrits au p</w:t>
            </w:r>
            <w:r w:rsidR="00F30DC9" w:rsidRPr="00882278">
              <w:rPr>
                <w:rFonts w:ascii="Andes" w:hAnsi="Andes"/>
                <w:color w:val="000000" w:themeColor="text1"/>
                <w:sz w:val="22"/>
                <w14:props3d w14:extrusionH="0" w14:contourW="0" w14:prstMaterial="matte"/>
              </w:rPr>
              <w:t>aragraphe</w:t>
            </w:r>
            <w:r w:rsidRPr="00882278">
              <w:rPr>
                <w:rFonts w:ascii="Andes" w:hAnsi="Andes"/>
                <w:color w:val="000000" w:themeColor="text1"/>
                <w:sz w:val="22"/>
                <w14:props3d w14:extrusionH="0" w14:contourW="0" w14:prstMaterial="matte"/>
              </w:rPr>
              <w:t xml:space="preserve"> 3.11 de l'</w:t>
            </w:r>
            <w:r w:rsidR="00F30DC9" w:rsidRPr="00882278">
              <w:rPr>
                <w:rFonts w:ascii="Andes" w:hAnsi="Andes"/>
                <w:color w:val="000000" w:themeColor="text1"/>
                <w:sz w:val="22"/>
                <w14:props3d w14:extrusionH="0" w14:contourW="0" w14:prstMaterial="matte"/>
              </w:rPr>
              <w:t>A</w:t>
            </w:r>
            <w:r w:rsidRPr="00882278">
              <w:rPr>
                <w:rFonts w:ascii="Andes" w:hAnsi="Andes"/>
                <w:color w:val="000000" w:themeColor="text1"/>
                <w:sz w:val="22"/>
                <w14:props3d w14:extrusionH="0" w14:contourW="0" w14:prstMaterial="matte"/>
              </w:rPr>
              <w:t>nnexe V)</w:t>
            </w:r>
          </w:p>
        </w:tc>
      </w:tr>
      <w:tr w:rsidR="008A7725" w:rsidRPr="003B076C" w14:paraId="53746CE5"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4516581A"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lastRenderedPageBreak/>
              <w:t>CET</w:t>
            </w:r>
          </w:p>
        </w:tc>
        <w:tc>
          <w:tcPr>
            <w:tcW w:w="6300" w:type="dxa"/>
            <w:tcBorders>
              <w:top w:val="single" w:sz="8" w:space="0" w:color="002060"/>
              <w:bottom w:val="single" w:sz="8" w:space="0" w:color="002060"/>
              <w:right w:val="single" w:sz="4" w:space="0" w:color="auto"/>
            </w:tcBorders>
            <w:shd w:val="clear" w:color="auto" w:fill="auto"/>
          </w:tcPr>
          <w:p w14:paraId="053EC0BB" w14:textId="77777777" w:rsidR="008A7725" w:rsidRPr="00D317C1" w:rsidRDefault="008A7725" w:rsidP="006D600B">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Pr>
                <w:rFonts w:ascii="Andes" w:hAnsi="Andes"/>
                <w:color w:val="000000" w:themeColor="text1"/>
                <w:sz w:val="22"/>
                <w14:props3d w14:extrusionH="0" w14:contourW="0" w14:prstMaterial="matte"/>
              </w:rPr>
              <w:t>Construction-exploitation-transfert.</w:t>
            </w:r>
          </w:p>
        </w:tc>
      </w:tr>
      <w:tr w:rsidR="008A7725" w:rsidRPr="00D672E8" w14:paraId="4D1050CA"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3482786A"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Jour Ouvrable</w:t>
            </w:r>
          </w:p>
        </w:tc>
        <w:tc>
          <w:tcPr>
            <w:tcW w:w="6300" w:type="dxa"/>
            <w:tcBorders>
              <w:top w:val="single" w:sz="8" w:space="0" w:color="002060"/>
              <w:bottom w:val="single" w:sz="8" w:space="0" w:color="002060"/>
              <w:right w:val="single" w:sz="4" w:space="0" w:color="auto"/>
            </w:tcBorders>
            <w:shd w:val="clear" w:color="auto" w:fill="auto"/>
          </w:tcPr>
          <w:p w14:paraId="0C525194" w14:textId="77777777"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Toute journée constituant un jour ouvrable de l’Emprunteur.  Ce qui exclut les jours fériés officiels de l’Emprunteur.</w:t>
            </w:r>
          </w:p>
        </w:tc>
      </w:tr>
      <w:tr w:rsidR="008A7725" w:rsidRPr="00D672E8" w14:paraId="69DBD9B4"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05F82DCD" w14:textId="6081708B" w:rsidR="008A7725" w:rsidRPr="00D317C1" w:rsidRDefault="008006C2" w:rsidP="00AF490D">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CDD</w:t>
            </w:r>
          </w:p>
        </w:tc>
        <w:tc>
          <w:tcPr>
            <w:tcW w:w="6300" w:type="dxa"/>
            <w:tcBorders>
              <w:top w:val="single" w:sz="8" w:space="0" w:color="002060"/>
              <w:bottom w:val="single" w:sz="8" w:space="0" w:color="002060"/>
              <w:right w:val="single" w:sz="4" w:space="0" w:color="auto"/>
            </w:tcBorders>
            <w:shd w:val="clear" w:color="auto" w:fill="auto"/>
          </w:tcPr>
          <w:p w14:paraId="1D01D1D7" w14:textId="5D0D48CF" w:rsidR="008A7725" w:rsidRPr="00D672E8" w:rsidRDefault="002A0FA4" w:rsidP="00AF490D">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Pr>
                <w:rFonts w:ascii="Andes" w:hAnsi="Andes"/>
                <w:color w:val="000000" w:themeColor="text1"/>
                <w:sz w:val="22"/>
                <w14:props3d w14:extrusionH="0" w14:contourW="0" w14:prstMaterial="matte"/>
              </w:rPr>
              <w:t>Sigle signifiant «</w:t>
            </w:r>
            <w:r>
              <w:rPr>
                <w:rFonts w:ascii="Calibri" w:hAnsi="Calibri" w:cs="Calibri"/>
                <w:color w:val="000000" w:themeColor="text1"/>
                <w:sz w:val="22"/>
                <w14:props3d w14:extrusionH="0" w14:contourW="0" w14:prstMaterial="matte"/>
              </w:rPr>
              <w:t> </w:t>
            </w:r>
            <w:r w:rsidR="008006C2">
              <w:rPr>
                <w:rFonts w:ascii="Andes" w:hAnsi="Andes"/>
                <w:color w:val="000000" w:themeColor="text1"/>
                <w:sz w:val="22"/>
                <w14:props3d w14:extrusionH="0" w14:contourW="0" w14:prstMaterial="matte"/>
              </w:rPr>
              <w:t>Participation Communautaire au Développ</w:t>
            </w:r>
            <w:r w:rsidR="002E5975">
              <w:rPr>
                <w:rFonts w:ascii="Andes" w:hAnsi="Andes"/>
                <w:color w:val="000000" w:themeColor="text1"/>
                <w:sz w:val="22"/>
                <w14:props3d w14:extrusionH="0" w14:contourW="0" w14:prstMaterial="matte"/>
              </w:rPr>
              <w:t>e</w:t>
            </w:r>
            <w:r w:rsidR="008006C2">
              <w:rPr>
                <w:rFonts w:ascii="Andes" w:hAnsi="Andes"/>
                <w:color w:val="000000" w:themeColor="text1"/>
                <w:sz w:val="22"/>
                <w14:props3d w14:extrusionH="0" w14:contourW="0" w14:prstMaterial="matte"/>
              </w:rPr>
              <w:t>ment</w:t>
            </w:r>
            <w:r>
              <w:rPr>
                <w:rFonts w:ascii="Calibri" w:hAnsi="Calibri" w:cs="Calibri"/>
                <w:color w:val="000000" w:themeColor="text1"/>
                <w:sz w:val="22"/>
                <w14:props3d w14:extrusionH="0" w14:contourW="0" w14:prstMaterial="matte"/>
              </w:rPr>
              <w:t> </w:t>
            </w:r>
            <w:r>
              <w:rPr>
                <w:rFonts w:ascii="Andes" w:hAnsi="Andes" w:cs="Andes"/>
                <w:color w:val="000000" w:themeColor="text1"/>
                <w:sz w:val="22"/>
                <w14:props3d w14:extrusionH="0" w14:contourW="0" w14:prstMaterial="matte"/>
              </w:rPr>
              <w:t>»</w:t>
            </w:r>
            <w:r w:rsidR="008A7725" w:rsidRPr="00D672E8">
              <w:rPr>
                <w:rFonts w:ascii="Andes" w:hAnsi="Andes"/>
                <w:color w:val="000000" w:themeColor="text1"/>
                <w:sz w:val="22"/>
                <w14:props3d w14:extrusionH="0" w14:contourW="0" w14:prstMaterial="matte"/>
              </w:rPr>
              <w:t>.</w:t>
            </w:r>
          </w:p>
        </w:tc>
      </w:tr>
      <w:tr w:rsidR="008A7725" w:rsidRPr="003B076C" w14:paraId="58F4918D"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323BBBDD"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CIP</w:t>
            </w:r>
          </w:p>
        </w:tc>
        <w:tc>
          <w:tcPr>
            <w:tcW w:w="6300" w:type="dxa"/>
            <w:tcBorders>
              <w:top w:val="single" w:sz="8" w:space="0" w:color="002060"/>
              <w:bottom w:val="single" w:sz="8" w:space="0" w:color="002060"/>
              <w:right w:val="single" w:sz="4" w:space="0" w:color="auto"/>
            </w:tcBorders>
            <w:shd w:val="clear" w:color="auto" w:fill="auto"/>
          </w:tcPr>
          <w:p w14:paraId="38A2CF39" w14:textId="77777777" w:rsidR="008A7725" w:rsidRPr="00D317C1"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 xml:space="preserve">Sigle d’Incoterms signifiant « Port payé, Assurance Comprise, Jusqu’à »... </w:t>
            </w:r>
            <w:r>
              <w:rPr>
                <w:rFonts w:ascii="Andes" w:hAnsi="Andes"/>
                <w:color w:val="000000" w:themeColor="text1"/>
                <w:sz w:val="22"/>
              </w:rPr>
              <w:t>[lieu de destination].</w:t>
            </w:r>
          </w:p>
        </w:tc>
      </w:tr>
      <w:tr w:rsidR="008A7725" w:rsidRPr="00D672E8" w14:paraId="19E4811E"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3980B1E1" w14:textId="316C262B" w:rsidR="008A7725" w:rsidRPr="00D317C1" w:rsidRDefault="008A7725" w:rsidP="00645F22">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 xml:space="preserve">Dialogue </w:t>
            </w:r>
            <w:r w:rsidR="00645F22">
              <w:rPr>
                <w:rFonts w:ascii="Andes" w:hAnsi="Andes"/>
                <w:b/>
                <w:color w:val="000000" w:themeColor="text1"/>
                <w:sz w:val="22"/>
              </w:rPr>
              <w:t>Compétitif</w:t>
            </w:r>
          </w:p>
        </w:tc>
        <w:tc>
          <w:tcPr>
            <w:tcW w:w="6300" w:type="dxa"/>
            <w:tcBorders>
              <w:top w:val="single" w:sz="8" w:space="0" w:color="002060"/>
              <w:bottom w:val="single" w:sz="8" w:space="0" w:color="002060"/>
              <w:right w:val="single" w:sz="4" w:space="0" w:color="auto"/>
            </w:tcBorders>
            <w:shd w:val="clear" w:color="auto" w:fill="auto"/>
          </w:tcPr>
          <w:p w14:paraId="1934CE8C" w14:textId="77777777"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 xml:space="preserve">Méthode de sélection pour les Fournitures, les Travaux ou les Services Autres des Services de Consultants décrite aux paragraphes 6.39 à 6.41 et à l’annexe XIII.  </w:t>
            </w:r>
          </w:p>
        </w:tc>
      </w:tr>
      <w:tr w:rsidR="008A7725" w:rsidRPr="00D672E8" w14:paraId="6C1788B5"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6E3A0E79"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Plainte</w:t>
            </w:r>
          </w:p>
        </w:tc>
        <w:tc>
          <w:tcPr>
            <w:tcW w:w="6300" w:type="dxa"/>
            <w:tcBorders>
              <w:top w:val="single" w:sz="8" w:space="0" w:color="002060"/>
              <w:bottom w:val="single" w:sz="8" w:space="0" w:color="002060"/>
              <w:right w:val="single" w:sz="4" w:space="0" w:color="auto"/>
            </w:tcBorders>
            <w:shd w:val="clear" w:color="auto" w:fill="auto"/>
          </w:tcPr>
          <w:p w14:paraId="444A2919" w14:textId="50720C05"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Plainte relative à la passation de marchés telle que décrite dans les paragraphes 3.2</w:t>
            </w:r>
            <w:r w:rsidR="00651A58">
              <w:rPr>
                <w:rFonts w:ascii="Andes" w:hAnsi="Andes"/>
                <w:color w:val="000000" w:themeColor="text1"/>
                <w:sz w:val="22"/>
              </w:rPr>
              <w:t>6</w:t>
            </w:r>
            <w:r w:rsidRPr="00B1581D">
              <w:rPr>
                <w:rFonts w:ascii="Andes" w:hAnsi="Andes"/>
                <w:color w:val="000000" w:themeColor="text1"/>
                <w:sz w:val="22"/>
              </w:rPr>
              <w:t xml:space="preserve"> à 3.3</w:t>
            </w:r>
            <w:r w:rsidR="005E34CD">
              <w:rPr>
                <w:rFonts w:ascii="Andes" w:hAnsi="Andes"/>
                <w:color w:val="000000" w:themeColor="text1"/>
                <w:sz w:val="22"/>
              </w:rPr>
              <w:t>1</w:t>
            </w:r>
            <w:r w:rsidRPr="00B1581D">
              <w:rPr>
                <w:rFonts w:ascii="Andes" w:hAnsi="Andes"/>
                <w:color w:val="000000" w:themeColor="text1"/>
                <w:sz w:val="22"/>
              </w:rPr>
              <w:t xml:space="preserve"> et à l’Annexe III Plaintes relatives à la Passation des Marchés.</w:t>
            </w:r>
          </w:p>
        </w:tc>
      </w:tr>
      <w:tr w:rsidR="008A7725" w:rsidRPr="00D672E8" w14:paraId="0179EE27"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5DE485C8"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Consultant</w:t>
            </w:r>
          </w:p>
        </w:tc>
        <w:tc>
          <w:tcPr>
            <w:tcW w:w="6300" w:type="dxa"/>
            <w:tcBorders>
              <w:top w:val="single" w:sz="8" w:space="0" w:color="002060"/>
              <w:bottom w:val="single" w:sz="8" w:space="0" w:color="002060"/>
              <w:right w:val="single" w:sz="4" w:space="0" w:color="auto"/>
            </w:tcBorders>
            <w:shd w:val="clear" w:color="auto" w:fill="auto"/>
          </w:tcPr>
          <w:p w14:paraId="22ED3794" w14:textId="60E9E741" w:rsidR="008A7725" w:rsidRPr="00B1581D" w:rsidRDefault="00B7279D" w:rsidP="00057B65">
            <w:pPr>
              <w:autoSpaceDE w:val="0"/>
              <w:autoSpaceDN w:val="0"/>
              <w:adjustRightInd w:val="0"/>
              <w:spacing w:before="80" w:after="80"/>
              <w:contextualSpacing w:val="0"/>
              <w:rPr>
                <w:rFonts w:ascii="Andes" w:hAnsi="Andes" w:cs="Arial"/>
                <w:color w:val="000000" w:themeColor="text1"/>
                <w:sz w:val="22"/>
                <w:szCs w:val="22"/>
                <w14:props3d w14:extrusionH="0" w14:contourW="0" w14:prstMaterial="matte"/>
              </w:rPr>
            </w:pPr>
            <w:r>
              <w:rPr>
                <w:rFonts w:ascii="Andes" w:hAnsi="Andes"/>
                <w:color w:val="000000" w:themeColor="text1"/>
                <w:sz w:val="22"/>
                <w14:props3d w14:extrusionH="0" w14:contourW="0" w14:prstMaterial="matte"/>
              </w:rPr>
              <w:t>Une v</w:t>
            </w:r>
            <w:r w:rsidR="008A7725" w:rsidRPr="00B1581D">
              <w:rPr>
                <w:rFonts w:ascii="Andes" w:hAnsi="Andes"/>
                <w:color w:val="000000" w:themeColor="text1"/>
                <w:sz w:val="22"/>
                <w14:props3d w14:extrusionH="0" w14:contourW="0" w14:prstMaterial="matte"/>
              </w:rPr>
              <w:t xml:space="preserve">ariété d’entités </w:t>
            </w:r>
            <w:r w:rsidR="0058002B">
              <w:rPr>
                <w:rFonts w:ascii="Andes" w:hAnsi="Andes"/>
                <w:color w:val="000000" w:themeColor="text1"/>
                <w:sz w:val="22"/>
                <w14:props3d w14:extrusionH="0" w14:contourW="0" w14:prstMaterial="matte"/>
              </w:rPr>
              <w:t xml:space="preserve">du secteur </w:t>
            </w:r>
            <w:r w:rsidR="008A7725" w:rsidRPr="00B1581D">
              <w:rPr>
                <w:rFonts w:ascii="Andes" w:hAnsi="Andes"/>
                <w:color w:val="000000" w:themeColor="text1"/>
                <w:sz w:val="22"/>
                <w14:props3d w14:extrusionH="0" w14:contourW="0" w14:prstMaterial="matte"/>
              </w:rPr>
              <w:t>privé</w:t>
            </w:r>
            <w:r w:rsidR="0058002B">
              <w:rPr>
                <w:rFonts w:ascii="Andes" w:hAnsi="Andes"/>
                <w:color w:val="000000" w:themeColor="text1"/>
                <w:sz w:val="22"/>
                <w14:props3d w14:extrusionH="0" w14:contourW="0" w14:prstMaterial="matte"/>
              </w:rPr>
              <w:t xml:space="preserve"> et du secteur public</w:t>
            </w:r>
            <w:r w:rsidR="008A7725" w:rsidRPr="00B1581D">
              <w:rPr>
                <w:rFonts w:ascii="Andes" w:hAnsi="Andes"/>
                <w:color w:val="000000" w:themeColor="text1"/>
                <w:sz w:val="22"/>
                <w14:props3d w14:extrusionH="0" w14:contourW="0" w14:prstMaterial="matte"/>
              </w:rPr>
              <w:t xml:space="preserve">, de </w:t>
            </w:r>
            <w:r w:rsidR="00057B65">
              <w:rPr>
                <w:rFonts w:ascii="Andes" w:hAnsi="Andes"/>
                <w:color w:val="000000" w:themeColor="text1"/>
                <w:sz w:val="22"/>
                <w14:props3d w14:extrusionH="0" w14:contourW="0" w14:prstMaterial="matte"/>
              </w:rPr>
              <w:t>groupements d’</w:t>
            </w:r>
            <w:r w:rsidR="008A7725" w:rsidRPr="00B1581D">
              <w:rPr>
                <w:rFonts w:ascii="Andes" w:hAnsi="Andes"/>
                <w:color w:val="000000" w:themeColor="text1"/>
                <w:sz w:val="22"/>
                <w14:props3d w14:extrusionH="0" w14:contourW="0" w14:prstMaterial="matte"/>
              </w:rPr>
              <w:t>entreprises ou d’individus qui fournissent des services à caractère consultatif ou professionnel. Lorsque le Consultant est un</w:t>
            </w:r>
            <w:r>
              <w:rPr>
                <w:rFonts w:ascii="Andes" w:hAnsi="Andes"/>
                <w:color w:val="000000" w:themeColor="text1"/>
                <w:sz w:val="22"/>
                <w14:props3d w14:extrusionH="0" w14:contourW="0" w14:prstMaterial="matte"/>
              </w:rPr>
              <w:t xml:space="preserve"> individu</w:t>
            </w:r>
            <w:r w:rsidR="008A7725" w:rsidRPr="00B1581D">
              <w:rPr>
                <w:rFonts w:ascii="Andes" w:hAnsi="Andes"/>
                <w:color w:val="000000" w:themeColor="text1"/>
                <w:sz w:val="22"/>
                <w14:props3d w14:extrusionH="0" w14:contourW="0" w14:prstMaterial="matte"/>
              </w:rPr>
              <w:t>, il n’est pas engagé par l’Emprunteur en tant qu’employé.</w:t>
            </w:r>
          </w:p>
        </w:tc>
      </w:tr>
      <w:tr w:rsidR="008A7725" w:rsidRPr="00D672E8" w14:paraId="050EECB9"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3DB20949"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Services de Consultants</w:t>
            </w:r>
          </w:p>
        </w:tc>
        <w:tc>
          <w:tcPr>
            <w:tcW w:w="6300" w:type="dxa"/>
            <w:tcBorders>
              <w:top w:val="single" w:sz="8" w:space="0" w:color="002060"/>
              <w:bottom w:val="single" w:sz="8" w:space="0" w:color="002060"/>
              <w:right w:val="single" w:sz="4" w:space="0" w:color="auto"/>
            </w:tcBorders>
            <w:shd w:val="clear" w:color="auto" w:fill="auto"/>
          </w:tcPr>
          <w:p w14:paraId="721B1B6C" w14:textId="77777777" w:rsidR="008A7725" w:rsidRPr="00B1581D" w:rsidRDefault="008A7725" w:rsidP="006D600B">
            <w:pPr>
              <w:autoSpaceDE w:val="0"/>
              <w:autoSpaceDN w:val="0"/>
              <w:adjustRightInd w:val="0"/>
              <w:spacing w:before="80" w:after="80"/>
              <w:contextualSpacing w:val="0"/>
              <w:rPr>
                <w:rFonts w:ascii="Andes" w:hAnsi="Andes" w:cs="Arial"/>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Terme couvrant une gamme de services à caractère consultatif ou professionnel fournis par des Consultants.</w:t>
            </w:r>
          </w:p>
          <w:p w14:paraId="14F7E4BD" w14:textId="23759FC4" w:rsidR="008A7725" w:rsidRPr="00B1581D" w:rsidRDefault="008A7725" w:rsidP="001902BB">
            <w:pPr>
              <w:autoSpaceDE w:val="0"/>
              <w:autoSpaceDN w:val="0"/>
              <w:adjustRightInd w:val="0"/>
              <w:spacing w:before="80" w:after="80"/>
              <w:contextualSpacing w:val="0"/>
              <w:rPr>
                <w:rFonts w:ascii="Andes" w:hAnsi="Andes" w:cs="Arial"/>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 xml:space="preserve">Ces Services consistent généralement en la fourniture </w:t>
            </w:r>
            <w:r w:rsidR="00B7279D">
              <w:rPr>
                <w:rFonts w:ascii="Andes" w:hAnsi="Andes"/>
                <w:color w:val="000000" w:themeColor="text1"/>
                <w:sz w:val="22"/>
                <w14:props3d w14:extrusionH="0" w14:contourW="0" w14:prstMaterial="matte"/>
              </w:rPr>
              <w:t>de conseils</w:t>
            </w:r>
            <w:r w:rsidRPr="00B1581D">
              <w:rPr>
                <w:rFonts w:ascii="Andes" w:hAnsi="Andes"/>
                <w:color w:val="000000" w:themeColor="text1"/>
                <w:sz w:val="22"/>
                <w14:props3d w14:extrusionH="0" w14:contourW="0" w14:prstMaterial="matte"/>
              </w:rPr>
              <w:t xml:space="preserve"> d’expert ou de conseils stratégiques, </w:t>
            </w:r>
            <w:r w:rsidR="00B7279D">
              <w:rPr>
                <w:rFonts w:ascii="Andes" w:hAnsi="Andes"/>
                <w:color w:val="000000" w:themeColor="text1"/>
                <w:sz w:val="22"/>
                <w14:props3d w14:extrusionH="0" w14:contourW="0" w14:prstMaterial="matte"/>
              </w:rPr>
              <w:t>par exemple,</w:t>
            </w:r>
            <w:r w:rsidRPr="00B1581D">
              <w:rPr>
                <w:rFonts w:ascii="Andes" w:hAnsi="Andes"/>
                <w:color w:val="000000" w:themeColor="text1"/>
                <w:sz w:val="22"/>
                <w14:props3d w14:extrusionH="0" w14:contourW="0" w14:prstMaterial="matte"/>
              </w:rPr>
              <w:t xml:space="preserve"> </w:t>
            </w:r>
            <w:r w:rsidR="00B7279D">
              <w:rPr>
                <w:rFonts w:ascii="Andes" w:hAnsi="Andes"/>
                <w:color w:val="000000" w:themeColor="text1"/>
                <w:sz w:val="22"/>
                <w14:props3d w14:extrusionH="0" w14:contourW="0" w14:prstMaterial="matte"/>
              </w:rPr>
              <w:t>l</w:t>
            </w:r>
            <w:r w:rsidRPr="00B1581D">
              <w:rPr>
                <w:rFonts w:ascii="Andes" w:hAnsi="Andes"/>
                <w:color w:val="000000" w:themeColor="text1"/>
                <w:sz w:val="22"/>
                <w14:props3d w14:extrusionH="0" w14:contourW="0" w14:prstMaterial="matte"/>
              </w:rPr>
              <w:t xml:space="preserve">es </w:t>
            </w:r>
            <w:r w:rsidR="00B7279D">
              <w:rPr>
                <w:rFonts w:ascii="Andes" w:hAnsi="Andes"/>
                <w:color w:val="000000" w:themeColor="text1"/>
                <w:sz w:val="22"/>
                <w14:props3d w14:extrusionH="0" w14:contourW="0" w14:prstMaterial="matte"/>
              </w:rPr>
              <w:t xml:space="preserve">services de </w:t>
            </w:r>
            <w:r w:rsidRPr="00B1581D">
              <w:rPr>
                <w:rFonts w:ascii="Andes" w:hAnsi="Andes"/>
                <w:color w:val="000000" w:themeColor="text1"/>
                <w:sz w:val="22"/>
                <w14:props3d w14:extrusionH="0" w14:contourW="0" w14:prstMaterial="matte"/>
              </w:rPr>
              <w:t xml:space="preserve">consultants en gestion, </w:t>
            </w:r>
            <w:r w:rsidR="00B7279D">
              <w:rPr>
                <w:rFonts w:ascii="Andes" w:hAnsi="Andes"/>
                <w:color w:val="000000" w:themeColor="text1"/>
                <w:sz w:val="22"/>
                <w14:props3d w14:extrusionH="0" w14:contourW="0" w14:prstMaterial="matte"/>
              </w:rPr>
              <w:t>l</w:t>
            </w:r>
            <w:r w:rsidRPr="00B1581D">
              <w:rPr>
                <w:rFonts w:ascii="Andes" w:hAnsi="Andes"/>
                <w:color w:val="000000" w:themeColor="text1"/>
                <w:sz w:val="22"/>
                <w14:props3d w14:extrusionH="0" w14:contourW="0" w14:prstMaterial="matte"/>
              </w:rPr>
              <w:t xml:space="preserve">es </w:t>
            </w:r>
            <w:r w:rsidR="00B7279D">
              <w:rPr>
                <w:rFonts w:ascii="Andes" w:hAnsi="Andes"/>
                <w:color w:val="000000" w:themeColor="text1"/>
                <w:sz w:val="22"/>
                <w14:props3d w14:extrusionH="0" w14:contourW="0" w14:prstMaterial="matte"/>
              </w:rPr>
              <w:t xml:space="preserve">services de </w:t>
            </w:r>
            <w:r w:rsidRPr="00B1581D">
              <w:rPr>
                <w:rFonts w:ascii="Andes" w:hAnsi="Andes"/>
                <w:color w:val="000000" w:themeColor="text1"/>
                <w:sz w:val="22"/>
                <w14:props3d w14:extrusionH="0" w14:contourW="0" w14:prstMaterial="matte"/>
              </w:rPr>
              <w:t xml:space="preserve">consultants en politiques publiques ou </w:t>
            </w:r>
            <w:r w:rsidR="00B7279D">
              <w:rPr>
                <w:rFonts w:ascii="Andes" w:hAnsi="Andes"/>
                <w:color w:val="000000" w:themeColor="text1"/>
                <w:sz w:val="22"/>
                <w14:props3d w14:extrusionH="0" w14:contourW="0" w14:prstMaterial="matte"/>
              </w:rPr>
              <w:t>l</w:t>
            </w:r>
            <w:r w:rsidRPr="00B1581D">
              <w:rPr>
                <w:rFonts w:ascii="Andes" w:hAnsi="Andes"/>
                <w:color w:val="000000" w:themeColor="text1"/>
                <w:sz w:val="22"/>
                <w14:props3d w14:extrusionH="0" w14:contourW="0" w14:prstMaterial="matte"/>
              </w:rPr>
              <w:t xml:space="preserve">es </w:t>
            </w:r>
            <w:r w:rsidR="00B7279D">
              <w:rPr>
                <w:rFonts w:ascii="Andes" w:hAnsi="Andes"/>
                <w:color w:val="000000" w:themeColor="text1"/>
                <w:sz w:val="22"/>
                <w14:props3d w14:extrusionH="0" w14:contourW="0" w14:prstMaterial="matte"/>
              </w:rPr>
              <w:t xml:space="preserve">services de </w:t>
            </w:r>
            <w:r w:rsidRPr="00B1581D">
              <w:rPr>
                <w:rFonts w:ascii="Andes" w:hAnsi="Andes"/>
                <w:color w:val="000000" w:themeColor="text1"/>
                <w:sz w:val="22"/>
                <w14:props3d w14:extrusionH="0" w14:contourW="0" w14:prstMaterial="matte"/>
              </w:rPr>
              <w:t xml:space="preserve">consultants en communication. Les Services de Consultants à caractère consultatif ou liés à un projet incluent, à titre d’exemple, </w:t>
            </w:r>
            <w:r w:rsidR="001902BB">
              <w:rPr>
                <w:rFonts w:ascii="Andes" w:hAnsi="Andes"/>
                <w:color w:val="000000" w:themeColor="text1"/>
                <w:sz w:val="22"/>
                <w14:props3d w14:extrusionH="0" w14:contourW="0" w14:prstMaterial="matte"/>
              </w:rPr>
              <w:t>l</w:t>
            </w:r>
            <w:r w:rsidRPr="00B1581D">
              <w:rPr>
                <w:rFonts w:ascii="Andes" w:hAnsi="Andes"/>
                <w:color w:val="000000" w:themeColor="text1"/>
                <w:sz w:val="22"/>
                <w14:props3d w14:extrusionH="0" w14:contourW="0" w14:prstMaterial="matte"/>
              </w:rPr>
              <w:t>es études de faisabilité, la gestion de projets, les services d’ingénierie, les services financiers et comptables, la formation et le perfectionnement.</w:t>
            </w:r>
          </w:p>
        </w:tc>
      </w:tr>
      <w:tr w:rsidR="008A7725" w:rsidRPr="00D672E8" w14:paraId="2AA98892"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289C2251" w14:textId="77777777" w:rsidR="008A7725" w:rsidRPr="00B1581D"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sidRPr="00B1581D">
              <w:rPr>
                <w:rFonts w:ascii="Andes" w:hAnsi="Andes"/>
                <w:b/>
                <w:color w:val="000000" w:themeColor="text1"/>
                <w:sz w:val="22"/>
              </w:rPr>
              <w:t>Avis d’Attribution de Marché/Contrat</w:t>
            </w:r>
          </w:p>
        </w:tc>
        <w:tc>
          <w:tcPr>
            <w:tcW w:w="6300" w:type="dxa"/>
            <w:tcBorders>
              <w:top w:val="single" w:sz="8" w:space="0" w:color="002060"/>
              <w:bottom w:val="single" w:sz="8" w:space="0" w:color="002060"/>
              <w:right w:val="single" w:sz="4" w:space="0" w:color="auto"/>
            </w:tcBorders>
            <w:shd w:val="clear" w:color="auto" w:fill="auto"/>
          </w:tcPr>
          <w:p w14:paraId="08DD3E3E" w14:textId="46506764" w:rsidR="008A7725" w:rsidRPr="00B1581D" w:rsidRDefault="008A7725" w:rsidP="001902B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 xml:space="preserve">Avis d’attribution de marché ou de contrat, </w:t>
            </w:r>
            <w:r w:rsidR="001902BB">
              <w:rPr>
                <w:rFonts w:ascii="Andes" w:hAnsi="Andes"/>
                <w:color w:val="000000" w:themeColor="text1"/>
                <w:sz w:val="22"/>
              </w:rPr>
              <w:t>tel que décrit</w:t>
            </w:r>
            <w:r w:rsidRPr="00B1581D">
              <w:rPr>
                <w:rFonts w:ascii="Andes" w:hAnsi="Andes"/>
                <w:color w:val="000000" w:themeColor="text1"/>
                <w:sz w:val="22"/>
              </w:rPr>
              <w:t xml:space="preserve"> aux paragraphes</w:t>
            </w:r>
            <w:r w:rsidRPr="00B1581D">
              <w:rPr>
                <w:rFonts w:ascii="Calibri" w:hAnsi="Calibri" w:cs="Calibri"/>
                <w:color w:val="000000" w:themeColor="text1"/>
                <w:sz w:val="22"/>
              </w:rPr>
              <w:t> </w:t>
            </w:r>
            <w:r w:rsidRPr="00B1581D">
              <w:rPr>
                <w:rFonts w:ascii="Andes" w:hAnsi="Andes"/>
                <w:color w:val="000000" w:themeColor="text1"/>
                <w:sz w:val="22"/>
              </w:rPr>
              <w:t>5.9</w:t>
            </w:r>
            <w:r w:rsidR="001C480C">
              <w:rPr>
                <w:rFonts w:ascii="Andes" w:hAnsi="Andes"/>
                <w:color w:val="000000" w:themeColor="text1"/>
                <w:sz w:val="22"/>
              </w:rPr>
              <w:t>4</w:t>
            </w:r>
            <w:r w:rsidRPr="00B1581D">
              <w:rPr>
                <w:rFonts w:ascii="Andes" w:hAnsi="Andes"/>
                <w:color w:val="000000" w:themeColor="text1"/>
                <w:sz w:val="22"/>
              </w:rPr>
              <w:t xml:space="preserve"> </w:t>
            </w:r>
            <w:r w:rsidRPr="00B1581D">
              <w:rPr>
                <w:rFonts w:ascii="Andes" w:hAnsi="Andes" w:cs="Andes"/>
                <w:color w:val="000000" w:themeColor="text1"/>
                <w:sz w:val="22"/>
              </w:rPr>
              <w:t>à</w:t>
            </w:r>
            <w:r w:rsidRPr="00B1581D">
              <w:rPr>
                <w:rFonts w:ascii="Andes" w:hAnsi="Andes"/>
                <w:color w:val="000000" w:themeColor="text1"/>
                <w:sz w:val="22"/>
              </w:rPr>
              <w:t xml:space="preserve"> 5.9</w:t>
            </w:r>
            <w:r w:rsidR="001C480C">
              <w:rPr>
                <w:rFonts w:ascii="Andes" w:hAnsi="Andes"/>
                <w:color w:val="000000" w:themeColor="text1"/>
                <w:sz w:val="22"/>
              </w:rPr>
              <w:t>6</w:t>
            </w:r>
            <w:r w:rsidRPr="00B1581D">
              <w:rPr>
                <w:rFonts w:ascii="Andes" w:hAnsi="Andes"/>
                <w:color w:val="000000" w:themeColor="text1"/>
                <w:sz w:val="22"/>
              </w:rPr>
              <w:t>.</w:t>
            </w:r>
          </w:p>
        </w:tc>
      </w:tr>
      <w:tr w:rsidR="008A7725" w:rsidRPr="00D672E8" w14:paraId="2FCBEBF8"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44E91DC8" w14:textId="77777777" w:rsidR="008A7725" w:rsidRPr="00B1581D"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sidRPr="00B1581D">
              <w:rPr>
                <w:rFonts w:ascii="Andes" w:hAnsi="Andes"/>
                <w:b/>
                <w:color w:val="000000" w:themeColor="text1"/>
                <w:sz w:val="22"/>
              </w:rPr>
              <w:t>Principes Fondamentaux de Passation des Marchés</w:t>
            </w:r>
          </w:p>
        </w:tc>
        <w:tc>
          <w:tcPr>
            <w:tcW w:w="6300" w:type="dxa"/>
            <w:tcBorders>
              <w:top w:val="single" w:sz="8" w:space="0" w:color="002060"/>
              <w:bottom w:val="single" w:sz="8" w:space="0" w:color="002060"/>
              <w:right w:val="single" w:sz="4" w:space="0" w:color="auto"/>
            </w:tcBorders>
            <w:shd w:val="clear" w:color="auto" w:fill="auto"/>
          </w:tcPr>
          <w:p w14:paraId="3E286C34" w14:textId="6F781ADD" w:rsidR="008A7725" w:rsidRPr="00B1581D" w:rsidRDefault="008A7725" w:rsidP="00CE374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 xml:space="preserve">Les Principes Fondamentaux de Passation des Marchés </w:t>
            </w:r>
            <w:r w:rsidR="001902BB">
              <w:rPr>
                <w:rFonts w:ascii="Andes" w:hAnsi="Andes"/>
                <w:color w:val="000000" w:themeColor="text1"/>
                <w:sz w:val="22"/>
              </w:rPr>
              <w:t>pour</w:t>
            </w:r>
            <w:r w:rsidRPr="00B1581D">
              <w:rPr>
                <w:rFonts w:ascii="Andes" w:hAnsi="Andes"/>
                <w:color w:val="000000" w:themeColor="text1"/>
                <w:sz w:val="22"/>
              </w:rPr>
              <w:t xml:space="preserve"> la Banque (optimisation des ressources, économie, intégrité, adaptation </w:t>
            </w:r>
            <w:r w:rsidR="00CE374B">
              <w:rPr>
                <w:rFonts w:ascii="Andes" w:hAnsi="Andes"/>
                <w:color w:val="000000" w:themeColor="text1"/>
                <w:sz w:val="22"/>
              </w:rPr>
              <w:t>aux besoins</w:t>
            </w:r>
            <w:r w:rsidRPr="00B1581D">
              <w:rPr>
                <w:rFonts w:ascii="Andes" w:hAnsi="Andes"/>
                <w:color w:val="000000" w:themeColor="text1"/>
                <w:sz w:val="22"/>
              </w:rPr>
              <w:t xml:space="preserve">, </w:t>
            </w:r>
            <w:r w:rsidR="00CE374B">
              <w:rPr>
                <w:rFonts w:ascii="Andes" w:hAnsi="Andes"/>
                <w:color w:val="000000" w:themeColor="text1"/>
                <w:sz w:val="22"/>
              </w:rPr>
              <w:t>efficacité</w:t>
            </w:r>
            <w:r w:rsidRPr="00B1581D">
              <w:rPr>
                <w:rFonts w:ascii="Andes" w:hAnsi="Andes"/>
                <w:color w:val="000000" w:themeColor="text1"/>
                <w:sz w:val="22"/>
              </w:rPr>
              <w:t>, transparence et équité) sont énoncés de manière détaillée à la Section</w:t>
            </w:r>
            <w:r w:rsidRPr="00B1581D">
              <w:rPr>
                <w:rFonts w:ascii="Calibri" w:hAnsi="Calibri" w:cs="Calibri"/>
                <w:color w:val="000000" w:themeColor="text1"/>
                <w:sz w:val="22"/>
              </w:rPr>
              <w:t> </w:t>
            </w:r>
            <w:r w:rsidRPr="00B1581D">
              <w:rPr>
                <w:rFonts w:ascii="Andes" w:hAnsi="Andes"/>
                <w:color w:val="000000" w:themeColor="text1"/>
                <w:sz w:val="22"/>
              </w:rPr>
              <w:t xml:space="preserve">III.C de la Politique de la </w:t>
            </w:r>
            <w:r w:rsidRPr="00B1581D">
              <w:rPr>
                <w:rFonts w:ascii="Andes" w:hAnsi="Andes"/>
                <w:color w:val="000000" w:themeColor="text1"/>
                <w:sz w:val="22"/>
              </w:rPr>
              <w:lastRenderedPageBreak/>
              <w:t>Banque intitul</w:t>
            </w:r>
            <w:r w:rsidRPr="00B1581D">
              <w:rPr>
                <w:rFonts w:ascii="Andes" w:hAnsi="Andes" w:cs="Andes"/>
                <w:color w:val="000000" w:themeColor="text1"/>
                <w:sz w:val="22"/>
              </w:rPr>
              <w:t>é</w:t>
            </w:r>
            <w:r w:rsidRPr="00B1581D">
              <w:rPr>
                <w:rFonts w:ascii="Andes" w:hAnsi="Andes"/>
                <w:color w:val="000000" w:themeColor="text1"/>
                <w:sz w:val="22"/>
              </w:rPr>
              <w:t xml:space="preserve">e </w:t>
            </w:r>
            <w:r w:rsidRPr="00B1581D">
              <w:rPr>
                <w:rFonts w:ascii="Andes" w:hAnsi="Andes" w:cs="Andes"/>
                <w:color w:val="000000" w:themeColor="text1"/>
                <w:sz w:val="22"/>
              </w:rPr>
              <w:t>«</w:t>
            </w:r>
            <w:r w:rsidRPr="00B1581D">
              <w:rPr>
                <w:rFonts w:ascii="Calibri" w:hAnsi="Calibri" w:cs="Calibri"/>
                <w:color w:val="000000" w:themeColor="text1"/>
                <w:sz w:val="22"/>
              </w:rPr>
              <w:t> </w:t>
            </w:r>
            <w:r w:rsidRPr="00B1581D">
              <w:rPr>
                <w:rFonts w:ascii="Andes" w:hAnsi="Andes"/>
                <w:color w:val="000000" w:themeColor="text1"/>
                <w:sz w:val="22"/>
              </w:rPr>
              <w:t>Passation des march</w:t>
            </w:r>
            <w:r w:rsidRPr="00B1581D">
              <w:rPr>
                <w:rFonts w:ascii="Andes" w:hAnsi="Andes" w:cs="Andes"/>
                <w:color w:val="000000" w:themeColor="text1"/>
                <w:sz w:val="22"/>
              </w:rPr>
              <w:t>é</w:t>
            </w:r>
            <w:r w:rsidRPr="00B1581D">
              <w:rPr>
                <w:rFonts w:ascii="Andes" w:hAnsi="Andes"/>
                <w:color w:val="000000" w:themeColor="text1"/>
                <w:sz w:val="22"/>
              </w:rPr>
              <w:t>s dans le cadre d</w:t>
            </w:r>
            <w:r w:rsidRPr="00B1581D">
              <w:rPr>
                <w:rFonts w:ascii="Andes" w:hAnsi="Andes" w:cs="Andes"/>
                <w:color w:val="000000" w:themeColor="text1"/>
                <w:sz w:val="22"/>
              </w:rPr>
              <w:t>’</w:t>
            </w:r>
            <w:r w:rsidRPr="00B1581D">
              <w:rPr>
                <w:rFonts w:ascii="Andes" w:hAnsi="Andes"/>
                <w:color w:val="000000" w:themeColor="text1"/>
                <w:sz w:val="22"/>
              </w:rPr>
              <w:t>un FPI et autres questions li</w:t>
            </w:r>
            <w:r w:rsidRPr="00B1581D">
              <w:rPr>
                <w:rFonts w:ascii="Andes" w:hAnsi="Andes" w:cs="Andes"/>
                <w:color w:val="000000" w:themeColor="text1"/>
                <w:sz w:val="22"/>
              </w:rPr>
              <w:t>é</w:t>
            </w:r>
            <w:r w:rsidRPr="00B1581D">
              <w:rPr>
                <w:rFonts w:ascii="Andes" w:hAnsi="Andes"/>
                <w:color w:val="000000" w:themeColor="text1"/>
                <w:sz w:val="22"/>
              </w:rPr>
              <w:t xml:space="preserve">es </w:t>
            </w:r>
            <w:r w:rsidRPr="00B1581D">
              <w:rPr>
                <w:rFonts w:ascii="Andes" w:hAnsi="Andes" w:cs="Andes"/>
                <w:color w:val="000000" w:themeColor="text1"/>
                <w:sz w:val="22"/>
              </w:rPr>
              <w:t>à</w:t>
            </w:r>
            <w:r w:rsidRPr="00B1581D">
              <w:rPr>
                <w:rFonts w:ascii="Andes" w:hAnsi="Andes"/>
                <w:color w:val="000000" w:themeColor="text1"/>
                <w:sz w:val="22"/>
              </w:rPr>
              <w:t xml:space="preserve"> la passation des march</w:t>
            </w:r>
            <w:r w:rsidRPr="00B1581D">
              <w:rPr>
                <w:rFonts w:ascii="Andes" w:hAnsi="Andes" w:cs="Andes"/>
                <w:color w:val="000000" w:themeColor="text1"/>
                <w:sz w:val="22"/>
              </w:rPr>
              <w:t>é</w:t>
            </w:r>
            <w:r w:rsidRPr="00B1581D">
              <w:rPr>
                <w:rFonts w:ascii="Andes" w:hAnsi="Andes"/>
                <w:color w:val="000000" w:themeColor="text1"/>
                <w:sz w:val="22"/>
              </w:rPr>
              <w:t>s pour les projets</w:t>
            </w:r>
            <w:r w:rsidRPr="00B1581D">
              <w:rPr>
                <w:rFonts w:ascii="Calibri" w:hAnsi="Calibri" w:cs="Calibri"/>
                <w:color w:val="000000" w:themeColor="text1"/>
                <w:sz w:val="22"/>
              </w:rPr>
              <w:t> </w:t>
            </w:r>
            <w:r w:rsidRPr="00B1581D">
              <w:rPr>
                <w:rFonts w:ascii="Andes" w:hAnsi="Andes" w:cs="Andes"/>
                <w:color w:val="000000" w:themeColor="text1"/>
                <w:sz w:val="22"/>
              </w:rPr>
              <w:t>»</w:t>
            </w:r>
            <w:r w:rsidRPr="00B1581D">
              <w:rPr>
                <w:rFonts w:ascii="Calibri" w:hAnsi="Calibri" w:cs="Calibri"/>
                <w:color w:val="000000" w:themeColor="text1"/>
                <w:sz w:val="22"/>
              </w:rPr>
              <w:t>.</w:t>
            </w:r>
            <w:r w:rsidRPr="00B1581D">
              <w:rPr>
                <w:rFonts w:ascii="Andes" w:hAnsi="Andes"/>
                <w:color w:val="000000" w:themeColor="text1"/>
                <w:sz w:val="22"/>
              </w:rPr>
              <w:t xml:space="preserve"> </w:t>
            </w:r>
          </w:p>
        </w:tc>
      </w:tr>
      <w:tr w:rsidR="008A7725" w:rsidRPr="00D672E8" w14:paraId="7992B5AA" w14:textId="77777777" w:rsidTr="006D600B">
        <w:tc>
          <w:tcPr>
            <w:tcW w:w="2970" w:type="dxa"/>
            <w:tcBorders>
              <w:top w:val="single" w:sz="8" w:space="0" w:color="002060"/>
              <w:left w:val="single" w:sz="4" w:space="0" w:color="auto"/>
              <w:bottom w:val="single" w:sz="4" w:space="0" w:color="auto"/>
            </w:tcBorders>
            <w:shd w:val="clear" w:color="auto" w:fill="D9D9D9" w:themeFill="background1" w:themeFillShade="D9"/>
          </w:tcPr>
          <w:p w14:paraId="3D286435"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lastRenderedPageBreak/>
              <w:t>SQC</w:t>
            </w:r>
          </w:p>
        </w:tc>
        <w:tc>
          <w:tcPr>
            <w:tcW w:w="6300" w:type="dxa"/>
            <w:tcBorders>
              <w:top w:val="single" w:sz="8" w:space="0" w:color="002060"/>
              <w:bottom w:val="single" w:sz="4" w:space="0" w:color="auto"/>
              <w:right w:val="single" w:sz="4" w:space="0" w:color="auto"/>
            </w:tcBorders>
            <w:shd w:val="clear" w:color="auto" w:fill="auto"/>
          </w:tcPr>
          <w:p w14:paraId="51991A4C" w14:textId="54B92D1D" w:rsidR="008A7725" w:rsidRPr="00B1581D" w:rsidRDefault="008A7725" w:rsidP="00CE374B">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 xml:space="preserve">Sélection fondée sur les qualifications </w:t>
            </w:r>
            <w:r w:rsidRPr="00AF490D">
              <w:rPr>
                <w:rFonts w:ascii="Andes" w:hAnsi="Andes"/>
                <w:color w:val="000000" w:themeColor="text1"/>
                <w:sz w:val="22"/>
                <w14:props3d w14:extrusionH="0" w14:contourW="0" w14:prstMaterial="matte"/>
              </w:rPr>
              <w:t>du Consultant</w:t>
            </w:r>
            <w:r w:rsidRPr="00B1581D">
              <w:rPr>
                <w:rFonts w:ascii="Andes" w:hAnsi="Andes"/>
                <w:color w:val="000000" w:themeColor="text1"/>
                <w:sz w:val="22"/>
                <w14:props3d w14:extrusionH="0" w14:contourW="0" w14:prstMaterial="matte"/>
              </w:rPr>
              <w:t>.</w:t>
            </w:r>
          </w:p>
        </w:tc>
      </w:tr>
      <w:tr w:rsidR="008A7725" w:rsidRPr="00D672E8" w14:paraId="60A6618B" w14:textId="77777777" w:rsidTr="006D600B">
        <w:tc>
          <w:tcPr>
            <w:tcW w:w="2970" w:type="dxa"/>
            <w:tcBorders>
              <w:top w:val="single" w:sz="4" w:space="0" w:color="auto"/>
              <w:left w:val="single" w:sz="4" w:space="0" w:color="auto"/>
              <w:bottom w:val="single" w:sz="8" w:space="0" w:color="002060"/>
            </w:tcBorders>
            <w:shd w:val="clear" w:color="auto" w:fill="D9D9D9" w:themeFill="background1" w:themeFillShade="D9"/>
          </w:tcPr>
          <w:p w14:paraId="0C5035B8"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Situations d’Urgence</w:t>
            </w:r>
          </w:p>
        </w:tc>
        <w:tc>
          <w:tcPr>
            <w:tcW w:w="6300" w:type="dxa"/>
            <w:tcBorders>
              <w:top w:val="single" w:sz="4" w:space="0" w:color="auto"/>
              <w:bottom w:val="single" w:sz="8" w:space="0" w:color="002060"/>
              <w:right w:val="single" w:sz="4" w:space="0" w:color="auto"/>
            </w:tcBorders>
            <w:shd w:val="clear" w:color="auto" w:fill="auto"/>
          </w:tcPr>
          <w:p w14:paraId="7C298A2A" w14:textId="1605E6CF" w:rsidR="008A7725" w:rsidRPr="00B1581D" w:rsidRDefault="008A7725" w:rsidP="00195FB7">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 xml:space="preserve">Aux fins du présent Règlement de Passation des Marchés, les Situations d’Urgence incluent les cas où la Banque juge que l’Emprunteur ou le bénéficiaire ou, le cas échéant, le pays membre a </w:t>
            </w:r>
            <w:r w:rsidR="00CE374B">
              <w:rPr>
                <w:rFonts w:ascii="Andes" w:hAnsi="Andes"/>
                <w:color w:val="000000" w:themeColor="text1"/>
                <w:sz w:val="22"/>
                <w14:props3d w14:extrusionH="0" w14:contourW="0" w14:prstMaterial="matte"/>
              </w:rPr>
              <w:t xml:space="preserve">un </w:t>
            </w:r>
            <w:r w:rsidRPr="00B1581D">
              <w:rPr>
                <w:rFonts w:ascii="Andes" w:hAnsi="Andes"/>
                <w:color w:val="000000" w:themeColor="text1"/>
                <w:sz w:val="22"/>
                <w14:props3d w14:extrusionH="0" w14:contourW="0" w14:prstMaterial="matte"/>
              </w:rPr>
              <w:t>besoin urgen</w:t>
            </w:r>
            <w:r w:rsidR="00195FB7">
              <w:rPr>
                <w:rFonts w:ascii="Andes" w:hAnsi="Andes"/>
                <w:color w:val="000000" w:themeColor="text1"/>
                <w:sz w:val="22"/>
                <w14:props3d w14:extrusionH="0" w14:contourW="0" w14:prstMaterial="matte"/>
              </w:rPr>
              <w:t>t d’assistance</w:t>
            </w:r>
            <w:r w:rsidRPr="00B1581D">
              <w:rPr>
                <w:rFonts w:ascii="Andes" w:hAnsi="Andes"/>
                <w:color w:val="000000" w:themeColor="text1"/>
                <w:sz w:val="22"/>
                <w14:props3d w14:extrusionH="0" w14:contourW="0" w14:prstMaterial="matte"/>
              </w:rPr>
              <w:t xml:space="preserve"> en raison d’une catastrophe </w:t>
            </w:r>
            <w:r w:rsidR="00195FB7" w:rsidRPr="00B1581D">
              <w:rPr>
                <w:rFonts w:ascii="Andes" w:hAnsi="Andes"/>
                <w:color w:val="000000" w:themeColor="text1"/>
                <w:sz w:val="22"/>
                <w14:props3d w14:extrusionH="0" w14:contourW="0" w14:prstMaterial="matte"/>
              </w:rPr>
              <w:t xml:space="preserve">ou d’un conflit </w:t>
            </w:r>
            <w:r w:rsidRPr="00B1581D">
              <w:rPr>
                <w:rFonts w:ascii="Andes" w:hAnsi="Andes"/>
                <w:color w:val="000000" w:themeColor="text1"/>
                <w:sz w:val="22"/>
                <w14:props3d w14:extrusionH="0" w14:contourW="0" w14:prstMaterial="matte"/>
              </w:rPr>
              <w:t>d’origine naturelle ou humaine</w:t>
            </w:r>
            <w:r w:rsidR="00332FCD">
              <w:rPr>
                <w:rFonts w:ascii="Andes" w:hAnsi="Andes"/>
                <w:color w:val="000000" w:themeColor="text1"/>
                <w:sz w:val="22"/>
                <w14:props3d w14:extrusionH="0" w14:contourW="0" w14:prstMaterial="matte"/>
              </w:rPr>
              <w:t>.</w:t>
            </w:r>
          </w:p>
        </w:tc>
      </w:tr>
      <w:tr w:rsidR="008A7725" w:rsidRPr="003B076C" w14:paraId="72CDBEAA" w14:textId="77777777" w:rsidTr="006D600B">
        <w:tc>
          <w:tcPr>
            <w:tcW w:w="2970" w:type="dxa"/>
            <w:tcBorders>
              <w:top w:val="single" w:sz="4" w:space="0" w:color="auto"/>
              <w:left w:val="single" w:sz="4" w:space="0" w:color="auto"/>
              <w:bottom w:val="single" w:sz="8" w:space="0" w:color="002060"/>
            </w:tcBorders>
            <w:shd w:val="clear" w:color="auto" w:fill="D9D9D9" w:themeFill="background1" w:themeFillShade="D9"/>
          </w:tcPr>
          <w:p w14:paraId="69F90E19" w14:textId="61AF0517" w:rsidR="008A7725" w:rsidRPr="00D317C1" w:rsidRDefault="008A7725" w:rsidP="008006C2">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MI</w:t>
            </w:r>
          </w:p>
        </w:tc>
        <w:tc>
          <w:tcPr>
            <w:tcW w:w="6300" w:type="dxa"/>
            <w:tcBorders>
              <w:top w:val="single" w:sz="4" w:space="0" w:color="auto"/>
              <w:bottom w:val="single" w:sz="8" w:space="0" w:color="002060"/>
              <w:right w:val="single" w:sz="4" w:space="0" w:color="auto"/>
            </w:tcBorders>
            <w:shd w:val="clear" w:color="auto" w:fill="auto"/>
          </w:tcPr>
          <w:p w14:paraId="129ED7E9" w14:textId="77777777" w:rsidR="008A7725" w:rsidRPr="00D317C1" w:rsidRDefault="008A7725" w:rsidP="006D600B">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Pr>
                <w:rFonts w:ascii="Andes" w:hAnsi="Andes"/>
                <w:color w:val="000000" w:themeColor="text1"/>
                <w:sz w:val="22"/>
                <w14:props3d w14:extrusionH="0" w14:contourW="0" w14:prstMaterial="matte"/>
              </w:rPr>
              <w:t>Manifestation d’Intérêt.</w:t>
            </w:r>
          </w:p>
        </w:tc>
      </w:tr>
      <w:tr w:rsidR="00233070" w:rsidRPr="003B076C" w14:paraId="13A27CC3"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6F52AB4C" w14:textId="06487423" w:rsidR="00233070" w:rsidRDefault="00233070" w:rsidP="006D600B">
            <w:pPr>
              <w:autoSpaceDE w:val="0"/>
              <w:autoSpaceDN w:val="0"/>
              <w:adjustRightInd w:val="0"/>
              <w:spacing w:before="80" w:after="80"/>
              <w:contextualSpacing w:val="0"/>
              <w:jc w:val="left"/>
              <w:rPr>
                <w:rFonts w:ascii="Andes" w:hAnsi="Andes"/>
                <w:b/>
                <w:color w:val="000000" w:themeColor="text1"/>
                <w:sz w:val="22"/>
              </w:rPr>
            </w:pPr>
            <w:r>
              <w:rPr>
                <w:rFonts w:ascii="Andes" w:hAnsi="Andes"/>
                <w:b/>
                <w:color w:val="000000" w:themeColor="text1"/>
                <w:sz w:val="22"/>
              </w:rPr>
              <w:t>CES</w:t>
            </w:r>
          </w:p>
        </w:tc>
        <w:tc>
          <w:tcPr>
            <w:tcW w:w="6300" w:type="dxa"/>
            <w:tcBorders>
              <w:top w:val="single" w:sz="8" w:space="0" w:color="002060"/>
              <w:bottom w:val="single" w:sz="8" w:space="0" w:color="002060"/>
              <w:right w:val="single" w:sz="4" w:space="0" w:color="auto"/>
            </w:tcBorders>
            <w:shd w:val="clear" w:color="auto" w:fill="auto"/>
          </w:tcPr>
          <w:p w14:paraId="51826D28" w14:textId="34A57402" w:rsidR="00233070" w:rsidRDefault="00233070" w:rsidP="006D600B">
            <w:pPr>
              <w:autoSpaceDE w:val="0"/>
              <w:autoSpaceDN w:val="0"/>
              <w:adjustRightInd w:val="0"/>
              <w:spacing w:before="80" w:after="80"/>
              <w:contextualSpacing w:val="0"/>
              <w:rPr>
                <w:rFonts w:ascii="Andes" w:hAnsi="Andes"/>
                <w:color w:val="000000" w:themeColor="text1"/>
                <w:sz w:val="22"/>
                <w14:props3d w14:extrusionH="0" w14:contourW="0" w14:prstMaterial="matte"/>
              </w:rPr>
            </w:pPr>
            <w:r>
              <w:rPr>
                <w:rFonts w:ascii="Andes" w:hAnsi="Andes"/>
                <w:color w:val="000000" w:themeColor="text1"/>
                <w:sz w:val="22"/>
                <w14:props3d w14:extrusionH="0" w14:contourW="0" w14:prstMaterial="matte"/>
              </w:rPr>
              <w:t>Cadre Environnemental et Social</w:t>
            </w:r>
          </w:p>
        </w:tc>
      </w:tr>
      <w:tr w:rsidR="00233070" w:rsidRPr="003B076C" w14:paraId="0923D370"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47D12D24" w14:textId="0F99783A" w:rsidR="00233070" w:rsidRDefault="00233070" w:rsidP="006D600B">
            <w:pPr>
              <w:autoSpaceDE w:val="0"/>
              <w:autoSpaceDN w:val="0"/>
              <w:adjustRightInd w:val="0"/>
              <w:spacing w:before="80" w:after="80"/>
              <w:contextualSpacing w:val="0"/>
              <w:jc w:val="left"/>
              <w:rPr>
                <w:rFonts w:ascii="Andes" w:hAnsi="Andes"/>
                <w:b/>
                <w:color w:val="000000" w:themeColor="text1"/>
                <w:sz w:val="22"/>
              </w:rPr>
            </w:pPr>
            <w:r>
              <w:rPr>
                <w:rFonts w:ascii="Andes" w:hAnsi="Andes"/>
                <w:b/>
                <w:color w:val="000000" w:themeColor="text1"/>
                <w:sz w:val="22"/>
              </w:rPr>
              <w:t>CE</w:t>
            </w:r>
          </w:p>
        </w:tc>
        <w:tc>
          <w:tcPr>
            <w:tcW w:w="6300" w:type="dxa"/>
            <w:tcBorders>
              <w:top w:val="single" w:sz="8" w:space="0" w:color="002060"/>
              <w:bottom w:val="single" w:sz="8" w:space="0" w:color="002060"/>
              <w:right w:val="single" w:sz="4" w:space="0" w:color="auto"/>
            </w:tcBorders>
            <w:shd w:val="clear" w:color="auto" w:fill="auto"/>
          </w:tcPr>
          <w:p w14:paraId="3EBD8F00" w14:textId="39925392" w:rsidR="00233070" w:rsidRDefault="00233070" w:rsidP="006D600B">
            <w:pPr>
              <w:autoSpaceDE w:val="0"/>
              <w:autoSpaceDN w:val="0"/>
              <w:adjustRightInd w:val="0"/>
              <w:spacing w:before="80" w:after="80"/>
              <w:contextualSpacing w:val="0"/>
              <w:rPr>
                <w:rFonts w:ascii="Andes" w:hAnsi="Andes"/>
                <w:color w:val="000000" w:themeColor="text1"/>
                <w:sz w:val="22"/>
                <w14:props3d w14:extrusionH="0" w14:contourW="0" w14:prstMaterial="matte"/>
              </w:rPr>
            </w:pPr>
            <w:r>
              <w:rPr>
                <w:rFonts w:ascii="Andes" w:hAnsi="Andes"/>
                <w:color w:val="000000" w:themeColor="text1"/>
                <w:sz w:val="22"/>
                <w14:props3d w14:extrusionH="0" w14:contourW="0" w14:prstMaterial="matte"/>
              </w:rPr>
              <w:t xml:space="preserve">Critères chiffrés et non-chiffrés (y compris </w:t>
            </w:r>
            <w:r w:rsidR="00946D77">
              <w:rPr>
                <w:rFonts w:ascii="Andes" w:hAnsi="Andes"/>
                <w:color w:val="000000" w:themeColor="text1"/>
                <w:sz w:val="22"/>
                <w14:props3d w14:extrusionH="0" w14:contourW="0" w14:prstMaterial="matte"/>
              </w:rPr>
              <w:t xml:space="preserve">des </w:t>
            </w:r>
            <w:r w:rsidR="00A67B3F">
              <w:rPr>
                <w:rFonts w:ascii="Andes" w:hAnsi="Andes"/>
                <w:color w:val="000000" w:themeColor="text1"/>
                <w:sz w:val="22"/>
                <w14:props3d w14:extrusionH="0" w14:contourW="0" w14:prstMaterial="matte"/>
              </w:rPr>
              <w:t>Critères Notés</w:t>
            </w:r>
            <w:r w:rsidR="00946D77">
              <w:rPr>
                <w:rFonts w:ascii="Andes" w:hAnsi="Andes"/>
                <w:color w:val="000000" w:themeColor="text1"/>
                <w:sz w:val="22"/>
                <w14:props3d w14:extrusionH="0" w14:contourW="0" w14:prstMaterial="matte"/>
              </w:rPr>
              <w:t xml:space="preserve"> lorsqu’applicables) qui définissent comment l’Emprunteur évalue quel Soumissionnaire/Proposant remet l’Offre/la Proposition la Plus Avantageuse</w:t>
            </w:r>
            <w:r>
              <w:rPr>
                <w:rFonts w:ascii="Andes" w:hAnsi="Andes"/>
                <w:color w:val="000000" w:themeColor="text1"/>
                <w:sz w:val="22"/>
                <w14:props3d w14:extrusionH="0" w14:contourW="0" w14:prstMaterial="matte"/>
              </w:rPr>
              <w:t xml:space="preserve"> </w:t>
            </w:r>
          </w:p>
        </w:tc>
      </w:tr>
      <w:tr w:rsidR="008A7725" w:rsidRPr="003B076C" w14:paraId="496E4036"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5A18625D"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AC</w:t>
            </w:r>
          </w:p>
        </w:tc>
        <w:tc>
          <w:tcPr>
            <w:tcW w:w="6300" w:type="dxa"/>
            <w:tcBorders>
              <w:top w:val="single" w:sz="8" w:space="0" w:color="002060"/>
              <w:bottom w:val="single" w:sz="8" w:space="0" w:color="002060"/>
              <w:right w:val="single" w:sz="4" w:space="0" w:color="auto"/>
            </w:tcBorders>
            <w:shd w:val="clear" w:color="auto" w:fill="auto"/>
          </w:tcPr>
          <w:p w14:paraId="7482651F" w14:textId="77777777" w:rsidR="008A7725" w:rsidRPr="00D317C1" w:rsidRDefault="008A7725" w:rsidP="006D600B">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Pr>
                <w:rFonts w:ascii="Andes" w:hAnsi="Andes"/>
                <w:color w:val="000000" w:themeColor="text1"/>
                <w:sz w:val="22"/>
                <w14:props3d w14:extrusionH="0" w14:contourW="0" w14:prstMaterial="matte"/>
              </w:rPr>
              <w:t xml:space="preserve">Accord Cadre.  </w:t>
            </w:r>
          </w:p>
        </w:tc>
      </w:tr>
      <w:tr w:rsidR="008A7725" w:rsidRPr="00D672E8" w14:paraId="59FAAB7C"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25A22B77" w14:textId="1AED1B2B"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S</w:t>
            </w:r>
            <w:r w:rsidR="008006C2">
              <w:rPr>
                <w:rFonts w:ascii="Andes" w:hAnsi="Andes"/>
                <w:b/>
                <w:color w:val="000000" w:themeColor="text1"/>
                <w:sz w:val="22"/>
              </w:rPr>
              <w:t>C</w:t>
            </w:r>
            <w:r>
              <w:rPr>
                <w:rFonts w:ascii="Andes" w:hAnsi="Andes"/>
                <w:b/>
                <w:color w:val="000000" w:themeColor="text1"/>
                <w:sz w:val="22"/>
              </w:rPr>
              <w:t>BD</w:t>
            </w:r>
          </w:p>
        </w:tc>
        <w:tc>
          <w:tcPr>
            <w:tcW w:w="6300" w:type="dxa"/>
            <w:tcBorders>
              <w:top w:val="single" w:sz="8" w:space="0" w:color="002060"/>
              <w:bottom w:val="single" w:sz="8" w:space="0" w:color="002060"/>
              <w:right w:val="single" w:sz="4" w:space="0" w:color="auto"/>
            </w:tcBorders>
            <w:shd w:val="clear" w:color="auto" w:fill="auto"/>
          </w:tcPr>
          <w:p w14:paraId="596A3185" w14:textId="6DAB8805" w:rsidR="008A7725" w:rsidRPr="00B1581D" w:rsidRDefault="008A7725" w:rsidP="00803497">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Sélection dans le Cadre d’un Budget Déterminé</w:t>
            </w:r>
            <w:r w:rsidRPr="00B1581D">
              <w:rPr>
                <w:rFonts w:ascii="Calibri" w:hAnsi="Calibri" w:cs="Calibri"/>
                <w:color w:val="000000" w:themeColor="text1"/>
                <w:sz w:val="22"/>
                <w14:props3d w14:extrusionH="0" w14:contourW="0" w14:prstMaterial="matte"/>
              </w:rPr>
              <w:t> </w:t>
            </w:r>
            <w:r w:rsidRPr="00B1581D">
              <w:rPr>
                <w:rFonts w:ascii="Andes" w:hAnsi="Andes"/>
                <w:color w:val="000000" w:themeColor="text1"/>
                <w:sz w:val="22"/>
                <w14:props3d w14:extrusionH="0" w14:contourW="0" w14:prstMaterial="matte"/>
              </w:rPr>
              <w:t>; m</w:t>
            </w:r>
            <w:r w:rsidRPr="00B1581D">
              <w:rPr>
                <w:rFonts w:ascii="Andes" w:hAnsi="Andes" w:cs="Andes"/>
                <w:color w:val="000000" w:themeColor="text1"/>
                <w:sz w:val="22"/>
                <w14:props3d w14:extrusionH="0" w14:contourW="0" w14:prstMaterial="matte"/>
              </w:rPr>
              <w:t>é</w:t>
            </w:r>
            <w:r w:rsidRPr="00B1581D">
              <w:rPr>
                <w:rFonts w:ascii="Andes" w:hAnsi="Andes"/>
                <w:color w:val="000000" w:themeColor="text1"/>
                <w:sz w:val="22"/>
                <w14:props3d w14:extrusionH="0" w14:contourW="0" w14:prstMaterial="matte"/>
              </w:rPr>
              <w:t xml:space="preserve">thode de sélection de Consultants </w:t>
            </w:r>
            <w:r w:rsidR="00803497">
              <w:rPr>
                <w:rFonts w:ascii="Andes" w:hAnsi="Andes"/>
                <w:color w:val="000000" w:themeColor="text1"/>
                <w:sz w:val="22"/>
                <w14:props3d w14:extrusionH="0" w14:contourW="0" w14:prstMaterial="matte"/>
              </w:rPr>
              <w:t>dans laquelle</w:t>
            </w:r>
            <w:r w:rsidR="00803497" w:rsidRPr="00B1581D">
              <w:rPr>
                <w:rFonts w:ascii="Andes" w:hAnsi="Andes"/>
                <w:color w:val="000000" w:themeColor="text1"/>
                <w:sz w:val="22"/>
                <w14:props3d w14:extrusionH="0" w14:contourW="0" w14:prstMaterial="matte"/>
              </w:rPr>
              <w:t xml:space="preserve"> </w:t>
            </w:r>
            <w:r w:rsidRPr="00B1581D">
              <w:rPr>
                <w:rFonts w:ascii="Andes" w:hAnsi="Andes"/>
                <w:color w:val="000000" w:themeColor="text1"/>
                <w:sz w:val="22"/>
                <w14:props3d w14:extrusionH="0" w14:contourW="0" w14:prstMaterial="matte"/>
              </w:rPr>
              <w:t>les Propositions sont fondées sur un budget déterminé.</w:t>
            </w:r>
          </w:p>
        </w:tc>
      </w:tr>
      <w:tr w:rsidR="008A7725" w:rsidRPr="00D672E8" w14:paraId="0366C1D0"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00918AAB"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Fraude et Corruption</w:t>
            </w:r>
          </w:p>
        </w:tc>
        <w:tc>
          <w:tcPr>
            <w:tcW w:w="6300" w:type="dxa"/>
            <w:tcBorders>
              <w:top w:val="single" w:sz="8" w:space="0" w:color="002060"/>
              <w:bottom w:val="single" w:sz="8" w:space="0" w:color="002060"/>
              <w:right w:val="single" w:sz="4" w:space="0" w:color="auto"/>
            </w:tcBorders>
            <w:shd w:val="clear" w:color="auto" w:fill="auto"/>
          </w:tcPr>
          <w:p w14:paraId="6A8174B2" w14:textId="77777777"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 xml:space="preserve">Les pratiques répréhensibles de corruption, de fraude, de collusion, de coercition et d’obstruction définies dans les Directives pour la Lutte contre la Corruption et visées dans le paragraphe 2.2.a de l’Annexe IV au présent Règlement de Passation des Marchés.   </w:t>
            </w:r>
          </w:p>
        </w:tc>
      </w:tr>
      <w:tr w:rsidR="008A7725" w:rsidRPr="00D672E8" w14:paraId="1A811074"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1825EBC8"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Fournitures</w:t>
            </w:r>
          </w:p>
        </w:tc>
        <w:tc>
          <w:tcPr>
            <w:tcW w:w="6300" w:type="dxa"/>
            <w:tcBorders>
              <w:top w:val="single" w:sz="8" w:space="0" w:color="002060"/>
              <w:bottom w:val="single" w:sz="8" w:space="0" w:color="002060"/>
              <w:right w:val="single" w:sz="4" w:space="0" w:color="auto"/>
            </w:tcBorders>
            <w:shd w:val="clear" w:color="auto" w:fill="auto"/>
          </w:tcPr>
          <w:p w14:paraId="01D3195F" w14:textId="4396B7F1" w:rsidR="008A7725" w:rsidRPr="00B1581D" w:rsidRDefault="008A7725" w:rsidP="00957D45">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Catégorie de marché englobant</w:t>
            </w:r>
            <w:r w:rsidR="000A3E3B">
              <w:rPr>
                <w:rFonts w:ascii="Andes" w:hAnsi="Andes"/>
                <w:color w:val="000000" w:themeColor="text1"/>
                <w:sz w:val="22"/>
                <w14:props3d w14:extrusionH="0" w14:contourW="0" w14:prstMaterial="matte"/>
              </w:rPr>
              <w:t xml:space="preserve"> : </w:t>
            </w:r>
            <w:r w:rsidRPr="00B1581D">
              <w:rPr>
                <w:rFonts w:ascii="Andes" w:hAnsi="Andes"/>
                <w:color w:val="000000" w:themeColor="text1"/>
                <w:sz w:val="22"/>
                <w14:props3d w14:extrusionH="0" w14:contourW="0" w14:prstMaterial="matte"/>
              </w:rPr>
              <w:t xml:space="preserve">les produits de base, les matières premières, les machines, </w:t>
            </w:r>
            <w:r w:rsidR="00957D45">
              <w:rPr>
                <w:rFonts w:ascii="Andes" w:hAnsi="Andes"/>
                <w:color w:val="000000" w:themeColor="text1"/>
                <w:sz w:val="22"/>
                <w14:props3d w14:extrusionH="0" w14:contourW="0" w14:prstMaterial="matte"/>
              </w:rPr>
              <w:t>les équipements</w:t>
            </w:r>
            <w:r w:rsidRPr="00B1581D">
              <w:rPr>
                <w:rFonts w:ascii="Andes" w:hAnsi="Andes"/>
                <w:color w:val="000000" w:themeColor="text1"/>
                <w:sz w:val="22"/>
                <w14:props3d w14:extrusionH="0" w14:contourW="0" w14:prstMaterial="matte"/>
              </w:rPr>
              <w:t>, les véhicules, les Ouvrages, et les services connexes tels que le transport, l’assurance, l’installation</w:t>
            </w:r>
            <w:r w:rsidR="00957D45">
              <w:rPr>
                <w:rFonts w:ascii="Andes" w:hAnsi="Andes"/>
                <w:color w:val="000000" w:themeColor="text1"/>
                <w:sz w:val="22"/>
                <w14:props3d w14:extrusionH="0" w14:contourW="0" w14:prstMaterial="matte"/>
              </w:rPr>
              <w:t xml:space="preserve"> des fournitures</w:t>
            </w:r>
            <w:r w:rsidRPr="00B1581D">
              <w:rPr>
                <w:rFonts w:ascii="Andes" w:hAnsi="Andes"/>
                <w:color w:val="000000" w:themeColor="text1"/>
                <w:sz w:val="22"/>
                <w14:props3d w14:extrusionH="0" w14:contourW="0" w14:prstMaterial="matte"/>
              </w:rPr>
              <w:t>, la mise en service, la formation, et l’entretien initial.</w:t>
            </w:r>
          </w:p>
        </w:tc>
      </w:tr>
      <w:tr w:rsidR="008A7725" w:rsidRPr="00D672E8" w14:paraId="1B2D63DD"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6460FBCC"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AGPM</w:t>
            </w:r>
          </w:p>
        </w:tc>
        <w:tc>
          <w:tcPr>
            <w:tcW w:w="6300" w:type="dxa"/>
            <w:tcBorders>
              <w:top w:val="single" w:sz="8" w:space="0" w:color="002060"/>
              <w:bottom w:val="single" w:sz="8" w:space="0" w:color="002060"/>
              <w:right w:val="single" w:sz="4" w:space="0" w:color="auto"/>
            </w:tcBorders>
            <w:shd w:val="clear" w:color="auto" w:fill="auto"/>
          </w:tcPr>
          <w:p w14:paraId="77A8A0CA" w14:textId="77777777"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Avis Général de Passation de Marchés.</w:t>
            </w:r>
          </w:p>
        </w:tc>
      </w:tr>
      <w:tr w:rsidR="008A7725" w:rsidRPr="00D672E8" w14:paraId="4C3432DE"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375CE024"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BIRD</w:t>
            </w:r>
          </w:p>
        </w:tc>
        <w:tc>
          <w:tcPr>
            <w:tcW w:w="6300" w:type="dxa"/>
            <w:tcBorders>
              <w:top w:val="single" w:sz="8" w:space="0" w:color="002060"/>
              <w:bottom w:val="single" w:sz="8" w:space="0" w:color="002060"/>
              <w:right w:val="single" w:sz="4" w:space="0" w:color="auto"/>
            </w:tcBorders>
            <w:shd w:val="clear" w:color="auto" w:fill="auto"/>
          </w:tcPr>
          <w:p w14:paraId="010F8A2B" w14:textId="77777777"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Banque internationale pour la reconstruction et le développement.</w:t>
            </w:r>
          </w:p>
        </w:tc>
      </w:tr>
      <w:tr w:rsidR="008A7725" w:rsidRPr="003B076C" w14:paraId="77945C8D"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09903EAD"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IDA</w:t>
            </w:r>
          </w:p>
        </w:tc>
        <w:tc>
          <w:tcPr>
            <w:tcW w:w="6300" w:type="dxa"/>
            <w:tcBorders>
              <w:top w:val="single" w:sz="8" w:space="0" w:color="002060"/>
              <w:bottom w:val="single" w:sz="8" w:space="0" w:color="002060"/>
              <w:right w:val="single" w:sz="4" w:space="0" w:color="auto"/>
            </w:tcBorders>
            <w:shd w:val="clear" w:color="auto" w:fill="auto"/>
          </w:tcPr>
          <w:p w14:paraId="7DC1317C" w14:textId="77777777" w:rsidR="008A7725" w:rsidRPr="00D317C1" w:rsidRDefault="008A7725" w:rsidP="006D600B">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Pr>
                <w:rFonts w:ascii="Andes" w:hAnsi="Andes"/>
                <w:color w:val="000000" w:themeColor="text1"/>
                <w:sz w:val="22"/>
                <w14:props3d w14:extrusionH="0" w14:contourW="0" w14:prstMaterial="matte"/>
              </w:rPr>
              <w:t>Association internationale de développement.</w:t>
            </w:r>
          </w:p>
        </w:tc>
      </w:tr>
      <w:tr w:rsidR="008A7725" w:rsidRPr="00D672E8" w14:paraId="0736A134"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11AF8CD4"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Par Écrit</w:t>
            </w:r>
          </w:p>
        </w:tc>
        <w:tc>
          <w:tcPr>
            <w:tcW w:w="6300" w:type="dxa"/>
            <w:tcBorders>
              <w:top w:val="single" w:sz="8" w:space="0" w:color="002060"/>
              <w:bottom w:val="single" w:sz="8" w:space="0" w:color="002060"/>
              <w:right w:val="single" w:sz="4" w:space="0" w:color="auto"/>
            </w:tcBorders>
            <w:shd w:val="clear" w:color="auto" w:fill="auto"/>
          </w:tcPr>
          <w:p w14:paraId="16BA6162" w14:textId="77777777"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 xml:space="preserve">Signifie communiqué ou enregistré sous une forme écrite. Cela inclut, à titre d’exemple, le courrier, le courriel, la télécopie ou la communication au moyen d’un système dématérialisé de passation de marchés (à condition que ce système soit accessible et sécurisé, préserve l’intégrité et protège la confidentialité, et comporte </w:t>
            </w:r>
            <w:r w:rsidRPr="00B1581D">
              <w:rPr>
                <w:rFonts w:ascii="Andes" w:hAnsi="Andes"/>
                <w:color w:val="000000" w:themeColor="text1"/>
                <w:sz w:val="22"/>
              </w:rPr>
              <w:lastRenderedPageBreak/>
              <w:t xml:space="preserve">suffisamment de </w:t>
            </w:r>
            <w:r w:rsidRPr="00B1581D">
              <w:rPr>
                <w:rFonts w:ascii="Andes" w:hAnsi="Andes" w:cs="Arial"/>
                <w:sz w:val="22"/>
                <w:szCs w:val="22"/>
              </w:rPr>
              <w:t>caractéristiques de contrôle et de suivi des opérations</w:t>
            </w:r>
            <w:r w:rsidRPr="00B1581D">
              <w:rPr>
                <w:rFonts w:ascii="Andes" w:hAnsi="Andes"/>
                <w:color w:val="000000" w:themeColor="text1"/>
                <w:sz w:val="22"/>
              </w:rPr>
              <w:t>).</w:t>
            </w:r>
          </w:p>
        </w:tc>
      </w:tr>
      <w:tr w:rsidR="008A7725" w:rsidRPr="00D672E8" w14:paraId="3942AF08"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55D30EFF"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lastRenderedPageBreak/>
              <w:t>Incoterms</w:t>
            </w:r>
          </w:p>
        </w:tc>
        <w:tc>
          <w:tcPr>
            <w:tcW w:w="6300" w:type="dxa"/>
            <w:tcBorders>
              <w:top w:val="single" w:sz="8" w:space="0" w:color="002060"/>
              <w:bottom w:val="single" w:sz="8" w:space="0" w:color="002060"/>
              <w:right w:val="single" w:sz="4" w:space="0" w:color="auto"/>
            </w:tcBorders>
            <w:shd w:val="clear" w:color="auto" w:fill="auto"/>
          </w:tcPr>
          <w:p w14:paraId="1CF334F0" w14:textId="4EDF50BE" w:rsidR="008A7725" w:rsidRPr="00B1581D" w:rsidRDefault="008A7725" w:rsidP="00957D45">
            <w:pPr>
              <w:autoSpaceDE w:val="0"/>
              <w:autoSpaceDN w:val="0"/>
              <w:adjustRightInd w:val="0"/>
              <w:spacing w:before="80" w:after="80"/>
              <w:contextualSpacing w:val="0"/>
              <w:rPr>
                <w:rFonts w:ascii="Andes" w:hAnsi="Andes" w:cs="Microsoft Sans Serif"/>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 xml:space="preserve">Termes de commerce international </w:t>
            </w:r>
            <w:r w:rsidR="00803497">
              <w:rPr>
                <w:rFonts w:ascii="Andes" w:hAnsi="Andes"/>
                <w:color w:val="000000" w:themeColor="text1"/>
                <w:sz w:val="22"/>
                <w14:props3d w14:extrusionH="0" w14:contourW="0" w14:prstMaterial="matte"/>
              </w:rPr>
              <w:t xml:space="preserve">dans le cadre de la fourniture de biens, </w:t>
            </w:r>
            <w:r w:rsidRPr="00B1581D">
              <w:rPr>
                <w:rFonts w:ascii="Andes" w:hAnsi="Andes"/>
                <w:color w:val="000000" w:themeColor="text1"/>
                <w:sz w:val="22"/>
                <w14:props3d w14:extrusionH="0" w14:contourW="0" w14:prstMaterial="matte"/>
              </w:rPr>
              <w:t>publiés par la Chambre de commerce internationale (CC</w:t>
            </w:r>
            <w:r w:rsidR="00957D45">
              <w:rPr>
                <w:rFonts w:ascii="Andes" w:hAnsi="Andes"/>
                <w:color w:val="000000" w:themeColor="text1"/>
                <w:sz w:val="22"/>
                <w14:props3d w14:extrusionH="0" w14:contourW="0" w14:prstMaterial="matte"/>
              </w:rPr>
              <w:t>I</w:t>
            </w:r>
            <w:r w:rsidRPr="00B1581D">
              <w:rPr>
                <w:rFonts w:ascii="Andes" w:hAnsi="Andes"/>
                <w:color w:val="000000" w:themeColor="text1"/>
                <w:sz w:val="22"/>
                <w14:props3d w14:extrusionH="0" w14:contourW="0" w14:prstMaterial="matte"/>
              </w:rPr>
              <w:t>).</w:t>
            </w:r>
          </w:p>
        </w:tc>
      </w:tr>
      <w:tr w:rsidR="008A7725" w:rsidRPr="00D672E8" w14:paraId="12D42C85"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4E41A98F"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Sélection Initiale</w:t>
            </w:r>
          </w:p>
        </w:tc>
        <w:tc>
          <w:tcPr>
            <w:tcW w:w="6300" w:type="dxa"/>
            <w:tcBorders>
              <w:top w:val="single" w:sz="8" w:space="0" w:color="002060"/>
              <w:bottom w:val="single" w:sz="8" w:space="0" w:color="002060"/>
              <w:right w:val="single" w:sz="4" w:space="0" w:color="auto"/>
            </w:tcBorders>
            <w:shd w:val="clear" w:color="auto" w:fill="auto"/>
          </w:tcPr>
          <w:p w14:paraId="4812C31E" w14:textId="52D5A053" w:rsidR="008A7725" w:rsidRPr="00B1581D" w:rsidRDefault="008A7725" w:rsidP="00803497">
            <w:pPr>
              <w:autoSpaceDE w:val="0"/>
              <w:autoSpaceDN w:val="0"/>
              <w:adjustRightInd w:val="0"/>
              <w:spacing w:before="80" w:after="80"/>
              <w:contextualSpacing w:val="0"/>
              <w:rPr>
                <w:rFonts w:ascii="Andes" w:eastAsiaTheme="minorHAnsi" w:hAnsi="Andes" w:cs="Arial"/>
                <w:color w:val="000000" w:themeColor="text1"/>
                <w:sz w:val="22"/>
                <w:szCs w:val="22"/>
                <w14:props3d w14:extrusionH="0" w14:contourW="0" w14:prstMaterial="matte"/>
              </w:rPr>
            </w:pPr>
            <w:r w:rsidRPr="00B1581D">
              <w:rPr>
                <w:rFonts w:ascii="Andes" w:hAnsi="Andes"/>
                <w:color w:val="000000" w:themeColor="text1"/>
                <w:sz w:val="22"/>
                <w14:props3d w14:extrusionH="0" w14:contourW="0" w14:prstMaterial="matte"/>
              </w:rPr>
              <w:t xml:space="preserve">Processus de présélection utilisé avant le lancement </w:t>
            </w:r>
            <w:r w:rsidRPr="00636C10">
              <w:rPr>
                <w:rFonts w:ascii="Andes" w:hAnsi="Andes"/>
                <w:color w:val="000000" w:themeColor="text1"/>
                <w:sz w:val="22"/>
                <w14:props3d w14:extrusionH="0" w14:contourW="0" w14:prstMaterial="matte"/>
              </w:rPr>
              <w:t>d’un appel à</w:t>
            </w:r>
            <w:r w:rsidRPr="00B1581D">
              <w:rPr>
                <w:rFonts w:ascii="Andes" w:hAnsi="Andes"/>
                <w:color w:val="000000" w:themeColor="text1"/>
                <w:sz w:val="22"/>
                <w14:props3d w14:extrusionH="0" w14:contourW="0" w14:prstMaterial="matte"/>
              </w:rPr>
              <w:t xml:space="preserve"> propositions dans le cadre de la </w:t>
            </w:r>
            <w:r w:rsidR="000A3E3B">
              <w:rPr>
                <w:rFonts w:ascii="Andes" w:hAnsi="Andes"/>
                <w:color w:val="000000" w:themeColor="text1"/>
                <w:sz w:val="22"/>
                <w14:props3d w14:extrusionH="0" w14:contourW="0" w14:prstMaterial="matte"/>
              </w:rPr>
              <w:t>méthode de sélection pour une Demande de Propositions</w:t>
            </w:r>
            <w:r w:rsidRPr="00B1581D">
              <w:rPr>
                <w:rFonts w:ascii="Andes" w:hAnsi="Andes"/>
                <w:color w:val="000000" w:themeColor="text1"/>
                <w:sz w:val="22"/>
                <w14:props3d w14:extrusionH="0" w14:contourW="0" w14:prstMaterial="matte"/>
              </w:rPr>
              <w:t>.</w:t>
            </w:r>
          </w:p>
        </w:tc>
      </w:tr>
      <w:tr w:rsidR="008A7725" w:rsidRPr="00D672E8" w14:paraId="209359BA"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70BC9CE4" w14:textId="77777777" w:rsidR="008A7725" w:rsidRPr="00B1581D"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sidRPr="00B1581D">
              <w:rPr>
                <w:rFonts w:ascii="Andes" w:hAnsi="Andes"/>
                <w:b/>
                <w:color w:val="000000" w:themeColor="text1"/>
                <w:sz w:val="22"/>
              </w:rPr>
              <w:t>Financement de Projets d’Investissement (FPI)</w:t>
            </w:r>
          </w:p>
        </w:tc>
        <w:tc>
          <w:tcPr>
            <w:tcW w:w="6300" w:type="dxa"/>
            <w:tcBorders>
              <w:top w:val="single" w:sz="8" w:space="0" w:color="002060"/>
              <w:bottom w:val="single" w:sz="8" w:space="0" w:color="002060"/>
              <w:right w:val="single" w:sz="4" w:space="0" w:color="auto"/>
            </w:tcBorders>
            <w:shd w:val="clear" w:color="auto" w:fill="auto"/>
          </w:tcPr>
          <w:p w14:paraId="0EDBC7F9" w14:textId="67BD0952" w:rsidR="008A7725" w:rsidRPr="00B1581D" w:rsidRDefault="008A7725" w:rsidP="0029011C">
            <w:pPr>
              <w:autoSpaceDE w:val="0"/>
              <w:autoSpaceDN w:val="0"/>
              <w:adjustRightInd w:val="0"/>
              <w:spacing w:before="80" w:after="80"/>
              <w:contextualSpacing w:val="0"/>
              <w:rPr>
                <w:rFonts w:ascii="Andes" w:hAnsi="Andes" w:cs="Arial"/>
                <w:color w:val="000000" w:themeColor="text1"/>
                <w:sz w:val="22"/>
                <w:szCs w:val="22"/>
              </w:rPr>
            </w:pPr>
            <w:r w:rsidRPr="00B1581D">
              <w:rPr>
                <w:rFonts w:ascii="Andes" w:hAnsi="Andes"/>
                <w:color w:val="000000" w:themeColor="text1"/>
                <w:sz w:val="22"/>
              </w:rPr>
              <w:t xml:space="preserve">Financement par la Banque de projets d’investissement visant à promouvoir la réduction de la pauvreté et le développement durable.  Le FPI appuie </w:t>
            </w:r>
            <w:r w:rsidR="0029011C">
              <w:rPr>
                <w:rFonts w:ascii="Andes" w:hAnsi="Andes"/>
                <w:color w:val="000000" w:themeColor="text1"/>
                <w:sz w:val="22"/>
              </w:rPr>
              <w:t>l</w:t>
            </w:r>
            <w:r w:rsidRPr="00B1581D">
              <w:rPr>
                <w:rFonts w:ascii="Andes" w:hAnsi="Andes"/>
                <w:color w:val="000000" w:themeColor="text1"/>
                <w:sz w:val="22"/>
              </w:rPr>
              <w:t xml:space="preserve">es projets </w:t>
            </w:r>
            <w:r w:rsidR="0029011C">
              <w:rPr>
                <w:rFonts w:ascii="Andes" w:hAnsi="Andes"/>
                <w:color w:val="000000" w:themeColor="text1"/>
                <w:sz w:val="22"/>
              </w:rPr>
              <w:t>à travers</w:t>
            </w:r>
            <w:r w:rsidR="0029011C" w:rsidRPr="00B1581D">
              <w:rPr>
                <w:rFonts w:ascii="Andes" w:hAnsi="Andes"/>
                <w:color w:val="000000" w:themeColor="text1"/>
                <w:sz w:val="22"/>
              </w:rPr>
              <w:t xml:space="preserve"> </w:t>
            </w:r>
            <w:r w:rsidRPr="00B1581D">
              <w:rPr>
                <w:rFonts w:ascii="Andes" w:hAnsi="Andes"/>
                <w:color w:val="000000" w:themeColor="text1"/>
                <w:sz w:val="22"/>
              </w:rPr>
              <w:t xml:space="preserve">des objectifs de développement, des activités et des résultats précis, et permet de décaisser les fonds du financement de la Banque </w:t>
            </w:r>
            <w:r w:rsidR="0029011C">
              <w:rPr>
                <w:rFonts w:ascii="Andes" w:hAnsi="Andes"/>
                <w:color w:val="000000" w:themeColor="text1"/>
                <w:sz w:val="22"/>
              </w:rPr>
              <w:t>sur la base</w:t>
            </w:r>
            <w:r w:rsidRPr="00B1581D">
              <w:rPr>
                <w:rFonts w:ascii="Andes" w:hAnsi="Andes"/>
                <w:color w:val="000000" w:themeColor="text1"/>
                <w:sz w:val="22"/>
              </w:rPr>
              <w:t xml:space="preserve"> de dépenses </w:t>
            </w:r>
            <w:r w:rsidR="0029011C">
              <w:rPr>
                <w:rFonts w:ascii="Andes" w:hAnsi="Andes"/>
                <w:color w:val="000000" w:themeColor="text1"/>
                <w:sz w:val="22"/>
              </w:rPr>
              <w:t>éligibles</w:t>
            </w:r>
            <w:r w:rsidR="0029011C" w:rsidRPr="00B1581D">
              <w:rPr>
                <w:rFonts w:ascii="Andes" w:hAnsi="Andes"/>
                <w:color w:val="000000" w:themeColor="text1"/>
                <w:sz w:val="22"/>
              </w:rPr>
              <w:t xml:space="preserve"> </w:t>
            </w:r>
            <w:r w:rsidRPr="00B1581D">
              <w:rPr>
                <w:rFonts w:ascii="Andes" w:hAnsi="Andes"/>
                <w:color w:val="000000" w:themeColor="text1"/>
                <w:sz w:val="22"/>
              </w:rPr>
              <w:t>précises.</w:t>
            </w:r>
          </w:p>
        </w:tc>
      </w:tr>
      <w:tr w:rsidR="008A7725" w:rsidRPr="003B076C" w14:paraId="2CA29B78"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4FE5E5DF" w14:textId="4DF115B4" w:rsidR="008A7725" w:rsidRPr="00D317C1" w:rsidRDefault="008A7725" w:rsidP="00A91660">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IPC</w:t>
            </w:r>
          </w:p>
        </w:tc>
        <w:tc>
          <w:tcPr>
            <w:tcW w:w="6300" w:type="dxa"/>
            <w:tcBorders>
              <w:top w:val="single" w:sz="8" w:space="0" w:color="002060"/>
              <w:bottom w:val="single" w:sz="8" w:space="0" w:color="002060"/>
              <w:right w:val="single" w:sz="4" w:space="0" w:color="auto"/>
            </w:tcBorders>
            <w:shd w:val="clear" w:color="auto" w:fill="auto"/>
          </w:tcPr>
          <w:p w14:paraId="41B089C8" w14:textId="77777777" w:rsidR="008A7725" w:rsidRPr="00D317C1"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Pr>
                <w:rFonts w:ascii="Andes" w:hAnsi="Andes"/>
                <w:color w:val="000000" w:themeColor="text1"/>
                <w:sz w:val="22"/>
              </w:rPr>
              <w:t>Indicateur de Performance Clé.</w:t>
            </w:r>
          </w:p>
        </w:tc>
      </w:tr>
      <w:tr w:rsidR="008A7725" w:rsidRPr="00D672E8" w14:paraId="3C2F03FA"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75330DF4"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SMC</w:t>
            </w:r>
          </w:p>
        </w:tc>
        <w:tc>
          <w:tcPr>
            <w:tcW w:w="6300" w:type="dxa"/>
            <w:tcBorders>
              <w:top w:val="single" w:sz="8" w:space="0" w:color="002060"/>
              <w:bottom w:val="single" w:sz="8" w:space="0" w:color="002060"/>
              <w:right w:val="single" w:sz="4" w:space="0" w:color="auto"/>
            </w:tcBorders>
            <w:shd w:val="clear" w:color="auto" w:fill="auto"/>
          </w:tcPr>
          <w:p w14:paraId="42AB2ECB" w14:textId="6B960985" w:rsidR="008A7725" w:rsidRPr="00B1581D" w:rsidRDefault="008A7725" w:rsidP="008006C2">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 xml:space="preserve">Sélection au </w:t>
            </w:r>
            <w:r w:rsidR="008006C2">
              <w:rPr>
                <w:rFonts w:ascii="Andes" w:hAnsi="Andes"/>
                <w:color w:val="000000" w:themeColor="text1"/>
                <w:sz w:val="22"/>
              </w:rPr>
              <w:t>M</w:t>
            </w:r>
            <w:r w:rsidR="008006C2" w:rsidRPr="00B1581D">
              <w:rPr>
                <w:rFonts w:ascii="Andes" w:hAnsi="Andes"/>
                <w:color w:val="000000" w:themeColor="text1"/>
                <w:sz w:val="22"/>
              </w:rPr>
              <w:t xml:space="preserve">oindre </w:t>
            </w:r>
            <w:r w:rsidR="008006C2">
              <w:rPr>
                <w:rFonts w:ascii="Andes" w:hAnsi="Andes"/>
                <w:color w:val="000000" w:themeColor="text1"/>
                <w:sz w:val="22"/>
              </w:rPr>
              <w:t>C</w:t>
            </w:r>
            <w:r w:rsidR="008006C2" w:rsidRPr="00B1581D">
              <w:rPr>
                <w:rFonts w:ascii="Andes" w:hAnsi="Andes"/>
                <w:color w:val="000000" w:themeColor="text1"/>
                <w:sz w:val="22"/>
              </w:rPr>
              <w:t>oût</w:t>
            </w:r>
            <w:r w:rsidR="008006C2" w:rsidRPr="00B1581D">
              <w:rPr>
                <w:rFonts w:ascii="Calibri" w:hAnsi="Calibri" w:cs="Calibri"/>
                <w:color w:val="000000" w:themeColor="text1"/>
                <w:sz w:val="22"/>
              </w:rPr>
              <w:t> </w:t>
            </w:r>
            <w:r w:rsidRPr="00B1581D">
              <w:rPr>
                <w:rFonts w:ascii="Andes" w:hAnsi="Andes"/>
                <w:color w:val="000000" w:themeColor="text1"/>
                <w:sz w:val="22"/>
              </w:rPr>
              <w:t>; m</w:t>
            </w:r>
            <w:r w:rsidRPr="00B1581D">
              <w:rPr>
                <w:rFonts w:ascii="Andes" w:hAnsi="Andes" w:cs="Andes"/>
                <w:color w:val="000000" w:themeColor="text1"/>
                <w:sz w:val="22"/>
              </w:rPr>
              <w:t>é</w:t>
            </w:r>
            <w:r w:rsidRPr="00B1581D">
              <w:rPr>
                <w:rFonts w:ascii="Andes" w:hAnsi="Andes"/>
                <w:color w:val="000000" w:themeColor="text1"/>
                <w:sz w:val="22"/>
              </w:rPr>
              <w:t>thode de sélection de Consultants fondée sur le prix le plus bas.</w:t>
            </w:r>
          </w:p>
        </w:tc>
      </w:tr>
      <w:tr w:rsidR="008A7725" w:rsidRPr="00D672E8" w14:paraId="0DAA6C51"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72B86CAD"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Accord Juridique</w:t>
            </w:r>
          </w:p>
        </w:tc>
        <w:tc>
          <w:tcPr>
            <w:tcW w:w="6300" w:type="dxa"/>
            <w:tcBorders>
              <w:top w:val="single" w:sz="8" w:space="0" w:color="002060"/>
              <w:bottom w:val="single" w:sz="8" w:space="0" w:color="002060"/>
              <w:right w:val="single" w:sz="4" w:space="0" w:color="auto"/>
            </w:tcBorders>
            <w:shd w:val="clear" w:color="auto" w:fill="auto"/>
          </w:tcPr>
          <w:p w14:paraId="282E2767" w14:textId="6FF6DB70" w:rsidR="008A7725" w:rsidRPr="00B1581D" w:rsidRDefault="008A7725" w:rsidP="0029011C">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Chaque accord conclu avec la Banque prévoyant un prêt au titre d’un projet, compr</w:t>
            </w:r>
            <w:r w:rsidR="0029011C">
              <w:rPr>
                <w:rFonts w:ascii="Andes" w:hAnsi="Andes"/>
                <w:color w:val="000000" w:themeColor="text1"/>
                <w:sz w:val="22"/>
              </w:rPr>
              <w:t>enant</w:t>
            </w:r>
            <w:r w:rsidRPr="00B1581D">
              <w:rPr>
                <w:rFonts w:ascii="Andes" w:hAnsi="Andes"/>
                <w:color w:val="000000" w:themeColor="text1"/>
                <w:sz w:val="22"/>
              </w:rPr>
              <w:t xml:space="preserve"> le Plan de Passation des Marchés et tous les autres documents auquel l’accord fait référence. Si la Banque conclut un accord de projet avec une entité chargée de la mise en œuvre du projet, ce terme inclut l’accord de projet.</w:t>
            </w:r>
          </w:p>
        </w:tc>
      </w:tr>
      <w:tr w:rsidR="008A7725" w:rsidRPr="00D672E8" w14:paraId="5221DB65"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5E0A275B" w14:textId="77777777" w:rsidR="008A7725" w:rsidRPr="00B1581D"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sidRPr="00B1581D">
              <w:rPr>
                <w:rFonts w:ascii="Andes" w:hAnsi="Andes"/>
                <w:b/>
                <w:color w:val="000000" w:themeColor="text1"/>
                <w:sz w:val="22"/>
              </w:rPr>
              <w:t>Offre/Proposition la plus Avantageuse</w:t>
            </w:r>
          </w:p>
        </w:tc>
        <w:tc>
          <w:tcPr>
            <w:tcW w:w="6300" w:type="dxa"/>
            <w:tcBorders>
              <w:top w:val="single" w:sz="8" w:space="0" w:color="002060"/>
              <w:bottom w:val="single" w:sz="8" w:space="0" w:color="002060"/>
              <w:right w:val="single" w:sz="4" w:space="0" w:color="auto"/>
            </w:tcBorders>
            <w:shd w:val="clear" w:color="auto" w:fill="auto"/>
          </w:tcPr>
          <w:p w14:paraId="4694B649" w14:textId="77777777"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Tel que défini à l’Annexe X intitulée Critères d’Évaluation.</w:t>
            </w:r>
          </w:p>
        </w:tc>
      </w:tr>
      <w:tr w:rsidR="008A7725" w:rsidRPr="00D672E8" w14:paraId="2AD34B3C"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77EA9977"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Langue Nationale</w:t>
            </w:r>
          </w:p>
        </w:tc>
        <w:tc>
          <w:tcPr>
            <w:tcW w:w="6300" w:type="dxa"/>
            <w:tcBorders>
              <w:top w:val="single" w:sz="8" w:space="0" w:color="002060"/>
              <w:bottom w:val="single" w:sz="8" w:space="0" w:color="002060"/>
              <w:right w:val="single" w:sz="4" w:space="0" w:color="auto"/>
            </w:tcBorders>
            <w:shd w:val="clear" w:color="auto" w:fill="auto"/>
          </w:tcPr>
          <w:p w14:paraId="7E0E5A05" w14:textId="687474DB" w:rsidR="008A7725" w:rsidRPr="00B1581D" w:rsidRDefault="000A3E3B" w:rsidP="006D600B">
            <w:pPr>
              <w:autoSpaceDE w:val="0"/>
              <w:autoSpaceDN w:val="0"/>
              <w:adjustRightInd w:val="0"/>
              <w:spacing w:before="80" w:after="80"/>
              <w:contextualSpacing w:val="0"/>
              <w:rPr>
                <w:rFonts w:ascii="Andes" w:hAnsi="Andes" w:cs="Microsoft Sans Serif"/>
                <w:color w:val="000000" w:themeColor="text1"/>
                <w:sz w:val="22"/>
                <w:szCs w:val="22"/>
              </w:rPr>
            </w:pPr>
            <w:r>
              <w:rPr>
                <w:rFonts w:ascii="Andes" w:hAnsi="Andes"/>
                <w:color w:val="000000" w:themeColor="text1"/>
                <w:sz w:val="22"/>
              </w:rPr>
              <w:t>L</w:t>
            </w:r>
            <w:r w:rsidR="008A7725" w:rsidRPr="00B1581D">
              <w:rPr>
                <w:rFonts w:ascii="Andes" w:hAnsi="Andes"/>
                <w:color w:val="000000" w:themeColor="text1"/>
                <w:sz w:val="22"/>
              </w:rPr>
              <w:t xml:space="preserve">a Langue Nationale </w:t>
            </w:r>
            <w:proofErr w:type="gramStart"/>
            <w:r w:rsidR="008A7725" w:rsidRPr="00B1581D">
              <w:rPr>
                <w:rFonts w:ascii="Andes" w:hAnsi="Andes"/>
                <w:color w:val="000000" w:themeColor="text1"/>
                <w:sz w:val="22"/>
              </w:rPr>
              <w:t xml:space="preserve">est </w:t>
            </w:r>
            <w:r w:rsidR="00F549BF">
              <w:rPr>
                <w:rFonts w:ascii="Andes" w:hAnsi="Andes"/>
                <w:color w:val="000000" w:themeColor="text1"/>
                <w:sz w:val="22"/>
              </w:rPr>
              <w:t xml:space="preserve"> l’une</w:t>
            </w:r>
            <w:proofErr w:type="gramEnd"/>
            <w:r w:rsidR="00F549BF">
              <w:rPr>
                <w:rFonts w:ascii="Andes" w:hAnsi="Andes"/>
                <w:color w:val="000000" w:themeColor="text1"/>
                <w:sz w:val="22"/>
              </w:rPr>
              <w:t xml:space="preserve"> des deux ci-après</w:t>
            </w:r>
            <w:r w:rsidR="00F549BF">
              <w:rPr>
                <w:rFonts w:ascii="Calibri" w:hAnsi="Calibri" w:cs="Calibri"/>
                <w:color w:val="000000" w:themeColor="text1"/>
                <w:sz w:val="22"/>
              </w:rPr>
              <w:t> </w:t>
            </w:r>
            <w:r w:rsidR="00F549BF">
              <w:rPr>
                <w:rFonts w:ascii="Andes" w:hAnsi="Andes"/>
                <w:color w:val="000000" w:themeColor="text1"/>
                <w:sz w:val="22"/>
              </w:rPr>
              <w:t>:</w:t>
            </w:r>
          </w:p>
          <w:p w14:paraId="07A07252" w14:textId="6AE19DA6" w:rsidR="008A7725" w:rsidRPr="00B1581D" w:rsidRDefault="008A7725" w:rsidP="006D600B">
            <w:pPr>
              <w:pStyle w:val="Paragraphedeliste"/>
              <w:numPr>
                <w:ilvl w:val="0"/>
                <w:numId w:val="267"/>
              </w:num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 xml:space="preserve">la langue nationale de l’Emprunteur, </w:t>
            </w:r>
            <w:r w:rsidR="00F549BF">
              <w:rPr>
                <w:rFonts w:ascii="Andes" w:hAnsi="Andes"/>
                <w:color w:val="000000" w:themeColor="text1"/>
                <w:sz w:val="22"/>
              </w:rPr>
              <w:t>ou</w:t>
            </w:r>
            <w:r w:rsidR="00F549BF" w:rsidRPr="00B1581D">
              <w:rPr>
                <w:rFonts w:ascii="Andes" w:hAnsi="Andes"/>
                <w:color w:val="000000" w:themeColor="text1"/>
                <w:sz w:val="22"/>
              </w:rPr>
              <w:t xml:space="preserve"> </w:t>
            </w:r>
          </w:p>
          <w:p w14:paraId="314E7B0C" w14:textId="2B16C9D7" w:rsidR="008A7725" w:rsidRPr="00B1581D" w:rsidRDefault="008A7725" w:rsidP="006D600B">
            <w:pPr>
              <w:pStyle w:val="Paragraphedeliste"/>
              <w:numPr>
                <w:ilvl w:val="0"/>
                <w:numId w:val="267"/>
              </w:num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eastAsiaTheme="minorHAnsi" w:hAnsi="Andes" w:cs="Arial"/>
                <w:color w:val="000000"/>
                <w:sz w:val="22"/>
                <w:szCs w:val="22"/>
              </w:rPr>
              <w:t xml:space="preserve">la langue </w:t>
            </w:r>
            <w:r w:rsidR="00F549BF">
              <w:rPr>
                <w:rFonts w:ascii="Andes" w:eastAsiaTheme="minorHAnsi" w:hAnsi="Andes" w:cs="Arial"/>
                <w:color w:val="000000"/>
                <w:sz w:val="22"/>
                <w:szCs w:val="22"/>
              </w:rPr>
              <w:t xml:space="preserve">largement </w:t>
            </w:r>
            <w:r w:rsidRPr="00B1581D">
              <w:rPr>
                <w:rFonts w:ascii="Andes" w:eastAsiaTheme="minorHAnsi" w:hAnsi="Andes" w:cs="Arial"/>
                <w:color w:val="000000"/>
                <w:sz w:val="22"/>
                <w:szCs w:val="22"/>
              </w:rPr>
              <w:t>utilisée dans tout le pays de l’Emprunteur pour les transactions commerciales, étant établi à la satisfaction de la Banque qu’il s’agit de la langue utilisée à cette fin</w:t>
            </w:r>
            <w:r w:rsidRPr="00B1581D">
              <w:rPr>
                <w:rFonts w:ascii="Andes" w:hAnsi="Andes"/>
                <w:color w:val="000000" w:themeColor="text1"/>
                <w:sz w:val="22"/>
              </w:rPr>
              <w:t xml:space="preserve">.  </w:t>
            </w:r>
          </w:p>
        </w:tc>
      </w:tr>
      <w:tr w:rsidR="008A7725" w:rsidRPr="003B076C" w14:paraId="2D4112A1"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06FA0867"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ONG</w:t>
            </w:r>
          </w:p>
        </w:tc>
        <w:tc>
          <w:tcPr>
            <w:tcW w:w="6300" w:type="dxa"/>
            <w:tcBorders>
              <w:top w:val="single" w:sz="8" w:space="0" w:color="002060"/>
              <w:bottom w:val="single" w:sz="8" w:space="0" w:color="002060"/>
              <w:right w:val="single" w:sz="4" w:space="0" w:color="auto"/>
            </w:tcBorders>
            <w:shd w:val="clear" w:color="auto" w:fill="auto"/>
          </w:tcPr>
          <w:p w14:paraId="41211575" w14:textId="77777777" w:rsidR="008A7725" w:rsidRPr="00D317C1"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Pr>
                <w:rFonts w:ascii="Andes" w:hAnsi="Andes"/>
                <w:color w:val="000000" w:themeColor="text1"/>
                <w:sz w:val="22"/>
              </w:rPr>
              <w:t>Organisation Non Gouvernementale.</w:t>
            </w:r>
          </w:p>
        </w:tc>
      </w:tr>
      <w:tr w:rsidR="008A7725" w:rsidRPr="00D672E8" w14:paraId="0566F5B0"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34747E42" w14:textId="6C69DD37" w:rsidR="008A7725" w:rsidRPr="00B1581D" w:rsidRDefault="008A7725" w:rsidP="0029011C">
            <w:pPr>
              <w:autoSpaceDE w:val="0"/>
              <w:autoSpaceDN w:val="0"/>
              <w:adjustRightInd w:val="0"/>
              <w:spacing w:before="80" w:after="80"/>
              <w:contextualSpacing w:val="0"/>
              <w:jc w:val="left"/>
              <w:rPr>
                <w:rFonts w:ascii="Andes" w:hAnsi="Andes" w:cs="Arial"/>
                <w:b/>
                <w:color w:val="000000" w:themeColor="text1"/>
                <w:sz w:val="22"/>
                <w:szCs w:val="22"/>
              </w:rPr>
            </w:pPr>
            <w:r w:rsidRPr="00B1581D">
              <w:rPr>
                <w:rFonts w:ascii="Andes" w:hAnsi="Andes"/>
                <w:b/>
                <w:color w:val="000000" w:themeColor="text1"/>
                <w:sz w:val="22"/>
              </w:rPr>
              <w:t xml:space="preserve">Services Autres que </w:t>
            </w:r>
            <w:r w:rsidR="0029011C">
              <w:rPr>
                <w:rFonts w:ascii="Andes" w:hAnsi="Andes"/>
                <w:b/>
                <w:color w:val="000000" w:themeColor="text1"/>
                <w:sz w:val="22"/>
              </w:rPr>
              <w:t>l</w:t>
            </w:r>
            <w:r w:rsidRPr="00B1581D">
              <w:rPr>
                <w:rFonts w:ascii="Andes" w:hAnsi="Andes"/>
                <w:b/>
                <w:color w:val="000000" w:themeColor="text1"/>
                <w:sz w:val="22"/>
              </w:rPr>
              <w:t>es Services de Consultants</w:t>
            </w:r>
          </w:p>
        </w:tc>
        <w:tc>
          <w:tcPr>
            <w:tcW w:w="6300" w:type="dxa"/>
            <w:tcBorders>
              <w:top w:val="single" w:sz="8" w:space="0" w:color="002060"/>
              <w:bottom w:val="single" w:sz="8" w:space="0" w:color="002060"/>
              <w:right w:val="single" w:sz="4" w:space="0" w:color="auto"/>
            </w:tcBorders>
            <w:shd w:val="clear" w:color="auto" w:fill="auto"/>
          </w:tcPr>
          <w:p w14:paraId="741C86A9" w14:textId="3458872F" w:rsidR="008A7725" w:rsidRPr="00B1581D" w:rsidRDefault="008A7725" w:rsidP="004E3CA9">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 xml:space="preserve">Services qui ne sont pas des services de Consultants. Les appels d’offres et la passation des contrats relatifs à des Services Autres que </w:t>
            </w:r>
            <w:r w:rsidR="004E3CA9">
              <w:rPr>
                <w:rFonts w:ascii="Andes" w:hAnsi="Andes"/>
                <w:color w:val="000000" w:themeColor="text1"/>
                <w:sz w:val="22"/>
              </w:rPr>
              <w:t>l</w:t>
            </w:r>
            <w:r w:rsidRPr="00B1581D">
              <w:rPr>
                <w:rFonts w:ascii="Andes" w:hAnsi="Andes"/>
                <w:color w:val="000000" w:themeColor="text1"/>
                <w:sz w:val="22"/>
              </w:rPr>
              <w:t xml:space="preserve">es Services de Consultants sont normalement fondés sur des produits mesurables pour lesquels des normes de performance peuvent être clairement identifiées et appliquées de manière </w:t>
            </w:r>
            <w:r w:rsidRPr="00B1581D">
              <w:rPr>
                <w:rFonts w:ascii="Andes" w:hAnsi="Andes"/>
                <w:color w:val="000000" w:themeColor="text1"/>
                <w:sz w:val="22"/>
              </w:rPr>
              <w:lastRenderedPageBreak/>
              <w:t>systématique. Exemples</w:t>
            </w:r>
            <w:r w:rsidRPr="00B1581D">
              <w:rPr>
                <w:rFonts w:ascii="Calibri" w:hAnsi="Calibri" w:cs="Calibri"/>
                <w:color w:val="000000" w:themeColor="text1"/>
                <w:sz w:val="22"/>
              </w:rPr>
              <w:t> </w:t>
            </w:r>
            <w:r w:rsidRPr="00B1581D">
              <w:rPr>
                <w:rFonts w:ascii="Andes" w:hAnsi="Andes"/>
                <w:color w:val="000000" w:themeColor="text1"/>
                <w:sz w:val="22"/>
              </w:rPr>
              <w:t>: forage, photographie a</w:t>
            </w:r>
            <w:r w:rsidRPr="00B1581D">
              <w:rPr>
                <w:rFonts w:ascii="Andes" w:hAnsi="Andes" w:cs="Andes"/>
                <w:color w:val="000000" w:themeColor="text1"/>
                <w:sz w:val="22"/>
              </w:rPr>
              <w:t>é</w:t>
            </w:r>
            <w:r w:rsidRPr="00B1581D">
              <w:rPr>
                <w:rFonts w:ascii="Andes" w:hAnsi="Andes"/>
                <w:color w:val="000000" w:themeColor="text1"/>
                <w:sz w:val="22"/>
              </w:rPr>
              <w:t>rienne, imagerie par satellite, cartographie, et op</w:t>
            </w:r>
            <w:r w:rsidRPr="00B1581D">
              <w:rPr>
                <w:rFonts w:ascii="Andes" w:hAnsi="Andes" w:cs="Andes"/>
                <w:color w:val="000000" w:themeColor="text1"/>
                <w:sz w:val="22"/>
              </w:rPr>
              <w:t>é</w:t>
            </w:r>
            <w:r w:rsidRPr="00B1581D">
              <w:rPr>
                <w:rFonts w:ascii="Andes" w:hAnsi="Andes"/>
                <w:color w:val="000000" w:themeColor="text1"/>
                <w:sz w:val="22"/>
              </w:rPr>
              <w:t>rations similaires.</w:t>
            </w:r>
          </w:p>
        </w:tc>
      </w:tr>
      <w:tr w:rsidR="008A7725" w:rsidRPr="00D672E8" w14:paraId="5B24FB59"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59EC10D1" w14:textId="77777777" w:rsidR="008A7725" w:rsidRPr="00B1581D"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sidRPr="00B1581D">
              <w:rPr>
                <w:rFonts w:ascii="Andes" w:hAnsi="Andes"/>
                <w:b/>
                <w:color w:val="000000" w:themeColor="text1"/>
                <w:sz w:val="22"/>
              </w:rPr>
              <w:lastRenderedPageBreak/>
              <w:t xml:space="preserve">Notification d’Intention d’Attribution de Marché/Contrat </w:t>
            </w:r>
          </w:p>
        </w:tc>
        <w:tc>
          <w:tcPr>
            <w:tcW w:w="6300" w:type="dxa"/>
            <w:tcBorders>
              <w:top w:val="single" w:sz="8" w:space="0" w:color="002060"/>
              <w:bottom w:val="single" w:sz="8" w:space="0" w:color="002060"/>
              <w:right w:val="single" w:sz="4" w:space="0" w:color="auto"/>
            </w:tcBorders>
            <w:shd w:val="clear" w:color="auto" w:fill="auto"/>
          </w:tcPr>
          <w:p w14:paraId="504DFE63" w14:textId="7EEF2DFF"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Avis transmis aux Soumissionnaires/Proposants</w:t>
            </w:r>
            <w:r w:rsidR="00220210">
              <w:rPr>
                <w:rFonts w:ascii="Andes" w:hAnsi="Andes"/>
                <w:color w:val="000000" w:themeColor="text1"/>
                <w:sz w:val="22"/>
              </w:rPr>
              <w:t>/Consultants</w:t>
            </w:r>
            <w:r w:rsidRPr="00B1581D">
              <w:rPr>
                <w:rFonts w:ascii="Andes" w:hAnsi="Andes"/>
                <w:color w:val="000000" w:themeColor="text1"/>
                <w:sz w:val="22"/>
              </w:rPr>
              <w:t xml:space="preserve"> les informant de l’intention d’attribuer le marché ou le contrat, tel que décrit dans les paragraphes 5.7 à 5.7</w:t>
            </w:r>
            <w:r w:rsidR="001C480C">
              <w:rPr>
                <w:rFonts w:ascii="Andes" w:hAnsi="Andes"/>
                <w:color w:val="000000" w:themeColor="text1"/>
                <w:sz w:val="22"/>
              </w:rPr>
              <w:t>8</w:t>
            </w:r>
            <w:r w:rsidRPr="00B1581D">
              <w:rPr>
                <w:rFonts w:ascii="Andes" w:hAnsi="Andes"/>
                <w:color w:val="000000" w:themeColor="text1"/>
                <w:sz w:val="22"/>
              </w:rPr>
              <w:t>.</w:t>
            </w:r>
          </w:p>
        </w:tc>
      </w:tr>
      <w:tr w:rsidR="008A7725" w:rsidRPr="003B076C" w14:paraId="32C827A1"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34CB67F0"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Paragraphe</w:t>
            </w:r>
          </w:p>
        </w:tc>
        <w:tc>
          <w:tcPr>
            <w:tcW w:w="6300" w:type="dxa"/>
            <w:tcBorders>
              <w:top w:val="single" w:sz="8" w:space="0" w:color="002060"/>
              <w:bottom w:val="single" w:sz="8" w:space="0" w:color="002060"/>
              <w:right w:val="single" w:sz="4" w:space="0" w:color="auto"/>
            </w:tcBorders>
            <w:shd w:val="clear" w:color="auto" w:fill="auto"/>
          </w:tcPr>
          <w:p w14:paraId="7A5F3D86" w14:textId="4346E7D2" w:rsidR="008A7725" w:rsidRPr="00D317C1" w:rsidRDefault="008A7725" w:rsidP="004E3CA9">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 xml:space="preserve">Paragraphe numéroté du présent Règlement de Passation des Marchés.  </w:t>
            </w:r>
            <w:r>
              <w:rPr>
                <w:rFonts w:ascii="Andes" w:hAnsi="Andes"/>
                <w:color w:val="000000" w:themeColor="text1"/>
                <w:sz w:val="22"/>
              </w:rPr>
              <w:t>Ce</w:t>
            </w:r>
            <w:r w:rsidR="004E3CA9">
              <w:rPr>
                <w:rFonts w:ascii="Andes" w:hAnsi="Andes"/>
                <w:color w:val="000000" w:themeColor="text1"/>
                <w:sz w:val="22"/>
              </w:rPr>
              <w:t>ci</w:t>
            </w:r>
            <w:r>
              <w:rPr>
                <w:rFonts w:ascii="Andes" w:hAnsi="Andes"/>
                <w:color w:val="000000" w:themeColor="text1"/>
                <w:sz w:val="22"/>
              </w:rPr>
              <w:t xml:space="preserve"> inclut les paragraphes des Annexes.</w:t>
            </w:r>
          </w:p>
        </w:tc>
      </w:tr>
      <w:tr w:rsidR="008A7725" w:rsidRPr="00D672E8" w14:paraId="66B8C892"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43A51F55"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Ouvrage</w:t>
            </w:r>
          </w:p>
        </w:tc>
        <w:tc>
          <w:tcPr>
            <w:tcW w:w="6300" w:type="dxa"/>
            <w:tcBorders>
              <w:top w:val="single" w:sz="8" w:space="0" w:color="002060"/>
              <w:bottom w:val="single" w:sz="8" w:space="0" w:color="002060"/>
              <w:right w:val="single" w:sz="4" w:space="0" w:color="auto"/>
            </w:tcBorders>
            <w:shd w:val="clear" w:color="auto" w:fill="auto"/>
          </w:tcPr>
          <w:p w14:paraId="30AFE389" w14:textId="3B14B93E" w:rsidR="008A7725" w:rsidRPr="00B1581D" w:rsidRDefault="0058002B" w:rsidP="0058002B">
            <w:pPr>
              <w:autoSpaceDE w:val="0"/>
              <w:autoSpaceDN w:val="0"/>
              <w:adjustRightInd w:val="0"/>
              <w:spacing w:before="80" w:after="80"/>
              <w:contextualSpacing w:val="0"/>
              <w:rPr>
                <w:rFonts w:ascii="Andes" w:hAnsi="Andes" w:cs="Microsoft Sans Serif"/>
                <w:color w:val="000000" w:themeColor="text1"/>
                <w:sz w:val="22"/>
                <w:szCs w:val="22"/>
              </w:rPr>
            </w:pPr>
            <w:r>
              <w:rPr>
                <w:rFonts w:ascii="Andes" w:hAnsi="Andes"/>
                <w:color w:val="000000" w:themeColor="text1"/>
                <w:sz w:val="22"/>
              </w:rPr>
              <w:t>F</w:t>
            </w:r>
            <w:r w:rsidR="008A7725" w:rsidRPr="00B1581D">
              <w:rPr>
                <w:rFonts w:ascii="Andes" w:hAnsi="Andes"/>
                <w:color w:val="000000" w:themeColor="text1"/>
                <w:sz w:val="22"/>
              </w:rPr>
              <w:t xml:space="preserve">ourniture d’installations équipées, tels que </w:t>
            </w:r>
            <w:r w:rsidRPr="00B1581D">
              <w:rPr>
                <w:rFonts w:ascii="Andes" w:hAnsi="Andes"/>
                <w:color w:val="000000" w:themeColor="text1"/>
                <w:sz w:val="22"/>
              </w:rPr>
              <w:t>ce</w:t>
            </w:r>
            <w:r>
              <w:rPr>
                <w:rFonts w:ascii="Andes" w:hAnsi="Andes"/>
                <w:color w:val="000000" w:themeColor="text1"/>
                <w:sz w:val="22"/>
              </w:rPr>
              <w:t>lles</w:t>
            </w:r>
            <w:r w:rsidRPr="00B1581D">
              <w:rPr>
                <w:rFonts w:ascii="Andes" w:hAnsi="Andes"/>
                <w:color w:val="000000" w:themeColor="text1"/>
                <w:sz w:val="22"/>
              </w:rPr>
              <w:t xml:space="preserve"> </w:t>
            </w:r>
            <w:r w:rsidR="008A7725" w:rsidRPr="00B1581D">
              <w:rPr>
                <w:rFonts w:ascii="Andes" w:hAnsi="Andes"/>
                <w:color w:val="000000" w:themeColor="text1"/>
                <w:sz w:val="22"/>
              </w:rPr>
              <w:t>exécutés sur la base de la conception, la fourniture, l’installation</w:t>
            </w:r>
            <w:r>
              <w:rPr>
                <w:rFonts w:ascii="Andes" w:hAnsi="Andes"/>
                <w:color w:val="000000" w:themeColor="text1"/>
                <w:sz w:val="22"/>
              </w:rPr>
              <w:t xml:space="preserve"> et</w:t>
            </w:r>
            <w:r w:rsidR="008A7725" w:rsidRPr="00B1581D">
              <w:rPr>
                <w:rFonts w:ascii="Andes" w:hAnsi="Andes"/>
                <w:color w:val="000000" w:themeColor="text1"/>
                <w:sz w:val="22"/>
              </w:rPr>
              <w:t xml:space="preserve"> la mise en service.  </w:t>
            </w:r>
          </w:p>
        </w:tc>
      </w:tr>
      <w:tr w:rsidR="008A7725" w:rsidRPr="003B076C" w14:paraId="57CC4B41"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59F38605"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PPP</w:t>
            </w:r>
          </w:p>
        </w:tc>
        <w:tc>
          <w:tcPr>
            <w:tcW w:w="6300" w:type="dxa"/>
            <w:tcBorders>
              <w:top w:val="single" w:sz="8" w:space="0" w:color="002060"/>
              <w:bottom w:val="single" w:sz="8" w:space="0" w:color="002060"/>
              <w:right w:val="single" w:sz="4" w:space="0" w:color="auto"/>
            </w:tcBorders>
            <w:shd w:val="clear" w:color="auto" w:fill="auto"/>
          </w:tcPr>
          <w:p w14:paraId="6E6946C1" w14:textId="77777777" w:rsidR="008A7725" w:rsidRPr="00D317C1"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Pr>
                <w:rFonts w:ascii="Andes" w:hAnsi="Andes"/>
                <w:color w:val="000000" w:themeColor="text1"/>
                <w:sz w:val="22"/>
              </w:rPr>
              <w:t>Partenariat Public-Privé.</w:t>
            </w:r>
          </w:p>
        </w:tc>
      </w:tr>
      <w:tr w:rsidR="008A7725" w:rsidRPr="00D672E8" w14:paraId="361F2235"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536FE13E" w14:textId="0E8229E3" w:rsidR="008A7725" w:rsidRPr="00D317C1" w:rsidRDefault="000A7F1B"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Préqualification</w:t>
            </w:r>
          </w:p>
        </w:tc>
        <w:tc>
          <w:tcPr>
            <w:tcW w:w="6300" w:type="dxa"/>
            <w:tcBorders>
              <w:top w:val="single" w:sz="8" w:space="0" w:color="002060"/>
              <w:bottom w:val="single" w:sz="8" w:space="0" w:color="002060"/>
              <w:right w:val="single" w:sz="4" w:space="0" w:color="auto"/>
            </w:tcBorders>
            <w:shd w:val="clear" w:color="auto" w:fill="auto"/>
          </w:tcPr>
          <w:p w14:paraId="0620DF32" w14:textId="77777777"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14:props3d w14:extrusionH="0" w14:contourW="0" w14:prstMaterial="matte"/>
              </w:rPr>
              <w:t>Processus de présélection pouvant être utilisé avant le lancement d’un appel d’offres dans le cadre de la passation de marchés de Fournitures ou de Travaux ou de contrats de Services Autres que des Services de Consultants.</w:t>
            </w:r>
          </w:p>
        </w:tc>
      </w:tr>
      <w:tr w:rsidR="008A7725" w:rsidRPr="00D672E8" w14:paraId="2DC050ED"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63702910"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Garant de Probité</w:t>
            </w:r>
          </w:p>
        </w:tc>
        <w:tc>
          <w:tcPr>
            <w:tcW w:w="6300" w:type="dxa"/>
            <w:tcBorders>
              <w:top w:val="single" w:sz="8" w:space="0" w:color="002060"/>
              <w:bottom w:val="single" w:sz="8" w:space="0" w:color="002060"/>
              <w:right w:val="single" w:sz="4" w:space="0" w:color="auto"/>
            </w:tcBorders>
            <w:shd w:val="clear" w:color="auto" w:fill="auto"/>
          </w:tcPr>
          <w:p w14:paraId="60E43489" w14:textId="6B8492D9" w:rsidR="008A7725" w:rsidRPr="00B1581D" w:rsidRDefault="008A7725" w:rsidP="00382AC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 xml:space="preserve">Tierce partie indépendante qui fournit des services spécialisés d’assurance de la probité pour </w:t>
            </w:r>
            <w:r w:rsidR="00382ACB">
              <w:rPr>
                <w:rFonts w:ascii="Andes" w:hAnsi="Andes"/>
                <w:color w:val="000000" w:themeColor="text1"/>
                <w:sz w:val="22"/>
              </w:rPr>
              <w:t xml:space="preserve">garantir </w:t>
            </w:r>
            <w:r w:rsidRPr="00B1581D">
              <w:rPr>
                <w:rFonts w:ascii="Andes" w:hAnsi="Andes"/>
                <w:color w:val="000000" w:themeColor="text1"/>
                <w:sz w:val="22"/>
              </w:rPr>
              <w:t xml:space="preserve">la </w:t>
            </w:r>
            <w:r w:rsidR="00382ACB">
              <w:rPr>
                <w:rFonts w:ascii="Andes" w:hAnsi="Andes"/>
                <w:color w:val="000000" w:themeColor="text1"/>
                <w:sz w:val="22"/>
              </w:rPr>
              <w:t>bonne qualité</w:t>
            </w:r>
            <w:r w:rsidRPr="00B1581D">
              <w:rPr>
                <w:rFonts w:ascii="Andes" w:hAnsi="Andes"/>
                <w:color w:val="000000" w:themeColor="text1"/>
                <w:sz w:val="22"/>
              </w:rPr>
              <w:t xml:space="preserve"> du Processus de Passation des Marchés.</w:t>
            </w:r>
          </w:p>
        </w:tc>
      </w:tr>
      <w:tr w:rsidR="008A7725" w:rsidRPr="00D672E8" w14:paraId="12E7C645"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45ED4FD1" w14:textId="77777777" w:rsidR="008A7725" w:rsidRPr="00B1581D"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sidRPr="00B1581D">
              <w:rPr>
                <w:rFonts w:ascii="Andes" w:hAnsi="Andes"/>
                <w:b/>
                <w:color w:val="000000" w:themeColor="text1"/>
                <w:sz w:val="22"/>
              </w:rPr>
              <w:t>Dossiers de Passation des Marchés</w:t>
            </w:r>
          </w:p>
        </w:tc>
        <w:tc>
          <w:tcPr>
            <w:tcW w:w="6300" w:type="dxa"/>
            <w:tcBorders>
              <w:top w:val="single" w:sz="8" w:space="0" w:color="002060"/>
              <w:bottom w:val="single" w:sz="8" w:space="0" w:color="002060"/>
              <w:right w:val="single" w:sz="4" w:space="0" w:color="auto"/>
            </w:tcBorders>
            <w:shd w:val="clear" w:color="auto" w:fill="auto"/>
          </w:tcPr>
          <w:p w14:paraId="3C1BD5D9" w14:textId="29DBEA57" w:rsidR="008A7725" w:rsidRPr="00B1581D" w:rsidRDefault="008A7725" w:rsidP="0058002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Terme générique utilisé dans le présent Règlement de Passation des Marchés pour désigner l’ensemble des Dossiers de Passation de Marchés publiés par l’Emprunteur</w:t>
            </w:r>
            <w:r w:rsidR="000A3E3B">
              <w:rPr>
                <w:rFonts w:ascii="Andes" w:hAnsi="Andes"/>
                <w:color w:val="000000" w:themeColor="text1"/>
                <w:sz w:val="22"/>
              </w:rPr>
              <w:t xml:space="preserve"> aux Candidats/Soumissionnaires/Proposants potentiels</w:t>
            </w:r>
            <w:r w:rsidRPr="00B1581D">
              <w:rPr>
                <w:rFonts w:ascii="Andes" w:hAnsi="Andes"/>
                <w:color w:val="000000" w:themeColor="text1"/>
                <w:sz w:val="22"/>
              </w:rPr>
              <w:t>. Cela inclut</w:t>
            </w:r>
            <w:r w:rsidRPr="00B1581D">
              <w:rPr>
                <w:rFonts w:ascii="Calibri" w:hAnsi="Calibri" w:cs="Calibri"/>
                <w:color w:val="000000" w:themeColor="text1"/>
                <w:sz w:val="22"/>
              </w:rPr>
              <w:t> </w:t>
            </w:r>
            <w:r w:rsidRPr="00B1581D">
              <w:rPr>
                <w:rFonts w:ascii="Andes" w:hAnsi="Andes"/>
                <w:color w:val="000000" w:themeColor="text1"/>
                <w:sz w:val="22"/>
              </w:rPr>
              <w:t>: l</w:t>
            </w:r>
            <w:r w:rsidRPr="00B1581D">
              <w:rPr>
                <w:rFonts w:ascii="Andes" w:hAnsi="Andes" w:cs="Andes"/>
                <w:color w:val="000000" w:themeColor="text1"/>
                <w:sz w:val="22"/>
              </w:rPr>
              <w:t>’</w:t>
            </w:r>
            <w:r w:rsidRPr="00B1581D">
              <w:rPr>
                <w:rFonts w:ascii="Andes" w:hAnsi="Andes"/>
                <w:color w:val="000000" w:themeColor="text1"/>
                <w:sz w:val="22"/>
              </w:rPr>
              <w:t>AGPM, l</w:t>
            </w:r>
            <w:r w:rsidRPr="00B1581D">
              <w:rPr>
                <w:rFonts w:ascii="Andes" w:hAnsi="Andes" w:cs="Andes"/>
                <w:color w:val="000000" w:themeColor="text1"/>
                <w:sz w:val="22"/>
              </w:rPr>
              <w:t>’</w:t>
            </w:r>
            <w:r w:rsidRPr="00B1581D">
              <w:rPr>
                <w:rFonts w:ascii="Andes" w:hAnsi="Andes"/>
                <w:color w:val="000000" w:themeColor="text1"/>
                <w:sz w:val="22"/>
              </w:rPr>
              <w:t>APPM, l</w:t>
            </w:r>
            <w:r w:rsidRPr="00B1581D">
              <w:rPr>
                <w:rFonts w:ascii="Andes" w:hAnsi="Andes" w:cs="Andes"/>
                <w:color w:val="000000" w:themeColor="text1"/>
                <w:sz w:val="22"/>
              </w:rPr>
              <w:t>’</w:t>
            </w:r>
            <w:r w:rsidRPr="00B1581D">
              <w:rPr>
                <w:rFonts w:ascii="Andes" w:hAnsi="Andes"/>
                <w:color w:val="000000" w:themeColor="text1"/>
                <w:sz w:val="22"/>
              </w:rPr>
              <w:t xml:space="preserve">AMI, le dossier de </w:t>
            </w:r>
            <w:r w:rsidR="00B658E4" w:rsidRPr="00B1581D">
              <w:rPr>
                <w:rFonts w:ascii="Andes" w:hAnsi="Andes"/>
                <w:color w:val="000000" w:themeColor="text1"/>
                <w:sz w:val="22"/>
              </w:rPr>
              <w:t>pr</w:t>
            </w:r>
            <w:r w:rsidR="00B658E4" w:rsidRPr="00B1581D">
              <w:rPr>
                <w:rFonts w:ascii="Andes" w:hAnsi="Andes" w:cs="Andes"/>
                <w:color w:val="000000" w:themeColor="text1"/>
                <w:sz w:val="22"/>
              </w:rPr>
              <w:t>é</w:t>
            </w:r>
            <w:r w:rsidR="00B658E4">
              <w:rPr>
                <w:rFonts w:ascii="Andes" w:hAnsi="Andes" w:cs="Andes"/>
                <w:color w:val="000000" w:themeColor="text1"/>
                <w:sz w:val="22"/>
              </w:rPr>
              <w:t>q</w:t>
            </w:r>
            <w:r w:rsidR="00B658E4" w:rsidRPr="00B1581D">
              <w:rPr>
                <w:rFonts w:ascii="Andes" w:hAnsi="Andes"/>
                <w:color w:val="000000" w:themeColor="text1"/>
                <w:sz w:val="22"/>
              </w:rPr>
              <w:t>ualification</w:t>
            </w:r>
            <w:r w:rsidRPr="00B1581D">
              <w:rPr>
                <w:rFonts w:ascii="Andes" w:hAnsi="Andes"/>
                <w:color w:val="000000" w:themeColor="text1"/>
                <w:sz w:val="22"/>
              </w:rPr>
              <w:t xml:space="preserve">, </w:t>
            </w:r>
            <w:r w:rsidR="00874449">
              <w:rPr>
                <w:rFonts w:ascii="Andes" w:hAnsi="Andes"/>
                <w:color w:val="000000" w:themeColor="text1"/>
                <w:sz w:val="22"/>
              </w:rPr>
              <w:t>l</w:t>
            </w:r>
            <w:r w:rsidRPr="00B1581D">
              <w:rPr>
                <w:rFonts w:ascii="Andes" w:hAnsi="Andes"/>
                <w:color w:val="000000" w:themeColor="text1"/>
                <w:sz w:val="22"/>
              </w:rPr>
              <w:t>e dossier de s</w:t>
            </w:r>
            <w:r w:rsidRPr="00B1581D">
              <w:rPr>
                <w:rFonts w:ascii="Andes" w:hAnsi="Andes" w:cs="Andes"/>
                <w:color w:val="000000" w:themeColor="text1"/>
                <w:sz w:val="22"/>
              </w:rPr>
              <w:t>é</w:t>
            </w:r>
            <w:r w:rsidRPr="00B1581D">
              <w:rPr>
                <w:rFonts w:ascii="Andes" w:hAnsi="Andes"/>
                <w:color w:val="000000" w:themeColor="text1"/>
                <w:sz w:val="22"/>
              </w:rPr>
              <w:t>lection initiale, l</w:t>
            </w:r>
            <w:r w:rsidR="00874449">
              <w:rPr>
                <w:rFonts w:ascii="Andes" w:hAnsi="Andes"/>
                <w:color w:val="000000" w:themeColor="text1"/>
                <w:sz w:val="22"/>
              </w:rPr>
              <w:t xml:space="preserve">e dossier </w:t>
            </w:r>
            <w:r w:rsidRPr="00B1581D">
              <w:rPr>
                <w:rFonts w:ascii="Andes" w:hAnsi="Andes"/>
                <w:color w:val="000000" w:themeColor="text1"/>
                <w:sz w:val="22"/>
              </w:rPr>
              <w:t>d</w:t>
            </w:r>
            <w:r w:rsidRPr="00B1581D">
              <w:rPr>
                <w:rFonts w:ascii="Andes" w:hAnsi="Andes" w:cs="Andes"/>
                <w:color w:val="000000" w:themeColor="text1"/>
                <w:sz w:val="22"/>
              </w:rPr>
              <w:t>’</w:t>
            </w:r>
            <w:r w:rsidRPr="00B1581D">
              <w:rPr>
                <w:rFonts w:ascii="Andes" w:hAnsi="Andes"/>
                <w:color w:val="000000" w:themeColor="text1"/>
                <w:sz w:val="22"/>
              </w:rPr>
              <w:t>appel d</w:t>
            </w:r>
            <w:r w:rsidRPr="00B1581D">
              <w:rPr>
                <w:rFonts w:ascii="Andes" w:hAnsi="Andes" w:cs="Andes"/>
                <w:color w:val="000000" w:themeColor="text1"/>
                <w:sz w:val="22"/>
              </w:rPr>
              <w:t>’</w:t>
            </w:r>
            <w:r w:rsidRPr="00B1581D">
              <w:rPr>
                <w:rFonts w:ascii="Andes" w:hAnsi="Andes"/>
                <w:color w:val="000000" w:themeColor="text1"/>
                <w:sz w:val="22"/>
              </w:rPr>
              <w:t>offres, le dossier d</w:t>
            </w:r>
            <w:r w:rsidRPr="00B1581D">
              <w:rPr>
                <w:rFonts w:ascii="Andes" w:hAnsi="Andes" w:cs="Andes"/>
                <w:color w:val="000000" w:themeColor="text1"/>
                <w:sz w:val="22"/>
              </w:rPr>
              <w:t>’</w:t>
            </w:r>
            <w:r w:rsidRPr="00B1581D">
              <w:rPr>
                <w:rFonts w:ascii="Andes" w:hAnsi="Andes"/>
                <w:color w:val="000000" w:themeColor="text1"/>
                <w:sz w:val="22"/>
              </w:rPr>
              <w:t xml:space="preserve">appel </w:t>
            </w:r>
            <w:r w:rsidRPr="00B1581D">
              <w:rPr>
                <w:rFonts w:ascii="Andes" w:hAnsi="Andes" w:cs="Andes"/>
                <w:color w:val="000000" w:themeColor="text1"/>
                <w:sz w:val="22"/>
              </w:rPr>
              <w:t>à</w:t>
            </w:r>
            <w:r w:rsidRPr="00B1581D">
              <w:rPr>
                <w:rFonts w:ascii="Andes" w:hAnsi="Andes"/>
                <w:color w:val="000000" w:themeColor="text1"/>
                <w:sz w:val="22"/>
              </w:rPr>
              <w:t xml:space="preserve"> </w:t>
            </w:r>
            <w:r w:rsidR="00874449">
              <w:rPr>
                <w:rFonts w:ascii="Andes" w:hAnsi="Andes"/>
                <w:color w:val="000000" w:themeColor="text1"/>
                <w:sz w:val="22"/>
              </w:rPr>
              <w:t>P</w:t>
            </w:r>
            <w:r w:rsidRPr="00B1581D">
              <w:rPr>
                <w:rFonts w:ascii="Andes" w:hAnsi="Andes"/>
                <w:color w:val="000000" w:themeColor="text1"/>
                <w:sz w:val="22"/>
              </w:rPr>
              <w:t>ropositions, les formulaires de contrats et tout addendum.</w:t>
            </w:r>
          </w:p>
        </w:tc>
      </w:tr>
      <w:tr w:rsidR="008A7725" w:rsidRPr="00D672E8" w14:paraId="6F71EBCD"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60ADEFC6" w14:textId="77777777" w:rsidR="008A7725" w:rsidRPr="00B1581D"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sidRPr="00B1581D">
              <w:rPr>
                <w:rFonts w:ascii="Andes" w:hAnsi="Andes"/>
                <w:b/>
                <w:color w:val="000000" w:themeColor="text1"/>
                <w:sz w:val="22"/>
              </w:rPr>
              <w:t>Plan de Passation des Marchés</w:t>
            </w:r>
          </w:p>
        </w:tc>
        <w:tc>
          <w:tcPr>
            <w:tcW w:w="6300" w:type="dxa"/>
            <w:tcBorders>
              <w:top w:val="single" w:sz="8" w:space="0" w:color="002060"/>
              <w:bottom w:val="single" w:sz="8" w:space="0" w:color="002060"/>
              <w:right w:val="single" w:sz="4" w:space="0" w:color="auto"/>
            </w:tcBorders>
            <w:shd w:val="clear" w:color="auto" w:fill="auto"/>
          </w:tcPr>
          <w:p w14:paraId="0BD46D4D" w14:textId="69F6E405" w:rsidR="008A7725" w:rsidRPr="00B1581D" w:rsidRDefault="008A7725" w:rsidP="00382AC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 xml:space="preserve">Plan de Passation des Marchés de l’Emprunteur concernant </w:t>
            </w:r>
            <w:r w:rsidR="00382ACB">
              <w:rPr>
                <w:rFonts w:ascii="Andes" w:hAnsi="Andes"/>
                <w:color w:val="000000" w:themeColor="text1"/>
                <w:sz w:val="22"/>
              </w:rPr>
              <w:t>l</w:t>
            </w:r>
            <w:r w:rsidRPr="00B1581D">
              <w:rPr>
                <w:rFonts w:ascii="Andes" w:hAnsi="Andes"/>
                <w:color w:val="000000" w:themeColor="text1"/>
                <w:sz w:val="22"/>
              </w:rPr>
              <w:t>es opérations de FPI, visé aux paragraphes</w:t>
            </w:r>
            <w:r w:rsidRPr="00B1581D">
              <w:rPr>
                <w:rFonts w:ascii="Calibri" w:hAnsi="Calibri" w:cs="Calibri"/>
                <w:color w:val="000000" w:themeColor="text1"/>
                <w:sz w:val="22"/>
              </w:rPr>
              <w:t> </w:t>
            </w:r>
            <w:r w:rsidRPr="00B1581D">
              <w:rPr>
                <w:rFonts w:ascii="Andes" w:hAnsi="Andes"/>
                <w:color w:val="000000" w:themeColor="text1"/>
                <w:sz w:val="22"/>
              </w:rPr>
              <w:t>4.</w:t>
            </w:r>
            <w:r w:rsidR="00F227BE">
              <w:rPr>
                <w:rFonts w:ascii="Andes" w:hAnsi="Andes"/>
                <w:color w:val="000000" w:themeColor="text1"/>
                <w:sz w:val="22"/>
              </w:rPr>
              <w:t>5</w:t>
            </w:r>
            <w:r w:rsidRPr="00B1581D">
              <w:rPr>
                <w:rFonts w:ascii="Andes" w:hAnsi="Andes"/>
                <w:color w:val="000000" w:themeColor="text1"/>
                <w:sz w:val="22"/>
              </w:rPr>
              <w:t xml:space="preserve"> et 4.</w:t>
            </w:r>
            <w:r w:rsidR="00F227BE">
              <w:rPr>
                <w:rFonts w:ascii="Andes" w:hAnsi="Andes"/>
                <w:color w:val="000000" w:themeColor="text1"/>
                <w:sz w:val="22"/>
              </w:rPr>
              <w:t>7</w:t>
            </w:r>
            <w:r w:rsidRPr="00B1581D">
              <w:rPr>
                <w:rFonts w:ascii="Andes" w:hAnsi="Andes"/>
                <w:color w:val="000000" w:themeColor="text1"/>
                <w:sz w:val="22"/>
              </w:rPr>
              <w:t xml:space="preserve"> et inclus dans l’Accord Juridique par renvoi.</w:t>
            </w:r>
          </w:p>
        </w:tc>
      </w:tr>
      <w:tr w:rsidR="008A7725" w:rsidRPr="00D672E8" w14:paraId="43B16D82"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00700698" w14:textId="77777777" w:rsidR="008A7725" w:rsidRPr="00B1581D"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sidRPr="00B1581D">
              <w:rPr>
                <w:rFonts w:ascii="Andes" w:hAnsi="Andes"/>
                <w:b/>
                <w:color w:val="000000" w:themeColor="text1"/>
                <w:sz w:val="22"/>
              </w:rPr>
              <w:t>Processus de Passation des Marchés</w:t>
            </w:r>
          </w:p>
        </w:tc>
        <w:tc>
          <w:tcPr>
            <w:tcW w:w="6300" w:type="dxa"/>
            <w:tcBorders>
              <w:top w:val="single" w:sz="8" w:space="0" w:color="002060"/>
              <w:bottom w:val="single" w:sz="8" w:space="0" w:color="002060"/>
              <w:right w:val="single" w:sz="4" w:space="0" w:color="auto"/>
            </w:tcBorders>
            <w:shd w:val="clear" w:color="auto" w:fill="auto"/>
          </w:tcPr>
          <w:p w14:paraId="64B9B714" w14:textId="77777777"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Processus qui commence par l’identification d’un besoin et se poursuit par la planification, la préparation du cahier des charges/exigences, les considérations budgétaires, la sélection, l’attribution des marchés ou contrats, et la gestion des marchés et contrats. Il prend fin le dernier jour de la période de garantie.</w:t>
            </w:r>
          </w:p>
        </w:tc>
      </w:tr>
      <w:tr w:rsidR="008A7725" w:rsidRPr="00D672E8" w14:paraId="0EBD7624"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08C2E11B" w14:textId="77777777" w:rsidR="008A7725" w:rsidRPr="00B1581D"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sidRPr="00B1581D">
              <w:rPr>
                <w:rFonts w:ascii="Andes" w:hAnsi="Andes"/>
                <w:b/>
                <w:color w:val="000000" w:themeColor="text1"/>
                <w:sz w:val="22"/>
              </w:rPr>
              <w:t>Règlement de Passation des Marchés</w:t>
            </w:r>
          </w:p>
        </w:tc>
        <w:tc>
          <w:tcPr>
            <w:tcW w:w="6300" w:type="dxa"/>
            <w:tcBorders>
              <w:top w:val="single" w:sz="8" w:space="0" w:color="002060"/>
              <w:bottom w:val="single" w:sz="8" w:space="0" w:color="002060"/>
              <w:right w:val="single" w:sz="4" w:space="0" w:color="auto"/>
            </w:tcBorders>
            <w:shd w:val="clear" w:color="auto" w:fill="auto"/>
          </w:tcPr>
          <w:p w14:paraId="37428A39" w14:textId="0C1B93A0" w:rsidR="008A7725" w:rsidRPr="00B1581D" w:rsidRDefault="001C480C" w:rsidP="006D600B">
            <w:pPr>
              <w:autoSpaceDE w:val="0"/>
              <w:autoSpaceDN w:val="0"/>
              <w:adjustRightInd w:val="0"/>
              <w:spacing w:before="80" w:after="80"/>
              <w:contextualSpacing w:val="0"/>
              <w:rPr>
                <w:rFonts w:ascii="Andes" w:hAnsi="Andes" w:cs="Microsoft Sans Serif"/>
                <w:color w:val="000000" w:themeColor="text1"/>
                <w:sz w:val="22"/>
                <w:szCs w:val="22"/>
              </w:rPr>
            </w:pPr>
            <w:r>
              <w:rPr>
                <w:rFonts w:ascii="Andes" w:hAnsi="Andes"/>
                <w:color w:val="000000" w:themeColor="text1"/>
                <w:sz w:val="22"/>
              </w:rPr>
              <w:t xml:space="preserve">Le </w:t>
            </w:r>
            <w:r w:rsidR="008A7725" w:rsidRPr="00B1581D">
              <w:rPr>
                <w:rFonts w:ascii="Andes" w:hAnsi="Andes"/>
                <w:color w:val="000000" w:themeColor="text1"/>
                <w:sz w:val="22"/>
              </w:rPr>
              <w:t xml:space="preserve">Règlement de Passation des Marchés de la Banque mondiale pour les Emprunteurs sollicitant un FPI . </w:t>
            </w:r>
          </w:p>
        </w:tc>
      </w:tr>
      <w:tr w:rsidR="008A7725" w:rsidRPr="00D672E8" w14:paraId="54199FEE"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1569F6DB" w14:textId="18FB1547" w:rsidR="008A7725" w:rsidRPr="00B1581D" w:rsidRDefault="008A7725" w:rsidP="008006C2">
            <w:pPr>
              <w:autoSpaceDE w:val="0"/>
              <w:autoSpaceDN w:val="0"/>
              <w:adjustRightInd w:val="0"/>
              <w:spacing w:before="80" w:after="80"/>
              <w:contextualSpacing w:val="0"/>
              <w:jc w:val="left"/>
              <w:rPr>
                <w:rFonts w:ascii="Andes" w:hAnsi="Andes" w:cs="Arial"/>
                <w:b/>
                <w:color w:val="000000" w:themeColor="text1"/>
                <w:sz w:val="22"/>
                <w:szCs w:val="22"/>
              </w:rPr>
            </w:pPr>
            <w:r w:rsidRPr="00B1581D">
              <w:rPr>
                <w:rFonts w:ascii="Andes" w:hAnsi="Andes"/>
                <w:b/>
                <w:color w:val="000000" w:themeColor="text1"/>
                <w:sz w:val="22"/>
              </w:rPr>
              <w:lastRenderedPageBreak/>
              <w:t>Stratégie de Passation des Marchés du Projet pour Promouvoir le Développement (</w:t>
            </w:r>
            <w:r w:rsidR="006634EF">
              <w:rPr>
                <w:rFonts w:ascii="Andes" w:hAnsi="Andes"/>
                <w:b/>
                <w:color w:val="000000" w:themeColor="text1"/>
                <w:sz w:val="22"/>
              </w:rPr>
              <w:t>SPMPD</w:t>
            </w:r>
            <w:r w:rsidRPr="00B1581D">
              <w:rPr>
                <w:rFonts w:ascii="Andes" w:hAnsi="Andes"/>
                <w:b/>
                <w:color w:val="000000" w:themeColor="text1"/>
                <w:sz w:val="22"/>
              </w:rPr>
              <w:t>)</w:t>
            </w:r>
          </w:p>
        </w:tc>
        <w:tc>
          <w:tcPr>
            <w:tcW w:w="6300" w:type="dxa"/>
            <w:tcBorders>
              <w:top w:val="single" w:sz="8" w:space="0" w:color="002060"/>
              <w:bottom w:val="single" w:sz="8" w:space="0" w:color="002060"/>
              <w:right w:val="single" w:sz="4" w:space="0" w:color="auto"/>
            </w:tcBorders>
            <w:shd w:val="clear" w:color="auto" w:fill="auto"/>
          </w:tcPr>
          <w:p w14:paraId="1D2FF6BE" w14:textId="77777777"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Document de stratégie élaboré au niveau du projet par l’Emprunteur, qui décrit comment la passation des marchés dans le cadre des opérations de FPI soutient les objectifs de développement du projet et optimise l'emploi des ressources.</w:t>
            </w:r>
          </w:p>
        </w:tc>
      </w:tr>
      <w:tr w:rsidR="008A7725" w:rsidRPr="00D672E8" w14:paraId="45A28A2B"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76193D2F"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Proposition</w:t>
            </w:r>
          </w:p>
        </w:tc>
        <w:tc>
          <w:tcPr>
            <w:tcW w:w="6300" w:type="dxa"/>
            <w:tcBorders>
              <w:top w:val="single" w:sz="8" w:space="0" w:color="002060"/>
              <w:bottom w:val="single" w:sz="8" w:space="0" w:color="002060"/>
              <w:right w:val="single" w:sz="4" w:space="0" w:color="auto"/>
            </w:tcBorders>
            <w:shd w:val="clear" w:color="auto" w:fill="auto"/>
          </w:tcPr>
          <w:p w14:paraId="414D181B" w14:textId="19888297" w:rsidR="008A7725" w:rsidRPr="00B1581D" w:rsidRDefault="008A7725" w:rsidP="0083207E">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 xml:space="preserve">Offre soumise par une partie à une autre en réponse à une </w:t>
            </w:r>
            <w:r w:rsidR="00874449">
              <w:rPr>
                <w:rFonts w:ascii="Andes" w:hAnsi="Andes"/>
                <w:color w:val="000000" w:themeColor="text1"/>
                <w:sz w:val="22"/>
              </w:rPr>
              <w:t>D</w:t>
            </w:r>
            <w:r w:rsidRPr="00B1581D">
              <w:rPr>
                <w:rFonts w:ascii="Andes" w:hAnsi="Andes"/>
                <w:color w:val="000000" w:themeColor="text1"/>
                <w:sz w:val="22"/>
              </w:rPr>
              <w:t xml:space="preserve">emande de </w:t>
            </w:r>
            <w:r w:rsidR="00874449">
              <w:rPr>
                <w:rFonts w:ascii="Andes" w:hAnsi="Andes"/>
                <w:color w:val="000000" w:themeColor="text1"/>
                <w:sz w:val="22"/>
              </w:rPr>
              <w:t>P</w:t>
            </w:r>
            <w:r w:rsidRPr="00B1581D">
              <w:rPr>
                <w:rFonts w:ascii="Andes" w:hAnsi="Andes"/>
                <w:color w:val="000000" w:themeColor="text1"/>
                <w:sz w:val="22"/>
              </w:rPr>
              <w:t>ropositions, pouvant inclure le prix ou pas, pour des Fournitures, des Travaux</w:t>
            </w:r>
            <w:r w:rsidR="0083207E">
              <w:rPr>
                <w:rFonts w:ascii="Andes" w:hAnsi="Andes"/>
                <w:color w:val="000000" w:themeColor="text1"/>
                <w:sz w:val="22"/>
              </w:rPr>
              <w:t>,</w:t>
            </w:r>
            <w:r w:rsidRPr="00B1581D">
              <w:rPr>
                <w:rFonts w:ascii="Andes" w:hAnsi="Andes"/>
                <w:color w:val="000000" w:themeColor="text1"/>
                <w:sz w:val="22"/>
              </w:rPr>
              <w:t xml:space="preserve"> des Services Autres que </w:t>
            </w:r>
            <w:r w:rsidR="0083207E">
              <w:rPr>
                <w:rFonts w:ascii="Andes" w:hAnsi="Andes"/>
                <w:color w:val="000000" w:themeColor="text1"/>
                <w:sz w:val="22"/>
              </w:rPr>
              <w:t>l</w:t>
            </w:r>
            <w:r w:rsidRPr="00B1581D">
              <w:rPr>
                <w:rFonts w:ascii="Andes" w:hAnsi="Andes"/>
                <w:color w:val="000000" w:themeColor="text1"/>
                <w:sz w:val="22"/>
              </w:rPr>
              <w:t>es Services de Consultants</w:t>
            </w:r>
            <w:r w:rsidR="0083207E">
              <w:rPr>
                <w:rFonts w:ascii="Andes" w:hAnsi="Andes"/>
                <w:color w:val="000000" w:themeColor="text1"/>
                <w:sz w:val="22"/>
              </w:rPr>
              <w:t>, ou des Services de Consultants</w:t>
            </w:r>
            <w:r w:rsidRPr="00B1581D">
              <w:rPr>
                <w:rFonts w:ascii="Andes" w:hAnsi="Andes"/>
                <w:color w:val="000000" w:themeColor="text1"/>
                <w:sz w:val="22"/>
              </w:rPr>
              <w:t>.</w:t>
            </w:r>
          </w:p>
        </w:tc>
      </w:tr>
      <w:tr w:rsidR="008A7725" w:rsidRPr="00D672E8" w14:paraId="1BD48B20"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079B5C9B"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Proposant</w:t>
            </w:r>
          </w:p>
        </w:tc>
        <w:tc>
          <w:tcPr>
            <w:tcW w:w="6300" w:type="dxa"/>
            <w:tcBorders>
              <w:top w:val="single" w:sz="8" w:space="0" w:color="002060"/>
              <w:bottom w:val="single" w:sz="8" w:space="0" w:color="002060"/>
              <w:right w:val="single" w:sz="4" w:space="0" w:color="auto"/>
            </w:tcBorders>
            <w:shd w:val="clear" w:color="auto" w:fill="auto"/>
          </w:tcPr>
          <w:p w14:paraId="6E3C56A3" w14:textId="09133318"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 xml:space="preserve">Entité individuelle ou coentreprise qui soumet une Proposition pour des Fournitures, des Travaux ou des Services Autres que des Services de Consultants en réponse à un </w:t>
            </w:r>
            <w:r w:rsidR="00874449">
              <w:rPr>
                <w:rFonts w:ascii="Andes" w:hAnsi="Andes"/>
                <w:color w:val="000000" w:themeColor="text1"/>
                <w:sz w:val="22"/>
              </w:rPr>
              <w:t>A</w:t>
            </w:r>
            <w:r w:rsidRPr="00B1581D">
              <w:rPr>
                <w:rFonts w:ascii="Andes" w:hAnsi="Andes"/>
                <w:color w:val="000000" w:themeColor="text1"/>
                <w:sz w:val="22"/>
              </w:rPr>
              <w:t xml:space="preserve">ppel à </w:t>
            </w:r>
            <w:r w:rsidR="00874449">
              <w:rPr>
                <w:rFonts w:ascii="Andes" w:hAnsi="Andes"/>
                <w:color w:val="000000" w:themeColor="text1"/>
                <w:sz w:val="22"/>
              </w:rPr>
              <w:t>P</w:t>
            </w:r>
            <w:r w:rsidRPr="00B1581D">
              <w:rPr>
                <w:rFonts w:ascii="Andes" w:hAnsi="Andes"/>
                <w:color w:val="000000" w:themeColor="text1"/>
                <w:sz w:val="22"/>
              </w:rPr>
              <w:t>ropositions.</w:t>
            </w:r>
          </w:p>
        </w:tc>
      </w:tr>
      <w:tr w:rsidR="008A7725" w:rsidRPr="00D672E8" w14:paraId="46F6254C"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43EA1148" w14:textId="2E1FAEBE" w:rsidR="008A7725" w:rsidRPr="00D317C1" w:rsidRDefault="008A7725" w:rsidP="0083207E">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SFQ</w:t>
            </w:r>
          </w:p>
        </w:tc>
        <w:tc>
          <w:tcPr>
            <w:tcW w:w="6300" w:type="dxa"/>
            <w:tcBorders>
              <w:top w:val="single" w:sz="8" w:space="0" w:color="002060"/>
              <w:bottom w:val="single" w:sz="8" w:space="0" w:color="002060"/>
              <w:right w:val="single" w:sz="4" w:space="0" w:color="auto"/>
            </w:tcBorders>
            <w:shd w:val="clear" w:color="auto" w:fill="auto"/>
          </w:tcPr>
          <w:p w14:paraId="05A5DC03" w14:textId="107F856B" w:rsidR="008A7725" w:rsidRPr="00B1581D" w:rsidRDefault="008A7725" w:rsidP="0083207E">
            <w:pPr>
              <w:autoSpaceDE w:val="0"/>
              <w:autoSpaceDN w:val="0"/>
              <w:adjustRightInd w:val="0"/>
              <w:spacing w:before="80" w:after="80"/>
              <w:contextualSpacing w:val="0"/>
              <w:rPr>
                <w:rFonts w:ascii="Andes" w:hAnsi="Andes"/>
                <w:color w:val="000000" w:themeColor="text1"/>
                <w:sz w:val="22"/>
                <w:szCs w:val="22"/>
              </w:rPr>
            </w:pPr>
            <w:r w:rsidRPr="00B1581D">
              <w:rPr>
                <w:rFonts w:ascii="Andes" w:hAnsi="Andes"/>
                <w:color w:val="000000" w:themeColor="text1"/>
                <w:sz w:val="22"/>
              </w:rPr>
              <w:t>Sélection de Consultants Fondée sur la Qualité.</w:t>
            </w:r>
          </w:p>
        </w:tc>
      </w:tr>
      <w:tr w:rsidR="008A7725" w:rsidRPr="00D672E8" w14:paraId="49863333"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6C01B604"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SFQC</w:t>
            </w:r>
          </w:p>
        </w:tc>
        <w:tc>
          <w:tcPr>
            <w:tcW w:w="6300" w:type="dxa"/>
            <w:tcBorders>
              <w:top w:val="single" w:sz="8" w:space="0" w:color="002060"/>
              <w:bottom w:val="single" w:sz="8" w:space="0" w:color="002060"/>
              <w:right w:val="single" w:sz="4" w:space="0" w:color="auto"/>
            </w:tcBorders>
            <w:shd w:val="clear" w:color="auto" w:fill="auto"/>
          </w:tcPr>
          <w:p w14:paraId="18B09664" w14:textId="072E1DE9" w:rsidR="008A7725" w:rsidRPr="00B1581D" w:rsidRDefault="008A7725" w:rsidP="0083207E">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Sélection de Consultants Fondée sur la Qualité et sur le Coût.</w:t>
            </w:r>
          </w:p>
        </w:tc>
      </w:tr>
      <w:tr w:rsidR="00874449" w:rsidRPr="003B076C" w14:paraId="174FAA27"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0FC80115" w14:textId="46B1E4FD" w:rsidR="00874449" w:rsidRDefault="00A67B3F" w:rsidP="006D600B">
            <w:pPr>
              <w:autoSpaceDE w:val="0"/>
              <w:autoSpaceDN w:val="0"/>
              <w:adjustRightInd w:val="0"/>
              <w:spacing w:before="80" w:after="80"/>
              <w:contextualSpacing w:val="0"/>
              <w:jc w:val="left"/>
              <w:rPr>
                <w:rFonts w:ascii="Andes" w:hAnsi="Andes"/>
                <w:b/>
                <w:color w:val="000000" w:themeColor="text1"/>
                <w:sz w:val="22"/>
              </w:rPr>
            </w:pPr>
            <w:r>
              <w:rPr>
                <w:rFonts w:ascii="Andes" w:hAnsi="Andes"/>
                <w:b/>
                <w:color w:val="000000" w:themeColor="text1"/>
                <w:sz w:val="22"/>
              </w:rPr>
              <w:t>Critères Notés</w:t>
            </w:r>
          </w:p>
        </w:tc>
        <w:tc>
          <w:tcPr>
            <w:tcW w:w="6300" w:type="dxa"/>
            <w:tcBorders>
              <w:top w:val="single" w:sz="8" w:space="0" w:color="002060"/>
              <w:bottom w:val="single" w:sz="8" w:space="0" w:color="002060"/>
              <w:right w:val="single" w:sz="4" w:space="0" w:color="auto"/>
            </w:tcBorders>
            <w:shd w:val="clear" w:color="auto" w:fill="auto"/>
          </w:tcPr>
          <w:p w14:paraId="06DE4026" w14:textId="1687687D" w:rsidR="00874449" w:rsidRDefault="00874449" w:rsidP="006D600B">
            <w:pPr>
              <w:autoSpaceDE w:val="0"/>
              <w:autoSpaceDN w:val="0"/>
              <w:adjustRightInd w:val="0"/>
              <w:spacing w:before="80" w:after="80"/>
              <w:contextualSpacing w:val="0"/>
              <w:rPr>
                <w:rFonts w:ascii="Andes" w:hAnsi="Andes"/>
                <w:color w:val="000000" w:themeColor="text1"/>
                <w:sz w:val="22"/>
              </w:rPr>
            </w:pPr>
            <w:r>
              <w:rPr>
                <w:rFonts w:ascii="Andes" w:hAnsi="Andes"/>
                <w:color w:val="000000" w:themeColor="text1"/>
                <w:sz w:val="22"/>
              </w:rPr>
              <w:t xml:space="preserve">Les </w:t>
            </w:r>
            <w:r w:rsidR="00A67B3F">
              <w:rPr>
                <w:rFonts w:ascii="Andes" w:hAnsi="Andes"/>
                <w:color w:val="000000" w:themeColor="text1"/>
                <w:sz w:val="22"/>
              </w:rPr>
              <w:t xml:space="preserve">Critères </w:t>
            </w:r>
            <w:r w:rsidR="00251E54">
              <w:rPr>
                <w:rFonts w:ascii="Andes" w:hAnsi="Andes"/>
                <w:color w:val="000000" w:themeColor="text1"/>
                <w:sz w:val="22"/>
              </w:rPr>
              <w:t>d’évaluation</w:t>
            </w:r>
            <w:r>
              <w:rPr>
                <w:rFonts w:ascii="Andes" w:hAnsi="Andes"/>
                <w:color w:val="000000" w:themeColor="text1"/>
                <w:sz w:val="22"/>
              </w:rPr>
              <w:t xml:space="preserve"> utilisés pour évaluer les avantages non chiffrés des Soumissions/Propositions, y compris la qualité, les risques/atténuations des risques, les opportunités d</w:t>
            </w:r>
            <w:r w:rsidR="008F616C">
              <w:rPr>
                <w:rFonts w:ascii="Andes" w:hAnsi="Andes"/>
                <w:color w:val="000000" w:themeColor="text1"/>
                <w:sz w:val="22"/>
              </w:rPr>
              <w:t>’Optimisation des Ressources</w:t>
            </w:r>
            <w:r>
              <w:rPr>
                <w:rFonts w:ascii="Andes" w:hAnsi="Andes"/>
                <w:color w:val="000000" w:themeColor="text1"/>
                <w:sz w:val="22"/>
              </w:rPr>
              <w:t>, la durabilité, et/ou les autres aspects techniques.</w:t>
            </w:r>
          </w:p>
        </w:tc>
      </w:tr>
      <w:tr w:rsidR="008A7725" w:rsidRPr="003B076C" w14:paraId="6FD59F38"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3C670032"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AMI</w:t>
            </w:r>
          </w:p>
        </w:tc>
        <w:tc>
          <w:tcPr>
            <w:tcW w:w="6300" w:type="dxa"/>
            <w:tcBorders>
              <w:top w:val="single" w:sz="8" w:space="0" w:color="002060"/>
              <w:bottom w:val="single" w:sz="8" w:space="0" w:color="002060"/>
              <w:right w:val="single" w:sz="4" w:space="0" w:color="auto"/>
            </w:tcBorders>
            <w:shd w:val="clear" w:color="auto" w:fill="auto"/>
          </w:tcPr>
          <w:p w14:paraId="567F61BE" w14:textId="5E71581A" w:rsidR="008A7725" w:rsidRPr="00D317C1"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Pr>
                <w:rFonts w:ascii="Andes" w:hAnsi="Andes"/>
                <w:color w:val="000000" w:themeColor="text1"/>
                <w:sz w:val="22"/>
              </w:rPr>
              <w:t>Appel à Manifestation</w:t>
            </w:r>
            <w:r w:rsidR="0083207E">
              <w:rPr>
                <w:rFonts w:ascii="Andes" w:hAnsi="Andes"/>
                <w:color w:val="000000" w:themeColor="text1"/>
                <w:sz w:val="22"/>
              </w:rPr>
              <w:t>s</w:t>
            </w:r>
            <w:r>
              <w:rPr>
                <w:rFonts w:ascii="Andes" w:hAnsi="Andes"/>
                <w:color w:val="000000" w:themeColor="text1"/>
                <w:sz w:val="22"/>
              </w:rPr>
              <w:t xml:space="preserve"> d’Intérêt.</w:t>
            </w:r>
          </w:p>
        </w:tc>
      </w:tr>
      <w:tr w:rsidR="008A7725" w:rsidRPr="00D672E8" w14:paraId="7103CC6D"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714A2871" w14:textId="684907EE" w:rsidR="008A7725" w:rsidRPr="00D317C1" w:rsidRDefault="008A7725" w:rsidP="008006C2">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AO</w:t>
            </w:r>
          </w:p>
        </w:tc>
        <w:tc>
          <w:tcPr>
            <w:tcW w:w="6300" w:type="dxa"/>
            <w:tcBorders>
              <w:top w:val="single" w:sz="8" w:space="0" w:color="002060"/>
              <w:bottom w:val="single" w:sz="8" w:space="0" w:color="002060"/>
              <w:right w:val="single" w:sz="4" w:space="0" w:color="auto"/>
            </w:tcBorders>
            <w:shd w:val="clear" w:color="auto" w:fill="auto"/>
          </w:tcPr>
          <w:p w14:paraId="44FE760E" w14:textId="77777777"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Appel d’offres comme méthode de sélection.</w:t>
            </w:r>
          </w:p>
        </w:tc>
      </w:tr>
      <w:tr w:rsidR="008A7725" w:rsidRPr="00D672E8" w14:paraId="0FF36BCF"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39C66D88" w14:textId="54C23164" w:rsidR="008A7725" w:rsidRPr="00D317C1" w:rsidRDefault="008A7725" w:rsidP="00DA620E">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AP</w:t>
            </w:r>
          </w:p>
        </w:tc>
        <w:tc>
          <w:tcPr>
            <w:tcW w:w="6300" w:type="dxa"/>
            <w:tcBorders>
              <w:top w:val="single" w:sz="8" w:space="0" w:color="002060"/>
              <w:bottom w:val="single" w:sz="8" w:space="0" w:color="002060"/>
              <w:right w:val="single" w:sz="4" w:space="0" w:color="auto"/>
            </w:tcBorders>
            <w:shd w:val="clear" w:color="auto" w:fill="auto"/>
          </w:tcPr>
          <w:p w14:paraId="0C64BEAB" w14:textId="74CA811F"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Appel à Propositions comme méthode de sélection.</w:t>
            </w:r>
          </w:p>
        </w:tc>
      </w:tr>
      <w:tr w:rsidR="008A7725" w:rsidRPr="00D672E8" w14:paraId="6A78A4DC"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087B94D5" w14:textId="38EDB3CD" w:rsidR="008A7725" w:rsidRPr="00D317C1" w:rsidRDefault="00DA620E" w:rsidP="00DA620E">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DC</w:t>
            </w:r>
          </w:p>
        </w:tc>
        <w:tc>
          <w:tcPr>
            <w:tcW w:w="6300" w:type="dxa"/>
            <w:tcBorders>
              <w:top w:val="single" w:sz="8" w:space="0" w:color="002060"/>
              <w:bottom w:val="single" w:sz="8" w:space="0" w:color="002060"/>
              <w:right w:val="single" w:sz="4" w:space="0" w:color="auto"/>
            </w:tcBorders>
            <w:shd w:val="clear" w:color="auto" w:fill="auto"/>
          </w:tcPr>
          <w:p w14:paraId="08095E70" w14:textId="12179D96" w:rsidR="008A7725" w:rsidRPr="00B1581D" w:rsidRDefault="008A7725" w:rsidP="00DA620E">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 xml:space="preserve">Demande de </w:t>
            </w:r>
            <w:r w:rsidR="00DA620E">
              <w:rPr>
                <w:rFonts w:ascii="Andes" w:hAnsi="Andes"/>
                <w:color w:val="000000" w:themeColor="text1"/>
                <w:sz w:val="22"/>
              </w:rPr>
              <w:t>Cotation</w:t>
            </w:r>
            <w:r w:rsidR="00DA620E" w:rsidRPr="00B1581D">
              <w:rPr>
                <w:rFonts w:ascii="Andes" w:hAnsi="Andes"/>
                <w:color w:val="000000" w:themeColor="text1"/>
                <w:sz w:val="22"/>
              </w:rPr>
              <w:t xml:space="preserve"> </w:t>
            </w:r>
            <w:r w:rsidRPr="00B1581D">
              <w:rPr>
                <w:rFonts w:ascii="Andes" w:hAnsi="Andes"/>
                <w:color w:val="000000" w:themeColor="text1"/>
                <w:sz w:val="22"/>
              </w:rPr>
              <w:t>comme méthode de sélection.</w:t>
            </w:r>
          </w:p>
        </w:tc>
      </w:tr>
      <w:tr w:rsidR="008A7725" w:rsidRPr="00D672E8" w14:paraId="40927DB8"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31597246"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Section</w:t>
            </w:r>
          </w:p>
        </w:tc>
        <w:tc>
          <w:tcPr>
            <w:tcW w:w="6300" w:type="dxa"/>
            <w:tcBorders>
              <w:top w:val="single" w:sz="8" w:space="0" w:color="002060"/>
              <w:bottom w:val="single" w:sz="8" w:space="0" w:color="002060"/>
              <w:right w:val="single" w:sz="4" w:space="0" w:color="auto"/>
            </w:tcBorders>
            <w:shd w:val="clear" w:color="auto" w:fill="auto"/>
          </w:tcPr>
          <w:p w14:paraId="4F81C5EA" w14:textId="77777777"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Section du présent Règlement de Passation des Marchés pour les Emprunteurs.</w:t>
            </w:r>
          </w:p>
        </w:tc>
      </w:tr>
      <w:tr w:rsidR="001523D5" w:rsidRPr="00D672E8" w14:paraId="0FE95720"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42475104" w14:textId="1C40A89E" w:rsidR="001523D5" w:rsidRPr="00636C10" w:rsidRDefault="001523D5" w:rsidP="006D600B">
            <w:pPr>
              <w:autoSpaceDE w:val="0"/>
              <w:autoSpaceDN w:val="0"/>
              <w:adjustRightInd w:val="0"/>
              <w:spacing w:before="80" w:after="80"/>
              <w:contextualSpacing w:val="0"/>
              <w:jc w:val="left"/>
              <w:rPr>
                <w:rFonts w:ascii="Andes" w:hAnsi="Andes"/>
                <w:b/>
                <w:color w:val="000000" w:themeColor="text1"/>
                <w:sz w:val="22"/>
              </w:rPr>
            </w:pPr>
            <w:r>
              <w:rPr>
                <w:rFonts w:ascii="Andes" w:hAnsi="Andes"/>
                <w:b/>
                <w:color w:val="000000" w:themeColor="text1"/>
                <w:sz w:val="22"/>
              </w:rPr>
              <w:t>Exploitation et Abus Sexuels (EAS)</w:t>
            </w:r>
          </w:p>
        </w:tc>
        <w:tc>
          <w:tcPr>
            <w:tcW w:w="6300" w:type="dxa"/>
            <w:tcBorders>
              <w:top w:val="single" w:sz="8" w:space="0" w:color="002060"/>
              <w:bottom w:val="single" w:sz="8" w:space="0" w:color="002060"/>
              <w:right w:val="single" w:sz="4" w:space="0" w:color="auto"/>
            </w:tcBorders>
            <w:shd w:val="clear" w:color="auto" w:fill="auto"/>
          </w:tcPr>
          <w:p w14:paraId="44FBEE14" w14:textId="6294EB97" w:rsidR="001523D5" w:rsidRPr="00B1581D" w:rsidRDefault="001523D5" w:rsidP="00636C10">
            <w:pPr>
              <w:autoSpaceDE w:val="0"/>
              <w:autoSpaceDN w:val="0"/>
              <w:adjustRightInd w:val="0"/>
              <w:spacing w:before="80" w:after="80"/>
              <w:contextualSpacing w:val="0"/>
              <w:rPr>
                <w:rFonts w:ascii="Andes" w:hAnsi="Andes"/>
                <w:color w:val="000000" w:themeColor="text1"/>
                <w:sz w:val="22"/>
                <w14:props3d w14:extrusionH="0" w14:contourW="0" w14:prstMaterial="matte"/>
              </w:rPr>
            </w:pPr>
            <w:r>
              <w:rPr>
                <w:rFonts w:ascii="Andes" w:hAnsi="Andes"/>
                <w:color w:val="000000" w:themeColor="text1"/>
                <w:sz w:val="22"/>
                <w14:props3d w14:extrusionH="0" w14:contourW="0" w14:prstMaterial="matte"/>
              </w:rPr>
              <w:t>Une pratique interdite telle que définie dans les Documents Types de Passation de Marchés (DTPM)</w:t>
            </w:r>
            <w:r w:rsidR="007660D9">
              <w:rPr>
                <w:rFonts w:ascii="Andes" w:hAnsi="Andes"/>
                <w:color w:val="000000" w:themeColor="text1"/>
                <w:sz w:val="22"/>
                <w14:props3d w14:extrusionH="0" w14:contourW="0" w14:prstMaterial="matte"/>
              </w:rPr>
              <w:t xml:space="preserve"> applicables</w:t>
            </w:r>
            <w:r>
              <w:rPr>
                <w:rFonts w:ascii="Andes" w:hAnsi="Andes"/>
                <w:color w:val="000000" w:themeColor="text1"/>
                <w:sz w:val="22"/>
                <w14:props3d w14:extrusionH="0" w14:contourW="0" w14:prstMaterial="matte"/>
              </w:rPr>
              <w:t>.</w:t>
            </w:r>
          </w:p>
        </w:tc>
      </w:tr>
      <w:tr w:rsidR="001523D5" w:rsidRPr="00D672E8" w14:paraId="200AF783"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6686454A" w14:textId="41FE6B4A" w:rsidR="001523D5" w:rsidRPr="00636C10" w:rsidRDefault="001523D5" w:rsidP="006D600B">
            <w:pPr>
              <w:autoSpaceDE w:val="0"/>
              <w:autoSpaceDN w:val="0"/>
              <w:adjustRightInd w:val="0"/>
              <w:spacing w:before="80" w:after="80"/>
              <w:contextualSpacing w:val="0"/>
              <w:jc w:val="left"/>
              <w:rPr>
                <w:rFonts w:ascii="Andes" w:hAnsi="Andes"/>
                <w:b/>
                <w:color w:val="000000" w:themeColor="text1"/>
                <w:sz w:val="22"/>
              </w:rPr>
            </w:pPr>
            <w:r>
              <w:rPr>
                <w:rFonts w:ascii="Andes" w:hAnsi="Andes"/>
                <w:b/>
                <w:color w:val="000000" w:themeColor="text1"/>
                <w:sz w:val="22"/>
              </w:rPr>
              <w:t>Harcèlement Sexuel (HS)</w:t>
            </w:r>
          </w:p>
        </w:tc>
        <w:tc>
          <w:tcPr>
            <w:tcW w:w="6300" w:type="dxa"/>
            <w:tcBorders>
              <w:top w:val="single" w:sz="8" w:space="0" w:color="002060"/>
              <w:bottom w:val="single" w:sz="8" w:space="0" w:color="002060"/>
              <w:right w:val="single" w:sz="4" w:space="0" w:color="auto"/>
            </w:tcBorders>
            <w:shd w:val="clear" w:color="auto" w:fill="auto"/>
          </w:tcPr>
          <w:p w14:paraId="481D1DBF" w14:textId="36DFF166" w:rsidR="001523D5" w:rsidRPr="00B1581D" w:rsidRDefault="001523D5" w:rsidP="00636C10">
            <w:pPr>
              <w:autoSpaceDE w:val="0"/>
              <w:autoSpaceDN w:val="0"/>
              <w:adjustRightInd w:val="0"/>
              <w:spacing w:before="80" w:after="80"/>
              <w:contextualSpacing w:val="0"/>
              <w:rPr>
                <w:rFonts w:ascii="Andes" w:hAnsi="Andes"/>
                <w:color w:val="000000" w:themeColor="text1"/>
                <w:sz w:val="22"/>
                <w14:props3d w14:extrusionH="0" w14:contourW="0" w14:prstMaterial="matte"/>
              </w:rPr>
            </w:pPr>
            <w:r>
              <w:rPr>
                <w:rFonts w:ascii="Andes" w:hAnsi="Andes"/>
                <w:color w:val="000000" w:themeColor="text1"/>
                <w:sz w:val="22"/>
                <w14:props3d w14:extrusionH="0" w14:contourW="0" w14:prstMaterial="matte"/>
              </w:rPr>
              <w:t>Une pratique interdite telle que définie dans les Documents Types de Passation de Marchés (DTPM)</w:t>
            </w:r>
            <w:r w:rsidR="007660D9">
              <w:rPr>
                <w:rFonts w:ascii="Andes" w:hAnsi="Andes"/>
                <w:color w:val="000000" w:themeColor="text1"/>
                <w:sz w:val="22"/>
                <w14:props3d w14:extrusionH="0" w14:contourW="0" w14:prstMaterial="matte"/>
              </w:rPr>
              <w:t xml:space="preserve"> applicables</w:t>
            </w:r>
            <w:r>
              <w:rPr>
                <w:rFonts w:ascii="Andes" w:hAnsi="Andes"/>
                <w:color w:val="000000" w:themeColor="text1"/>
                <w:sz w:val="22"/>
                <w14:props3d w14:extrusionH="0" w14:contourW="0" w14:prstMaterial="matte"/>
              </w:rPr>
              <w:t>.</w:t>
            </w:r>
          </w:p>
        </w:tc>
      </w:tr>
      <w:tr w:rsidR="008A7725" w:rsidRPr="00D672E8" w14:paraId="1C1A03E9"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4EEDE245" w14:textId="54129C6F"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sidRPr="00636C10">
              <w:rPr>
                <w:rFonts w:ascii="Andes" w:hAnsi="Andes"/>
                <w:b/>
                <w:color w:val="000000" w:themeColor="text1"/>
                <w:sz w:val="22"/>
              </w:rPr>
              <w:t>Présélection</w:t>
            </w:r>
          </w:p>
        </w:tc>
        <w:tc>
          <w:tcPr>
            <w:tcW w:w="6300" w:type="dxa"/>
            <w:tcBorders>
              <w:top w:val="single" w:sz="8" w:space="0" w:color="002060"/>
              <w:bottom w:val="single" w:sz="8" w:space="0" w:color="002060"/>
              <w:right w:val="single" w:sz="4" w:space="0" w:color="auto"/>
            </w:tcBorders>
            <w:shd w:val="clear" w:color="auto" w:fill="auto"/>
          </w:tcPr>
          <w:p w14:paraId="170E5686" w14:textId="79BD4326" w:rsidR="008A7725" w:rsidRPr="00B1581D" w:rsidRDefault="008A7725" w:rsidP="00636C10">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14:props3d w14:extrusionH="0" w14:contourW="0" w14:prstMaterial="matte"/>
              </w:rPr>
              <w:t>Processus de présélection utilisé avant le lancement d’un</w:t>
            </w:r>
            <w:r w:rsidR="00636C10">
              <w:rPr>
                <w:rFonts w:ascii="Andes" w:hAnsi="Andes"/>
                <w:color w:val="000000" w:themeColor="text1"/>
                <w:sz w:val="22"/>
                <w14:props3d w14:extrusionH="0" w14:contourW="0" w14:prstMaterial="matte"/>
              </w:rPr>
              <w:t>e</w:t>
            </w:r>
            <w:r w:rsidRPr="00B1581D">
              <w:rPr>
                <w:rFonts w:ascii="Andes" w:hAnsi="Andes"/>
                <w:color w:val="000000" w:themeColor="text1"/>
                <w:sz w:val="22"/>
                <w14:props3d w14:extrusionH="0" w14:contourW="0" w14:prstMaterial="matte"/>
              </w:rPr>
              <w:t xml:space="preserve"> </w:t>
            </w:r>
            <w:r w:rsidR="00636C10">
              <w:rPr>
                <w:rFonts w:ascii="Andes" w:hAnsi="Andes"/>
                <w:color w:val="000000" w:themeColor="text1"/>
                <w:sz w:val="22"/>
                <w14:props3d w14:extrusionH="0" w14:contourW="0" w14:prstMaterial="matte"/>
              </w:rPr>
              <w:t>demande</w:t>
            </w:r>
            <w:r w:rsidR="00636C10" w:rsidRPr="00B1581D">
              <w:rPr>
                <w:rFonts w:ascii="Andes" w:hAnsi="Andes"/>
                <w:color w:val="000000" w:themeColor="text1"/>
                <w:sz w:val="22"/>
                <w14:props3d w14:extrusionH="0" w14:contourW="0" w14:prstMaterial="matte"/>
              </w:rPr>
              <w:t xml:space="preserve"> </w:t>
            </w:r>
            <w:r w:rsidR="00636C10">
              <w:rPr>
                <w:rFonts w:ascii="Andes" w:hAnsi="Andes"/>
                <w:color w:val="000000" w:themeColor="text1"/>
                <w:sz w:val="22"/>
                <w14:props3d w14:extrusionH="0" w14:contourW="0" w14:prstMaterial="matte"/>
              </w:rPr>
              <w:t>de</w:t>
            </w:r>
            <w:r w:rsidRPr="00B1581D">
              <w:rPr>
                <w:rFonts w:ascii="Andes" w:hAnsi="Andes"/>
                <w:color w:val="000000" w:themeColor="text1"/>
                <w:sz w:val="22"/>
                <w14:props3d w14:extrusionH="0" w14:contourW="0" w14:prstMaterial="matte"/>
              </w:rPr>
              <w:t xml:space="preserve"> propositions dans le cadre de la passation de </w:t>
            </w:r>
            <w:r w:rsidR="00636C10">
              <w:rPr>
                <w:rFonts w:ascii="Andes" w:hAnsi="Andes"/>
                <w:color w:val="000000" w:themeColor="text1"/>
                <w:sz w:val="22"/>
                <w14:props3d w14:extrusionH="0" w14:contourW="0" w14:prstMaterial="matte"/>
              </w:rPr>
              <w:t>marchés</w:t>
            </w:r>
            <w:r w:rsidR="00636C10" w:rsidRPr="00B1581D">
              <w:rPr>
                <w:rFonts w:ascii="Andes" w:hAnsi="Andes"/>
                <w:color w:val="000000" w:themeColor="text1"/>
                <w:sz w:val="22"/>
                <w14:props3d w14:extrusionH="0" w14:contourW="0" w14:prstMaterial="matte"/>
              </w:rPr>
              <w:t xml:space="preserve"> </w:t>
            </w:r>
            <w:r w:rsidRPr="00B1581D">
              <w:rPr>
                <w:rFonts w:ascii="Andes" w:hAnsi="Andes"/>
                <w:color w:val="000000" w:themeColor="text1"/>
                <w:sz w:val="22"/>
                <w14:props3d w14:extrusionH="0" w14:contourW="0" w14:prstMaterial="matte"/>
              </w:rPr>
              <w:t>de Services de Consultants.</w:t>
            </w:r>
          </w:p>
        </w:tc>
      </w:tr>
      <w:tr w:rsidR="008A7725" w:rsidRPr="003B076C" w14:paraId="4785344C" w14:textId="77777777" w:rsidTr="006D600B">
        <w:tc>
          <w:tcPr>
            <w:tcW w:w="2970" w:type="dxa"/>
            <w:tcBorders>
              <w:top w:val="single" w:sz="8" w:space="0" w:color="002060"/>
              <w:left w:val="single" w:sz="4" w:space="0" w:color="auto"/>
              <w:bottom w:val="single" w:sz="4" w:space="0" w:color="auto"/>
            </w:tcBorders>
            <w:shd w:val="clear" w:color="auto" w:fill="D9D9D9" w:themeFill="background1" w:themeFillShade="D9"/>
          </w:tcPr>
          <w:p w14:paraId="2D14C216"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EIP</w:t>
            </w:r>
          </w:p>
        </w:tc>
        <w:tc>
          <w:tcPr>
            <w:tcW w:w="6300" w:type="dxa"/>
            <w:tcBorders>
              <w:top w:val="single" w:sz="8" w:space="0" w:color="002060"/>
              <w:bottom w:val="single" w:sz="4" w:space="0" w:color="auto"/>
              <w:right w:val="single" w:sz="4" w:space="0" w:color="auto"/>
            </w:tcBorders>
            <w:shd w:val="clear" w:color="auto" w:fill="auto"/>
          </w:tcPr>
          <w:p w14:paraId="10668190" w14:textId="77777777" w:rsidR="008A7725" w:rsidRPr="00D317C1"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Pr>
                <w:rFonts w:ascii="Andes" w:hAnsi="Andes"/>
                <w:color w:val="000000" w:themeColor="text1"/>
                <w:sz w:val="22"/>
              </w:rPr>
              <w:t>Entreprise ou institution publique.</w:t>
            </w:r>
          </w:p>
        </w:tc>
      </w:tr>
      <w:tr w:rsidR="008A7725" w:rsidRPr="00D672E8" w14:paraId="35B79D85" w14:textId="77777777" w:rsidTr="006D600B">
        <w:tc>
          <w:tcPr>
            <w:tcW w:w="2970" w:type="dxa"/>
            <w:tcBorders>
              <w:top w:val="single" w:sz="4" w:space="0" w:color="auto"/>
              <w:left w:val="single" w:sz="4" w:space="0" w:color="auto"/>
              <w:bottom w:val="single" w:sz="8" w:space="0" w:color="002060"/>
            </w:tcBorders>
            <w:shd w:val="clear" w:color="auto" w:fill="D9D9D9" w:themeFill="background1" w:themeFillShade="D9"/>
          </w:tcPr>
          <w:p w14:paraId="5C343048"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APPM</w:t>
            </w:r>
          </w:p>
        </w:tc>
        <w:tc>
          <w:tcPr>
            <w:tcW w:w="6300" w:type="dxa"/>
            <w:tcBorders>
              <w:top w:val="single" w:sz="4" w:space="0" w:color="auto"/>
              <w:bottom w:val="single" w:sz="8" w:space="0" w:color="002060"/>
              <w:right w:val="single" w:sz="4" w:space="0" w:color="auto"/>
            </w:tcBorders>
            <w:shd w:val="clear" w:color="auto" w:fill="auto"/>
          </w:tcPr>
          <w:p w14:paraId="592D30D7" w14:textId="77777777"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Avis Particulier de Passation de Marché.</w:t>
            </w:r>
          </w:p>
        </w:tc>
      </w:tr>
      <w:tr w:rsidR="008A7725" w:rsidRPr="00D672E8" w14:paraId="70711FF1"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6022C2FE" w14:textId="77777777" w:rsidR="008A7725" w:rsidRPr="00B1581D"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sidRPr="00B1581D">
              <w:rPr>
                <w:rFonts w:ascii="Andes" w:hAnsi="Andes"/>
                <w:b/>
                <w:color w:val="000000" w:themeColor="text1"/>
                <w:sz w:val="22"/>
              </w:rPr>
              <w:lastRenderedPageBreak/>
              <w:t>Dossier Type de Passation de Marchés (DTPM)</w:t>
            </w:r>
          </w:p>
        </w:tc>
        <w:tc>
          <w:tcPr>
            <w:tcW w:w="6300" w:type="dxa"/>
            <w:tcBorders>
              <w:top w:val="single" w:sz="8" w:space="0" w:color="002060"/>
              <w:bottom w:val="single" w:sz="8" w:space="0" w:color="002060"/>
              <w:right w:val="single" w:sz="4" w:space="0" w:color="auto"/>
            </w:tcBorders>
            <w:shd w:val="clear" w:color="auto" w:fill="auto"/>
          </w:tcPr>
          <w:p w14:paraId="309F75A6" w14:textId="7F688899" w:rsidR="008A7725" w:rsidRPr="00B1581D" w:rsidRDefault="008A7725" w:rsidP="00220210">
            <w:pPr>
              <w:autoSpaceDE w:val="0"/>
              <w:autoSpaceDN w:val="0"/>
              <w:adjustRightInd w:val="0"/>
              <w:spacing w:before="80" w:after="80"/>
              <w:contextualSpacing w:val="0"/>
              <w:rPr>
                <w:rFonts w:ascii="Andes" w:hAnsi="Andes" w:cs="Microsoft Sans Serif"/>
                <w:color w:val="000000" w:themeColor="text1"/>
                <w:sz w:val="22"/>
                <w:szCs w:val="22"/>
                <w:highlight w:val="red"/>
              </w:rPr>
            </w:pPr>
            <w:r w:rsidRPr="00B1581D">
              <w:rPr>
                <w:rFonts w:ascii="Andes" w:hAnsi="Andes"/>
                <w:color w:val="000000" w:themeColor="text1"/>
                <w:sz w:val="22"/>
              </w:rPr>
              <w:t xml:space="preserve">Documents de passation de marchés publiés par la Banque et à utiliser par les Emprunteurs aux fins de projets financés par un FPI. Ces documents incluent l’AGPM, l’APPM, l’AMI, les dossiers types de </w:t>
            </w:r>
            <w:r w:rsidR="000A7F1B">
              <w:rPr>
                <w:rFonts w:ascii="Andes" w:hAnsi="Andes"/>
                <w:color w:val="000000" w:themeColor="text1"/>
                <w:sz w:val="22"/>
              </w:rPr>
              <w:t>Préqualification</w:t>
            </w:r>
            <w:r w:rsidRPr="00B1581D">
              <w:rPr>
                <w:rFonts w:ascii="Andes" w:hAnsi="Andes"/>
                <w:color w:val="000000" w:themeColor="text1"/>
                <w:sz w:val="22"/>
              </w:rPr>
              <w:t xml:space="preserve">, les dossiers de Sélection Initiale, les dossiers d’Appel d’Offres, et les dossiers d’Appel à Propositions.  </w:t>
            </w:r>
          </w:p>
        </w:tc>
      </w:tr>
      <w:tr w:rsidR="008A7725" w:rsidRPr="00D672E8" w14:paraId="4CE47197"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3EE35B0F" w14:textId="1B20544C" w:rsidR="008A7725" w:rsidRPr="00D317C1" w:rsidRDefault="00C83B92"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Période d’attente</w:t>
            </w:r>
          </w:p>
        </w:tc>
        <w:tc>
          <w:tcPr>
            <w:tcW w:w="6300" w:type="dxa"/>
            <w:tcBorders>
              <w:top w:val="single" w:sz="8" w:space="0" w:color="002060"/>
              <w:bottom w:val="single" w:sz="8" w:space="0" w:color="002060"/>
              <w:right w:val="single" w:sz="4" w:space="0" w:color="auto"/>
            </w:tcBorders>
            <w:shd w:val="clear" w:color="auto" w:fill="auto"/>
          </w:tcPr>
          <w:p w14:paraId="332927B1" w14:textId="77777777"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Période suivant la Notification d’Intention d’Attribution de Marché/Contrat telle que décrite dans les paragraphes 5.78 à 5.80.</w:t>
            </w:r>
          </w:p>
        </w:tc>
      </w:tr>
      <w:tr w:rsidR="008A7725" w:rsidRPr="003B076C" w14:paraId="5D5D3E29"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72E681D9"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TDR</w:t>
            </w:r>
          </w:p>
        </w:tc>
        <w:tc>
          <w:tcPr>
            <w:tcW w:w="6300" w:type="dxa"/>
            <w:tcBorders>
              <w:top w:val="single" w:sz="8" w:space="0" w:color="002060"/>
              <w:bottom w:val="single" w:sz="8" w:space="0" w:color="002060"/>
              <w:right w:val="single" w:sz="4" w:space="0" w:color="auto"/>
            </w:tcBorders>
            <w:shd w:val="clear" w:color="auto" w:fill="auto"/>
          </w:tcPr>
          <w:p w14:paraId="1010536D" w14:textId="77777777" w:rsidR="008A7725" w:rsidRPr="00D317C1"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Pr>
                <w:rFonts w:ascii="Andes" w:hAnsi="Andes"/>
                <w:color w:val="000000" w:themeColor="text1"/>
                <w:sz w:val="22"/>
              </w:rPr>
              <w:t>Termes de Référence.</w:t>
            </w:r>
          </w:p>
        </w:tc>
      </w:tr>
      <w:tr w:rsidR="008A7725" w:rsidRPr="00D672E8" w14:paraId="6641EA17"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5D268242"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Institution des Nations Unies</w:t>
            </w:r>
          </w:p>
        </w:tc>
        <w:tc>
          <w:tcPr>
            <w:tcW w:w="6300" w:type="dxa"/>
            <w:tcBorders>
              <w:top w:val="single" w:sz="8" w:space="0" w:color="002060"/>
              <w:bottom w:val="single" w:sz="8" w:space="0" w:color="002060"/>
              <w:right w:val="single" w:sz="4" w:space="0" w:color="auto"/>
            </w:tcBorders>
            <w:shd w:val="clear" w:color="auto" w:fill="auto"/>
          </w:tcPr>
          <w:p w14:paraId="2960163D" w14:textId="77777777"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Fait globalement référence aux institutions spécialisées des Nations Unies et à leurs bureaux régionaux, fonds et programmes.</w:t>
            </w:r>
          </w:p>
        </w:tc>
      </w:tr>
      <w:tr w:rsidR="008A7725" w:rsidRPr="003B076C" w14:paraId="48A55655"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786DF981"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ODR</w:t>
            </w:r>
          </w:p>
        </w:tc>
        <w:tc>
          <w:tcPr>
            <w:tcW w:w="6300" w:type="dxa"/>
            <w:tcBorders>
              <w:top w:val="single" w:sz="8" w:space="0" w:color="002060"/>
              <w:bottom w:val="single" w:sz="8" w:space="0" w:color="002060"/>
              <w:right w:val="single" w:sz="4" w:space="0" w:color="auto"/>
            </w:tcBorders>
            <w:shd w:val="clear" w:color="auto" w:fill="auto"/>
          </w:tcPr>
          <w:p w14:paraId="2E09CA5E" w14:textId="77777777" w:rsidR="008A7725" w:rsidRPr="00D317C1"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Pr>
                <w:rFonts w:ascii="Andes" w:hAnsi="Andes"/>
                <w:color w:val="000000" w:themeColor="text1"/>
                <w:sz w:val="22"/>
              </w:rPr>
              <w:t>Optimisation des Ressources.</w:t>
            </w:r>
          </w:p>
        </w:tc>
      </w:tr>
      <w:tr w:rsidR="008A7725" w:rsidRPr="00D672E8" w14:paraId="1846A94E" w14:textId="77777777" w:rsidTr="006D600B">
        <w:tc>
          <w:tcPr>
            <w:tcW w:w="2970" w:type="dxa"/>
            <w:tcBorders>
              <w:top w:val="single" w:sz="8" w:space="0" w:color="002060"/>
              <w:left w:val="single" w:sz="4" w:space="0" w:color="auto"/>
              <w:bottom w:val="single" w:sz="8" w:space="0" w:color="002060"/>
            </w:tcBorders>
            <w:shd w:val="clear" w:color="auto" w:fill="D9D9D9" w:themeFill="background1" w:themeFillShade="D9"/>
          </w:tcPr>
          <w:p w14:paraId="09EDE116" w14:textId="77777777" w:rsidR="008A7725" w:rsidRPr="00B1581D"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sidRPr="00B1581D">
              <w:rPr>
                <w:rFonts w:ascii="Andes" w:hAnsi="Andes"/>
                <w:b/>
                <w:color w:val="000000" w:themeColor="text1"/>
                <w:sz w:val="22"/>
              </w:rPr>
              <w:t>Cadre des Sanctions du Groupe de la Banque Mondiale (Cadre des Sanctions)</w:t>
            </w:r>
          </w:p>
        </w:tc>
        <w:tc>
          <w:tcPr>
            <w:tcW w:w="6300" w:type="dxa"/>
            <w:tcBorders>
              <w:top w:val="single" w:sz="8" w:space="0" w:color="002060"/>
              <w:bottom w:val="single" w:sz="8" w:space="0" w:color="002060"/>
              <w:right w:val="single" w:sz="4" w:space="0" w:color="auto"/>
            </w:tcBorders>
            <w:shd w:val="clear" w:color="auto" w:fill="auto"/>
          </w:tcPr>
          <w:p w14:paraId="05E0B32E" w14:textId="2C694A31" w:rsidR="008A7725" w:rsidRPr="00B1581D" w:rsidRDefault="008A7725" w:rsidP="00FE6A8F">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Cadre</w:t>
            </w:r>
            <w:r w:rsidR="00FE6A8F">
              <w:rPr>
                <w:rFonts w:ascii="Andes" w:hAnsi="Andes"/>
                <w:color w:val="000000" w:themeColor="text1"/>
                <w:sz w:val="22"/>
              </w:rPr>
              <w:t xml:space="preserve"> consistant en  </w:t>
            </w:r>
            <w:r w:rsidRPr="00B1581D">
              <w:rPr>
                <w:rFonts w:ascii="Andes" w:hAnsi="Andes"/>
                <w:color w:val="000000" w:themeColor="text1"/>
                <w:sz w:val="22"/>
              </w:rPr>
              <w:t xml:space="preserve"> la Politique du Groupe de la Banque mondiale</w:t>
            </w:r>
            <w:r w:rsidR="00FE6A8F">
              <w:rPr>
                <w:rFonts w:ascii="Andes" w:hAnsi="Andes"/>
                <w:color w:val="000000" w:themeColor="text1"/>
                <w:sz w:val="22"/>
              </w:rPr>
              <w:t xml:space="preserve"> sur les</w:t>
            </w:r>
            <w:r w:rsidRPr="00B1581D">
              <w:rPr>
                <w:rFonts w:ascii="Andes" w:hAnsi="Andes"/>
                <w:color w:val="000000" w:themeColor="text1"/>
                <w:sz w:val="22"/>
              </w:rPr>
              <w:t xml:space="preserve"> «</w:t>
            </w:r>
            <w:r w:rsidRPr="00B1581D">
              <w:rPr>
                <w:rFonts w:ascii="Calibri" w:hAnsi="Calibri" w:cs="Calibri"/>
                <w:color w:val="000000" w:themeColor="text1"/>
                <w:sz w:val="22"/>
              </w:rPr>
              <w:t> </w:t>
            </w:r>
            <w:r w:rsidRPr="00B1581D">
              <w:rPr>
                <w:rFonts w:ascii="Andes" w:hAnsi="Andes"/>
                <w:color w:val="000000" w:themeColor="text1"/>
                <w:sz w:val="22"/>
              </w:rPr>
              <w:t>Sanctions pour Fraude et Corruption</w:t>
            </w:r>
            <w:r w:rsidRPr="00B1581D">
              <w:rPr>
                <w:rFonts w:ascii="Calibri" w:hAnsi="Calibri" w:cs="Calibri"/>
                <w:color w:val="000000" w:themeColor="text1"/>
                <w:sz w:val="22"/>
              </w:rPr>
              <w:t> </w:t>
            </w:r>
            <w:r w:rsidRPr="00B1581D">
              <w:rPr>
                <w:rFonts w:ascii="Andes" w:hAnsi="Andes" w:cs="Andes"/>
                <w:color w:val="000000" w:themeColor="text1"/>
                <w:sz w:val="22"/>
              </w:rPr>
              <w:t>»</w:t>
            </w:r>
            <w:r w:rsidRPr="00B1581D">
              <w:rPr>
                <w:rFonts w:ascii="Andes" w:hAnsi="Andes"/>
                <w:color w:val="000000" w:themeColor="text1"/>
                <w:sz w:val="22"/>
              </w:rPr>
              <w:t>, et d</w:t>
            </w:r>
            <w:r w:rsidRPr="00B1581D">
              <w:rPr>
                <w:rFonts w:ascii="Andes" w:hAnsi="Andes" w:cs="Andes"/>
                <w:color w:val="000000" w:themeColor="text1"/>
                <w:sz w:val="22"/>
              </w:rPr>
              <w:t>’</w:t>
            </w:r>
            <w:r w:rsidRPr="00B1581D">
              <w:rPr>
                <w:rFonts w:ascii="Andes" w:hAnsi="Andes"/>
                <w:color w:val="000000" w:themeColor="text1"/>
                <w:sz w:val="22"/>
              </w:rPr>
              <w:t>autres r</w:t>
            </w:r>
            <w:r w:rsidRPr="00B1581D">
              <w:rPr>
                <w:rFonts w:ascii="Andes" w:hAnsi="Andes" w:cs="Andes"/>
                <w:color w:val="000000" w:themeColor="text1"/>
                <w:sz w:val="22"/>
              </w:rPr>
              <w:t>è</w:t>
            </w:r>
            <w:r w:rsidRPr="00B1581D">
              <w:rPr>
                <w:rFonts w:ascii="Andes" w:hAnsi="Andes"/>
                <w:color w:val="000000" w:themeColor="text1"/>
                <w:sz w:val="22"/>
              </w:rPr>
              <w:t>glements connexes adopt</w:t>
            </w:r>
            <w:r w:rsidRPr="00B1581D">
              <w:rPr>
                <w:rFonts w:ascii="Andes" w:hAnsi="Andes" w:cs="Andes"/>
                <w:color w:val="000000" w:themeColor="text1"/>
                <w:sz w:val="22"/>
              </w:rPr>
              <w:t>é</w:t>
            </w:r>
            <w:r w:rsidRPr="00B1581D">
              <w:rPr>
                <w:rFonts w:ascii="Andes" w:hAnsi="Andes"/>
                <w:color w:val="000000" w:themeColor="text1"/>
                <w:sz w:val="22"/>
              </w:rPr>
              <w:t>s par la Banque.</w:t>
            </w:r>
          </w:p>
        </w:tc>
      </w:tr>
      <w:tr w:rsidR="008A7725" w:rsidRPr="00D672E8" w14:paraId="2DBA22EA" w14:textId="77777777" w:rsidTr="006D600B">
        <w:tc>
          <w:tcPr>
            <w:tcW w:w="2970" w:type="dxa"/>
            <w:tcBorders>
              <w:top w:val="single" w:sz="8" w:space="0" w:color="002060"/>
              <w:left w:val="single" w:sz="4" w:space="0" w:color="auto"/>
              <w:bottom w:val="single" w:sz="4" w:space="0" w:color="auto"/>
            </w:tcBorders>
            <w:shd w:val="clear" w:color="auto" w:fill="D9D9D9" w:themeFill="background1" w:themeFillShade="D9"/>
          </w:tcPr>
          <w:p w14:paraId="69D9D4A6" w14:textId="77777777" w:rsidR="008A7725" w:rsidRPr="00D317C1" w:rsidRDefault="008A7725" w:rsidP="006D600B">
            <w:pPr>
              <w:autoSpaceDE w:val="0"/>
              <w:autoSpaceDN w:val="0"/>
              <w:adjustRightInd w:val="0"/>
              <w:spacing w:before="80" w:after="80"/>
              <w:contextualSpacing w:val="0"/>
              <w:jc w:val="left"/>
              <w:rPr>
                <w:rFonts w:ascii="Andes" w:hAnsi="Andes" w:cs="Arial"/>
                <w:b/>
                <w:color w:val="000000" w:themeColor="text1"/>
                <w:sz w:val="22"/>
                <w:szCs w:val="22"/>
              </w:rPr>
            </w:pPr>
            <w:r>
              <w:rPr>
                <w:rFonts w:ascii="Andes" w:hAnsi="Andes"/>
                <w:b/>
                <w:color w:val="000000" w:themeColor="text1"/>
                <w:sz w:val="22"/>
              </w:rPr>
              <w:t>Travaux</w:t>
            </w:r>
          </w:p>
        </w:tc>
        <w:tc>
          <w:tcPr>
            <w:tcW w:w="6300" w:type="dxa"/>
            <w:tcBorders>
              <w:top w:val="single" w:sz="8" w:space="0" w:color="002060"/>
              <w:bottom w:val="single" w:sz="4" w:space="0" w:color="auto"/>
              <w:right w:val="single" w:sz="4" w:space="0" w:color="auto"/>
            </w:tcBorders>
            <w:shd w:val="clear" w:color="auto" w:fill="auto"/>
          </w:tcPr>
          <w:p w14:paraId="64BFD0CD" w14:textId="77777777" w:rsidR="008A7725" w:rsidRPr="00B1581D" w:rsidRDefault="008A7725" w:rsidP="006D600B">
            <w:pPr>
              <w:autoSpaceDE w:val="0"/>
              <w:autoSpaceDN w:val="0"/>
              <w:adjustRightInd w:val="0"/>
              <w:spacing w:before="80" w:after="80"/>
              <w:contextualSpacing w:val="0"/>
              <w:rPr>
                <w:rFonts w:ascii="Andes" w:hAnsi="Andes" w:cs="Microsoft Sans Serif"/>
                <w:color w:val="000000" w:themeColor="text1"/>
                <w:sz w:val="22"/>
                <w:szCs w:val="22"/>
              </w:rPr>
            </w:pPr>
            <w:r w:rsidRPr="00B1581D">
              <w:rPr>
                <w:rFonts w:ascii="Andes" w:hAnsi="Andes"/>
                <w:color w:val="000000" w:themeColor="text1"/>
                <w:sz w:val="22"/>
              </w:rPr>
              <w:t>Catégorie de marché englobant la construction, la réparation, la réhabilitation, la démolition, la restauration, l’entretien d’ouvrages de génie civil, et les services connexes tels que le transport, l’assurance, l’installation, la mise en service et la formation.</w:t>
            </w:r>
          </w:p>
        </w:tc>
      </w:tr>
    </w:tbl>
    <w:p w14:paraId="58DA27B3" w14:textId="77777777" w:rsidR="008A7725" w:rsidRPr="00B1581D" w:rsidRDefault="008A7725" w:rsidP="008A7725"/>
    <w:p w14:paraId="4431DCD0" w14:textId="77777777" w:rsidR="008A7725" w:rsidRPr="00B1581D" w:rsidRDefault="008A7725" w:rsidP="008A7725">
      <w:pPr>
        <w:spacing w:before="0" w:after="200"/>
        <w:contextualSpacing w:val="0"/>
        <w:jc w:val="left"/>
        <w:rPr>
          <w:rFonts w:ascii="Andes" w:hAnsi="Andes" w:cs="Arial"/>
          <w:b/>
          <w:color w:val="000000" w:themeColor="text1"/>
          <w:sz w:val="22"/>
          <w:szCs w:val="22"/>
        </w:rPr>
      </w:pPr>
      <w:r w:rsidRPr="00B1581D">
        <w:br w:type="page"/>
      </w:r>
    </w:p>
    <w:p w14:paraId="47F0E8C9" w14:textId="77777777" w:rsidR="008A7725" w:rsidRPr="00B1581D" w:rsidRDefault="008A7725" w:rsidP="008A7725">
      <w:r>
        <w:rPr>
          <w:rFonts w:ascii="Andes" w:hAnsi="Andes" w:cs="Microsoft Sans Serif"/>
          <w:noProof/>
          <w:color w:val="002060"/>
          <w:lang w:val="en-US"/>
        </w:rPr>
        <w:lastRenderedPageBreak/>
        <mc:AlternateContent>
          <mc:Choice Requires="wps">
            <w:drawing>
              <wp:anchor distT="0" distB="0" distL="114300" distR="114300" simplePos="0" relativeHeight="251684864" behindDoc="0" locked="0" layoutInCell="1" allowOverlap="1" wp14:anchorId="189A297E" wp14:editId="1370644D">
                <wp:simplePos x="0" y="0"/>
                <wp:positionH relativeFrom="page">
                  <wp:posOffset>-42545</wp:posOffset>
                </wp:positionH>
                <wp:positionV relativeFrom="paragraph">
                  <wp:posOffset>-1178931</wp:posOffset>
                </wp:positionV>
                <wp:extent cx="8082915" cy="1379855"/>
                <wp:effectExtent l="0" t="0" r="0" b="0"/>
                <wp:wrapNone/>
                <wp:docPr id="34" name="Rectangle 34"/>
                <wp:cNvGraphicFramePr/>
                <a:graphic xmlns:a="http://schemas.openxmlformats.org/drawingml/2006/main">
                  <a:graphicData uri="http://schemas.microsoft.com/office/word/2010/wordprocessingShape">
                    <wps:wsp>
                      <wps:cNvSpPr/>
                      <wps:spPr>
                        <a:xfrm>
                          <a:off x="0" y="0"/>
                          <a:ext cx="8082915" cy="1379855"/>
                        </a:xfrm>
                        <a:prstGeom prst="rect">
                          <a:avLst/>
                        </a:prstGeom>
                        <a:solidFill>
                          <a:srgbClr val="002060"/>
                        </a:solidFill>
                        <a:ln w="12700" cap="flat" cmpd="sng" algn="ctr">
                          <a:noFill/>
                          <a:prstDash val="solid"/>
                          <a:miter lim="800000"/>
                        </a:ln>
                        <a:effectLst/>
                      </wps:spPr>
                      <wps:txbx>
                        <w:txbxContent>
                          <w:p w14:paraId="535A74B9" w14:textId="77777777" w:rsidR="00A41794" w:rsidRPr="00D015B0" w:rsidRDefault="00A41794" w:rsidP="008A7725">
                            <w:pPr>
                              <w:ind w:left="1440"/>
                              <w:rPr>
                                <w:rFonts w:ascii="Andes" w:hAnsi="Andes"/>
                                <w:sz w:val="44"/>
                                <w:szCs w:val="44"/>
                              </w:rPr>
                            </w:pPr>
                            <w:r>
                              <w:rPr>
                                <w:rFonts w:ascii="Andes" w:hAnsi="Andes"/>
                                <w:sz w:val="44"/>
                              </w:rPr>
                              <w:t>Table des matières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189A297E" id="Rectangle 34" o:spid="_x0000_s1029" style="position:absolute;left:0;text-align:left;margin-left:-3.35pt;margin-top:-92.85pt;width:636.45pt;height:108.65pt;z-index:2516848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" fillcolor="#002060" stroked="f" strokeweight="1pt">
                <v:textbox>
                  <w:txbxContent>
                    <w:p w14:paraId="535A74B9" w14:textId="77777777" w:rsidR="00A41794" w:rsidRPr="00D015B0" w:rsidRDefault="00A41794" w:rsidP="008A7725">
                      <w:pPr>
                        <w:ind w:left="1440"/>
                        <w:rPr>
                          <w:rFonts w:ascii="Andes" w:hAnsi="Andes"/>
                          <w:sz w:val="44"/>
                          <w:szCs w:val="44"/>
                        </w:rPr>
                      </w:pPr>
                      <w:r>
                        <w:rPr>
                          <w:rFonts w:ascii="Andes" w:hAnsi="Andes"/>
                          <w:sz w:val="44"/>
                        </w:rPr>
                        <w:t>Table des matières</w:t>
                      </w:r>
                    </w:p>
                  </w:txbxContent>
                </v:textbox>
                <w10:wrap anchorx="page"/>
              </v:rect>
            </w:pict>
          </mc:Fallback>
        </mc:AlternateContent>
      </w:r>
    </w:p>
    <w:p w14:paraId="001F3CF7" w14:textId="77777777" w:rsidR="008A7725" w:rsidRPr="00B1581D" w:rsidRDefault="008A7725" w:rsidP="008A7725">
      <w:pPr>
        <w:spacing w:before="0" w:after="0" w:line="240" w:lineRule="auto"/>
        <w:contextualSpacing w:val="0"/>
        <w:jc w:val="left"/>
        <w:rPr>
          <w:rFonts w:ascii="Andes" w:hAnsi="Andes" w:cs="Arial"/>
        </w:rPr>
      </w:pPr>
    </w:p>
    <w:p w14:paraId="49729052" w14:textId="77777777" w:rsidR="008A7725" w:rsidRPr="00B1581D" w:rsidRDefault="008A7725" w:rsidP="008A7725">
      <w:pPr>
        <w:spacing w:before="0" w:after="0" w:line="240" w:lineRule="auto"/>
        <w:contextualSpacing w:val="0"/>
        <w:jc w:val="left"/>
        <w:rPr>
          <w:rFonts w:ascii="Andes" w:hAnsi="Andes" w:cs="Arial"/>
        </w:rPr>
      </w:pPr>
    </w:p>
    <w:p w14:paraId="4B17634B" w14:textId="77777777" w:rsidR="008A7725" w:rsidRPr="00B1581D" w:rsidRDefault="008A7725" w:rsidP="008A7725">
      <w:pPr>
        <w:spacing w:before="0" w:after="0" w:line="240" w:lineRule="auto"/>
        <w:ind w:left="540" w:right="-540" w:firstLine="8000"/>
        <w:contextualSpacing w:val="0"/>
        <w:jc w:val="left"/>
        <w:rPr>
          <w:rFonts w:ascii="Andes" w:hAnsi="Andes" w:cs="Arial"/>
        </w:rPr>
      </w:pPr>
      <w:r w:rsidRPr="00B1581D">
        <w:rPr>
          <w:rFonts w:ascii="Andes" w:hAnsi="Andes" w:cs="Arial"/>
        </w:rPr>
        <w:t xml:space="preserve">         Page</w:t>
      </w:r>
    </w:p>
    <w:p w14:paraId="76141917" w14:textId="77777777"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cs="Times New Roman Mäori"/>
          <w:sz w:val="22"/>
          <w:szCs w:val="24"/>
        </w:rPr>
      </w:pPr>
      <w:r w:rsidRPr="00B1581D">
        <w:rPr>
          <w:rFonts w:ascii="Andes" w:hAnsi="Andes" w:cs="Times New Roman Mäori"/>
          <w:b/>
          <w:noProof/>
          <w:color w:val="C45911"/>
          <w:sz w:val="26"/>
          <w:szCs w:val="26"/>
        </w:rPr>
        <w:t>Section I.  Introduction</w:t>
      </w:r>
      <w:r w:rsidRPr="00B1581D">
        <w:rPr>
          <w:rFonts w:ascii="Andes" w:hAnsi="Andes" w:cs="Times New Roman Mäori"/>
          <w:noProof/>
          <w:webHidden/>
          <w:sz w:val="22"/>
          <w:szCs w:val="24"/>
        </w:rPr>
        <w:tab/>
        <w:t>1</w:t>
      </w:r>
    </w:p>
    <w:p w14:paraId="7C13756C" w14:textId="77777777"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b/>
          <w:noProof/>
          <w:color w:val="C45911"/>
          <w:sz w:val="26"/>
          <w:szCs w:val="26"/>
        </w:rPr>
        <w:t>Section II.  Considérations générales</w:t>
      </w:r>
      <w:r w:rsidRPr="00B1581D">
        <w:rPr>
          <w:rFonts w:ascii="Andes" w:hAnsi="Andes" w:cs="Times New Roman Mäori"/>
          <w:noProof/>
          <w:webHidden/>
          <w:sz w:val="22"/>
          <w:szCs w:val="24"/>
        </w:rPr>
        <w:tab/>
        <w:t>3</w:t>
      </w:r>
    </w:p>
    <w:p w14:paraId="118CA9FF" w14:textId="32A2B9CE"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noProof/>
          <w:sz w:val="22"/>
          <w:szCs w:val="22"/>
        </w:rPr>
        <w:t>Champ d’application</w:t>
      </w:r>
      <w:r w:rsidRPr="00B1581D">
        <w:rPr>
          <w:rFonts w:ascii="Andes" w:hAnsi="Andes" w:cs="Times New Roman Mäori"/>
          <w:noProof/>
          <w:webHidden/>
          <w:sz w:val="22"/>
          <w:szCs w:val="24"/>
        </w:rPr>
        <w:tab/>
        <w:t>3</w:t>
      </w:r>
    </w:p>
    <w:p w14:paraId="5C62558E" w14:textId="61DC2116" w:rsidR="009F2C64" w:rsidRPr="00B1581D" w:rsidRDefault="00CB0F8E"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Pr>
          <w:rFonts w:ascii="Andes" w:hAnsi="Andes"/>
          <w:noProof/>
          <w:sz w:val="22"/>
          <w:szCs w:val="22"/>
        </w:rPr>
        <w:t>M</w:t>
      </w:r>
      <w:r w:rsidR="009F2C64" w:rsidRPr="00B1581D">
        <w:rPr>
          <w:rFonts w:ascii="Andes" w:hAnsi="Andes"/>
          <w:noProof/>
          <w:sz w:val="22"/>
          <w:szCs w:val="22"/>
        </w:rPr>
        <w:t xml:space="preserve">odalités </w:t>
      </w:r>
      <w:r>
        <w:rPr>
          <w:rFonts w:ascii="Andes" w:hAnsi="Andes"/>
          <w:noProof/>
          <w:sz w:val="22"/>
          <w:szCs w:val="22"/>
        </w:rPr>
        <w:t xml:space="preserve">alternatives </w:t>
      </w:r>
      <w:r w:rsidR="009F2C64" w:rsidRPr="00B1581D">
        <w:rPr>
          <w:rFonts w:ascii="Andes" w:hAnsi="Andes"/>
          <w:noProof/>
          <w:sz w:val="22"/>
          <w:szCs w:val="22"/>
        </w:rPr>
        <w:t>de passation des marchés</w:t>
      </w:r>
      <w:r w:rsidR="009F2C64" w:rsidRPr="00B1581D">
        <w:rPr>
          <w:rFonts w:ascii="Andes" w:hAnsi="Andes" w:cs="Times New Roman Mäori"/>
          <w:noProof/>
          <w:webHidden/>
          <w:sz w:val="22"/>
          <w:szCs w:val="24"/>
        </w:rPr>
        <w:tab/>
        <w:t>3</w:t>
      </w:r>
    </w:p>
    <w:p w14:paraId="43791216" w14:textId="77777777"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cs="Times New Roman Mäori"/>
          <w:noProof/>
          <w:webHidden/>
          <w:sz w:val="22"/>
          <w:szCs w:val="24"/>
        </w:rPr>
      </w:pPr>
      <w:r w:rsidRPr="00B1581D">
        <w:rPr>
          <w:rFonts w:ascii="Andes" w:hAnsi="Andes" w:cs="Times New Roman Mäori"/>
          <w:b/>
          <w:noProof/>
          <w:color w:val="C45911"/>
          <w:sz w:val="26"/>
          <w:szCs w:val="26"/>
        </w:rPr>
        <w:t>Section III.  Gouvernance</w:t>
      </w:r>
      <w:r w:rsidRPr="00B1581D">
        <w:rPr>
          <w:rFonts w:ascii="Andes" w:hAnsi="Andes" w:cs="Times New Roman Mäori"/>
          <w:noProof/>
          <w:webHidden/>
          <w:sz w:val="22"/>
          <w:szCs w:val="24"/>
        </w:rPr>
        <w:tab/>
        <w:t>5</w:t>
      </w:r>
    </w:p>
    <w:p w14:paraId="16B7A63E" w14:textId="3E76B2A1"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color w:val="000000"/>
          <w:sz w:val="22"/>
          <w:szCs w:val="22"/>
        </w:rPr>
      </w:pPr>
      <w:r w:rsidRPr="00B1581D">
        <w:rPr>
          <w:rFonts w:ascii="Andes" w:hAnsi="Andes"/>
          <w:noProof/>
          <w:color w:val="000000"/>
          <w:sz w:val="22"/>
          <w:szCs w:val="22"/>
        </w:rPr>
        <w:t>Gouvernance</w:t>
      </w:r>
      <w:r w:rsidRPr="00B1581D">
        <w:rPr>
          <w:rFonts w:ascii="Andes" w:hAnsi="Andes"/>
          <w:noProof/>
          <w:color w:val="000000"/>
          <w:sz w:val="22"/>
          <w:szCs w:val="22"/>
        </w:rPr>
        <w:tab/>
        <w:t>5</w:t>
      </w:r>
    </w:p>
    <w:p w14:paraId="1E71609B" w14:textId="60EA1349" w:rsidR="009F2C64" w:rsidRPr="00B1581D" w:rsidRDefault="00CB0F8E" w:rsidP="009F2C64">
      <w:pPr>
        <w:tabs>
          <w:tab w:val="left" w:pos="1260"/>
          <w:tab w:val="right" w:leader="dot" w:pos="9350"/>
        </w:tabs>
        <w:spacing w:after="60" w:line="240" w:lineRule="auto"/>
        <w:ind w:left="346" w:hanging="288"/>
        <w:contextualSpacing w:val="0"/>
        <w:jc w:val="left"/>
        <w:rPr>
          <w:rFonts w:ascii="Andes" w:hAnsi="Andes"/>
          <w:color w:val="000000"/>
          <w:sz w:val="22"/>
          <w:szCs w:val="22"/>
        </w:rPr>
      </w:pPr>
      <w:r>
        <w:rPr>
          <w:rFonts w:ascii="Andes" w:hAnsi="Andes"/>
          <w:noProof/>
          <w:sz w:val="22"/>
          <w:szCs w:val="22"/>
        </w:rPr>
        <w:t>Roles et responsabilités</w:t>
      </w:r>
      <w:r w:rsidR="009F2C64" w:rsidRPr="00B1581D">
        <w:rPr>
          <w:rFonts w:ascii="Andes" w:hAnsi="Andes"/>
          <w:webHidden/>
          <w:sz w:val="22"/>
          <w:szCs w:val="22"/>
        </w:rPr>
        <w:tab/>
        <w:t>5</w:t>
      </w:r>
    </w:p>
    <w:p w14:paraId="7E93EA1B" w14:textId="1322BEB6"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color w:val="000000"/>
          <w:sz w:val="22"/>
          <w:szCs w:val="22"/>
        </w:rPr>
      </w:pPr>
      <w:r w:rsidRPr="00B1581D">
        <w:rPr>
          <w:rFonts w:ascii="Andes" w:hAnsi="Andes"/>
          <w:noProof/>
          <w:sz w:val="22"/>
          <w:szCs w:val="22"/>
        </w:rPr>
        <w:t>Conflits d’intérêts</w:t>
      </w:r>
      <w:r w:rsidRPr="00B1581D">
        <w:rPr>
          <w:rFonts w:ascii="Andes" w:hAnsi="Andes"/>
          <w:webHidden/>
          <w:sz w:val="22"/>
          <w:szCs w:val="22"/>
        </w:rPr>
        <w:tab/>
        <w:t>6</w:t>
      </w:r>
    </w:p>
    <w:p w14:paraId="0B88F8CF" w14:textId="59B2D348"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color w:val="000000"/>
          <w:sz w:val="22"/>
          <w:szCs w:val="22"/>
        </w:rPr>
      </w:pPr>
      <w:r w:rsidRPr="00B1581D">
        <w:rPr>
          <w:rFonts w:ascii="Andes" w:hAnsi="Andes"/>
          <w:noProof/>
          <w:sz w:val="22"/>
          <w:szCs w:val="22"/>
        </w:rPr>
        <w:t xml:space="preserve">Avantage </w:t>
      </w:r>
      <w:r w:rsidR="00CB0F8E">
        <w:rPr>
          <w:rFonts w:ascii="Andes" w:hAnsi="Andes"/>
          <w:noProof/>
          <w:sz w:val="22"/>
          <w:szCs w:val="22"/>
        </w:rPr>
        <w:t xml:space="preserve"> compétitif inéquitable</w:t>
      </w:r>
      <w:r w:rsidRPr="00B1581D">
        <w:rPr>
          <w:rFonts w:ascii="Andes" w:hAnsi="Andes"/>
          <w:webHidden/>
          <w:sz w:val="22"/>
          <w:szCs w:val="22"/>
        </w:rPr>
        <w:tab/>
        <w:t>8</w:t>
      </w:r>
    </w:p>
    <w:p w14:paraId="20BDDF5D" w14:textId="56A5593D"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color w:val="000000"/>
          <w:sz w:val="22"/>
          <w:szCs w:val="22"/>
        </w:rPr>
      </w:pPr>
      <w:r w:rsidRPr="00B1581D">
        <w:rPr>
          <w:rFonts w:ascii="Andes" w:hAnsi="Andes"/>
          <w:noProof/>
          <w:sz w:val="22"/>
          <w:szCs w:val="22"/>
        </w:rPr>
        <w:t>Une Offre/Proposition par Soumissionnaire/</w:t>
      </w:r>
      <w:r w:rsidR="00D343AE">
        <w:rPr>
          <w:rFonts w:ascii="Andes" w:hAnsi="Andes"/>
          <w:noProof/>
          <w:sz w:val="22"/>
          <w:szCs w:val="22"/>
        </w:rPr>
        <w:t>Proposant/</w:t>
      </w:r>
      <w:r w:rsidRPr="00B1581D">
        <w:rPr>
          <w:rFonts w:ascii="Andes" w:hAnsi="Andes"/>
          <w:noProof/>
          <w:sz w:val="22"/>
          <w:szCs w:val="22"/>
        </w:rPr>
        <w:t>Consultant</w:t>
      </w:r>
      <w:r w:rsidRPr="00B1581D">
        <w:rPr>
          <w:rFonts w:ascii="Andes" w:hAnsi="Andes"/>
          <w:noProof/>
          <w:sz w:val="22"/>
          <w:szCs w:val="22"/>
        </w:rPr>
        <w:tab/>
      </w:r>
      <w:r w:rsidR="00066A4E">
        <w:rPr>
          <w:rFonts w:ascii="Andes" w:hAnsi="Andes"/>
          <w:noProof/>
          <w:sz w:val="22"/>
          <w:szCs w:val="22"/>
        </w:rPr>
        <w:t>8</w:t>
      </w:r>
    </w:p>
    <w:p w14:paraId="2F2EB52C" w14:textId="362C4559"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color w:val="000000"/>
          <w:sz w:val="22"/>
          <w:szCs w:val="22"/>
        </w:rPr>
      </w:pPr>
      <w:r w:rsidRPr="00B1581D">
        <w:rPr>
          <w:rFonts w:ascii="Andes" w:hAnsi="Andes"/>
          <w:noProof/>
          <w:sz w:val="22"/>
          <w:szCs w:val="22"/>
        </w:rPr>
        <w:t>Éligibilité</w:t>
      </w:r>
      <w:r w:rsidRPr="00B1581D">
        <w:rPr>
          <w:rFonts w:ascii="Andes" w:hAnsi="Andes"/>
          <w:webHidden/>
          <w:sz w:val="22"/>
          <w:szCs w:val="22"/>
        </w:rPr>
        <w:tab/>
        <w:t>9</w:t>
      </w:r>
    </w:p>
    <w:p w14:paraId="2DE93047" w14:textId="0F902F2D"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color w:val="000000"/>
          <w:sz w:val="22"/>
          <w:szCs w:val="22"/>
        </w:rPr>
      </w:pPr>
      <w:r w:rsidRPr="00B1581D">
        <w:rPr>
          <w:rFonts w:ascii="Andes" w:hAnsi="Andes"/>
          <w:noProof/>
          <w:sz w:val="22"/>
          <w:szCs w:val="22"/>
        </w:rPr>
        <w:t>Non-respect</w:t>
      </w:r>
      <w:r w:rsidRPr="00B1581D">
        <w:rPr>
          <w:rFonts w:ascii="Andes" w:hAnsi="Andes"/>
          <w:webHidden/>
          <w:sz w:val="22"/>
          <w:szCs w:val="22"/>
        </w:rPr>
        <w:tab/>
        <w:t>1</w:t>
      </w:r>
      <w:r w:rsidR="00D46818">
        <w:rPr>
          <w:rFonts w:ascii="Andes" w:hAnsi="Andes"/>
          <w:webHidden/>
          <w:sz w:val="22"/>
          <w:szCs w:val="22"/>
        </w:rPr>
        <w:t>1</w:t>
      </w:r>
    </w:p>
    <w:p w14:paraId="65EDDEB8" w14:textId="7BD39515"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color w:val="000000"/>
          <w:sz w:val="22"/>
          <w:szCs w:val="22"/>
        </w:rPr>
      </w:pPr>
      <w:r w:rsidRPr="00B1581D">
        <w:rPr>
          <w:rFonts w:ascii="Andes" w:hAnsi="Andes"/>
          <w:noProof/>
          <w:sz w:val="22"/>
          <w:szCs w:val="22"/>
        </w:rPr>
        <w:t>Plaintes relatives à la passation des marchés</w:t>
      </w:r>
      <w:r w:rsidRPr="00B1581D">
        <w:rPr>
          <w:rFonts w:ascii="Andes" w:hAnsi="Andes"/>
          <w:webHidden/>
          <w:sz w:val="22"/>
          <w:szCs w:val="22"/>
        </w:rPr>
        <w:tab/>
        <w:t>11</w:t>
      </w:r>
    </w:p>
    <w:p w14:paraId="71862B42" w14:textId="4E4545DD" w:rsidR="009F2C64" w:rsidRDefault="009F2C64" w:rsidP="009F2C64">
      <w:pPr>
        <w:tabs>
          <w:tab w:val="left" w:pos="1260"/>
          <w:tab w:val="right" w:leader="dot" w:pos="9350"/>
        </w:tabs>
        <w:spacing w:after="60" w:line="240" w:lineRule="auto"/>
        <w:ind w:left="346" w:hanging="288"/>
        <w:contextualSpacing w:val="0"/>
        <w:jc w:val="left"/>
        <w:rPr>
          <w:rFonts w:ascii="Andes" w:hAnsi="Andes"/>
          <w:webHidden/>
          <w:sz w:val="22"/>
          <w:szCs w:val="22"/>
        </w:rPr>
      </w:pPr>
      <w:r w:rsidRPr="00B1581D">
        <w:rPr>
          <w:rFonts w:ascii="Andes" w:hAnsi="Andes"/>
          <w:noProof/>
          <w:sz w:val="22"/>
          <w:szCs w:val="22"/>
        </w:rPr>
        <w:t>Fraude et Corruption</w:t>
      </w:r>
      <w:r w:rsidRPr="00B1581D">
        <w:rPr>
          <w:rFonts w:ascii="Andes" w:hAnsi="Andes"/>
          <w:webHidden/>
          <w:sz w:val="22"/>
          <w:szCs w:val="22"/>
        </w:rPr>
        <w:tab/>
        <w:t>1</w:t>
      </w:r>
      <w:r w:rsidR="00A350FA">
        <w:rPr>
          <w:rFonts w:ascii="Andes" w:hAnsi="Andes"/>
          <w:webHidden/>
          <w:sz w:val="22"/>
          <w:szCs w:val="22"/>
        </w:rPr>
        <w:t>2</w:t>
      </w:r>
    </w:p>
    <w:p w14:paraId="0050264E" w14:textId="52960DD8" w:rsidR="007660D9" w:rsidRPr="00B1581D" w:rsidRDefault="007660D9" w:rsidP="001728CB">
      <w:pPr>
        <w:tabs>
          <w:tab w:val="left" w:pos="1260"/>
          <w:tab w:val="right" w:leader="hyphen" w:pos="9350"/>
        </w:tabs>
        <w:spacing w:after="60" w:line="240" w:lineRule="auto"/>
        <w:ind w:left="1267" w:hanging="907"/>
        <w:contextualSpacing w:val="0"/>
        <w:jc w:val="left"/>
        <w:rPr>
          <w:rFonts w:ascii="Andes" w:hAnsi="Andes"/>
          <w:color w:val="000000"/>
          <w:sz w:val="22"/>
          <w:szCs w:val="22"/>
        </w:rPr>
      </w:pPr>
      <w:r w:rsidRPr="003C30CC">
        <w:rPr>
          <w:rFonts w:ascii="Andes" w:hAnsi="Andes"/>
          <w:noProof/>
          <w:sz w:val="22"/>
          <w:szCs w:val="22"/>
        </w:rPr>
        <w:t>Disqualification des firmes</w:t>
      </w:r>
      <w:r>
        <w:rPr>
          <w:rFonts w:ascii="Andes" w:hAnsi="Andes"/>
          <w:noProof/>
          <w:sz w:val="22"/>
          <w:szCs w:val="22"/>
        </w:rPr>
        <w:t xml:space="preserve"> ……………………………………………………………</w:t>
      </w:r>
      <w:r w:rsidR="00E4657B">
        <w:rPr>
          <w:rFonts w:ascii="Andes" w:hAnsi="Andes"/>
          <w:noProof/>
          <w:sz w:val="22"/>
          <w:szCs w:val="22"/>
        </w:rPr>
        <w:t>…</w:t>
      </w:r>
      <w:r w:rsidR="001728CB">
        <w:rPr>
          <w:rFonts w:ascii="Andes" w:hAnsi="Andes"/>
          <w:noProof/>
          <w:sz w:val="22"/>
          <w:szCs w:val="22"/>
        </w:rPr>
        <w:t>………………</w:t>
      </w:r>
      <w:r w:rsidR="00E4657B">
        <w:rPr>
          <w:rFonts w:ascii="Andes" w:hAnsi="Andes"/>
          <w:noProof/>
          <w:sz w:val="22"/>
          <w:szCs w:val="22"/>
        </w:rPr>
        <w:t>……………</w:t>
      </w:r>
      <w:r>
        <w:rPr>
          <w:rFonts w:ascii="Andes" w:hAnsi="Andes"/>
          <w:noProof/>
          <w:sz w:val="22"/>
          <w:szCs w:val="22"/>
        </w:rPr>
        <w:t xml:space="preserve">   1</w:t>
      </w:r>
      <w:r w:rsidR="00A350FA">
        <w:rPr>
          <w:rFonts w:ascii="Andes" w:hAnsi="Andes"/>
          <w:noProof/>
          <w:sz w:val="22"/>
          <w:szCs w:val="22"/>
        </w:rPr>
        <w:t>2</w:t>
      </w:r>
    </w:p>
    <w:p w14:paraId="43366AD4" w14:textId="0492661D"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b/>
          <w:noProof/>
          <w:color w:val="C45911"/>
          <w:sz w:val="26"/>
          <w:szCs w:val="26"/>
        </w:rPr>
        <w:t xml:space="preserve">Section IV.  </w:t>
      </w:r>
      <w:r w:rsidR="00476A8C">
        <w:rPr>
          <w:rFonts w:ascii="Andes" w:hAnsi="Andes" w:cs="Times New Roman Mäori"/>
          <w:b/>
          <w:noProof/>
          <w:color w:val="C45911"/>
          <w:sz w:val="26"/>
          <w:szCs w:val="26"/>
        </w:rPr>
        <w:t>S</w:t>
      </w:r>
      <w:r w:rsidR="00906841">
        <w:rPr>
          <w:rFonts w:ascii="Andes" w:hAnsi="Andes" w:cs="Times New Roman Mäori"/>
          <w:b/>
          <w:noProof/>
          <w:color w:val="C45911"/>
          <w:sz w:val="26"/>
          <w:szCs w:val="26"/>
        </w:rPr>
        <w:t>PMP</w:t>
      </w:r>
      <w:r w:rsidR="00476A8C">
        <w:rPr>
          <w:rFonts w:ascii="Andes" w:hAnsi="Andes" w:cs="Times New Roman Mäori"/>
          <w:b/>
          <w:noProof/>
          <w:color w:val="C45911"/>
          <w:sz w:val="26"/>
          <w:szCs w:val="26"/>
        </w:rPr>
        <w:t>D</w:t>
      </w:r>
      <w:r w:rsidR="00476A8C" w:rsidRPr="00B1581D">
        <w:rPr>
          <w:rFonts w:ascii="Andes" w:hAnsi="Andes" w:cs="Times New Roman Mäori"/>
          <w:b/>
          <w:noProof/>
          <w:color w:val="C45911"/>
          <w:sz w:val="26"/>
          <w:szCs w:val="26"/>
        </w:rPr>
        <w:t xml:space="preserve"> </w:t>
      </w:r>
      <w:r w:rsidRPr="00B1581D">
        <w:rPr>
          <w:rFonts w:ascii="Andes" w:hAnsi="Andes" w:cs="Times New Roman Mäori"/>
          <w:b/>
          <w:noProof/>
          <w:color w:val="C45911"/>
          <w:sz w:val="26"/>
          <w:szCs w:val="26"/>
        </w:rPr>
        <w:t>et Plan de Passation des Marchés</w:t>
      </w:r>
      <w:r w:rsidRPr="00B1581D">
        <w:rPr>
          <w:rFonts w:ascii="Andes" w:hAnsi="Andes" w:cs="Times New Roman Mäori"/>
          <w:noProof/>
          <w:webHidden/>
          <w:sz w:val="22"/>
          <w:szCs w:val="24"/>
        </w:rPr>
        <w:tab/>
        <w:t>1</w:t>
      </w:r>
      <w:r w:rsidR="00A350FA">
        <w:rPr>
          <w:rFonts w:ascii="Andes" w:hAnsi="Andes" w:cs="Times New Roman Mäori"/>
          <w:noProof/>
          <w:webHidden/>
          <w:sz w:val="22"/>
          <w:szCs w:val="24"/>
        </w:rPr>
        <w:t>3</w:t>
      </w:r>
    </w:p>
    <w:p w14:paraId="19AD1791" w14:textId="4012A212" w:rsidR="009F2C64" w:rsidRDefault="009F2C64" w:rsidP="009F2C64">
      <w:pPr>
        <w:tabs>
          <w:tab w:val="left" w:pos="1260"/>
          <w:tab w:val="right" w:leader="dot" w:pos="9350"/>
        </w:tabs>
        <w:spacing w:after="60" w:line="240" w:lineRule="auto"/>
        <w:ind w:left="346" w:hanging="288"/>
        <w:contextualSpacing w:val="0"/>
        <w:jc w:val="left"/>
        <w:rPr>
          <w:rFonts w:ascii="Andes" w:hAnsi="Andes" w:cs="Times New Roman Mäori"/>
          <w:noProof/>
          <w:webHidden/>
          <w:sz w:val="22"/>
          <w:szCs w:val="24"/>
        </w:rPr>
      </w:pPr>
      <w:r w:rsidRPr="00B1581D">
        <w:rPr>
          <w:rFonts w:ascii="Andes" w:hAnsi="Andes"/>
          <w:noProof/>
          <w:sz w:val="22"/>
          <w:szCs w:val="22"/>
        </w:rPr>
        <w:t>Stratégie de passation des marchés du projet pour promouvoir le développement</w:t>
      </w:r>
      <w:r w:rsidRPr="00B1581D">
        <w:rPr>
          <w:rFonts w:ascii="Andes" w:hAnsi="Andes" w:cs="Times New Roman Mäori"/>
          <w:noProof/>
          <w:webHidden/>
          <w:sz w:val="22"/>
          <w:szCs w:val="24"/>
        </w:rPr>
        <w:tab/>
        <w:t>1</w:t>
      </w:r>
      <w:r w:rsidR="00A350FA">
        <w:rPr>
          <w:rFonts w:ascii="Andes" w:hAnsi="Andes" w:cs="Times New Roman Mäori"/>
          <w:noProof/>
          <w:webHidden/>
          <w:sz w:val="22"/>
          <w:szCs w:val="24"/>
        </w:rPr>
        <w:t>3</w:t>
      </w:r>
    </w:p>
    <w:p w14:paraId="206DD345" w14:textId="1A35C846" w:rsidR="009F2C64" w:rsidRDefault="00B702E4" w:rsidP="009F2C64">
      <w:pPr>
        <w:tabs>
          <w:tab w:val="left" w:pos="1260"/>
          <w:tab w:val="right" w:leader="dot" w:pos="9350"/>
        </w:tabs>
        <w:spacing w:after="60" w:line="240" w:lineRule="auto"/>
        <w:ind w:left="346" w:hanging="288"/>
        <w:contextualSpacing w:val="0"/>
        <w:jc w:val="left"/>
        <w:rPr>
          <w:rFonts w:ascii="Andes" w:hAnsi="Andes" w:cs="Times New Roman Mäori"/>
          <w:noProof/>
          <w:sz w:val="22"/>
          <w:szCs w:val="24"/>
        </w:rPr>
      </w:pPr>
      <w:r>
        <w:rPr>
          <w:rFonts w:ascii="Andes" w:hAnsi="Andes"/>
          <w:noProof/>
          <w:sz w:val="22"/>
          <w:szCs w:val="22"/>
        </w:rPr>
        <w:t xml:space="preserve">Engagement précoce du </w:t>
      </w:r>
      <w:r w:rsidR="00476A8C">
        <w:rPr>
          <w:rFonts w:ascii="Andes" w:hAnsi="Andes"/>
          <w:noProof/>
          <w:sz w:val="22"/>
          <w:szCs w:val="22"/>
        </w:rPr>
        <w:t>Marché</w:t>
      </w:r>
      <w:r w:rsidR="001223BA" w:rsidRPr="00B1581D">
        <w:rPr>
          <w:rFonts w:ascii="Andes" w:hAnsi="Andes" w:cs="Times New Roman Mäori"/>
          <w:noProof/>
          <w:webHidden/>
          <w:sz w:val="22"/>
          <w:szCs w:val="24"/>
        </w:rPr>
        <w:tab/>
      </w:r>
      <w:r w:rsidR="001223BA" w:rsidRPr="00B1581D">
        <w:rPr>
          <w:rFonts w:ascii="Andes" w:hAnsi="Andes" w:cs="Times New Roman Mäori"/>
          <w:noProof/>
          <w:sz w:val="22"/>
          <w:szCs w:val="24"/>
        </w:rPr>
        <w:t>1</w:t>
      </w:r>
      <w:r w:rsidR="001223BA">
        <w:rPr>
          <w:rFonts w:ascii="Andes" w:hAnsi="Andes" w:cs="Times New Roman Mäori"/>
          <w:noProof/>
          <w:sz w:val="22"/>
          <w:szCs w:val="24"/>
        </w:rPr>
        <w:t>3</w:t>
      </w:r>
      <w:hyperlink w:anchor="_Toc453529666" w:history="1">
        <w:r w:rsidR="009F2C64" w:rsidRPr="00B1581D">
          <w:rPr>
            <w:rFonts w:ascii="Andes" w:hAnsi="Andes" w:cs="Times New Roman Mäori"/>
            <w:sz w:val="22"/>
            <w:szCs w:val="24"/>
          </w:rPr>
          <w:t>Plan de Passation des Marchés</w:t>
        </w:r>
        <w:r w:rsidR="009F2C64" w:rsidRPr="00B1581D">
          <w:rPr>
            <w:rFonts w:ascii="Andes" w:hAnsi="Andes" w:cs="Times New Roman Mäori"/>
            <w:noProof/>
            <w:webHidden/>
            <w:sz w:val="22"/>
            <w:szCs w:val="24"/>
          </w:rPr>
          <w:tab/>
        </w:r>
      </w:hyperlink>
      <w:r w:rsidR="009F2C64" w:rsidRPr="00B1581D">
        <w:rPr>
          <w:rFonts w:ascii="Andes" w:hAnsi="Andes" w:cs="Times New Roman Mäori"/>
          <w:noProof/>
          <w:sz w:val="22"/>
          <w:szCs w:val="24"/>
        </w:rPr>
        <w:t>1</w:t>
      </w:r>
      <w:r w:rsidR="00A350FA">
        <w:rPr>
          <w:rFonts w:ascii="Andes" w:hAnsi="Andes" w:cs="Times New Roman Mäori"/>
          <w:noProof/>
          <w:sz w:val="22"/>
          <w:szCs w:val="24"/>
        </w:rPr>
        <w:t>3</w:t>
      </w:r>
    </w:p>
    <w:p w14:paraId="5DA7B354" w14:textId="7716932B" w:rsidR="00476A8C" w:rsidRPr="00B1581D" w:rsidRDefault="00476A8C" w:rsidP="00882278">
      <w:pPr>
        <w:tabs>
          <w:tab w:val="left" w:pos="1260"/>
          <w:tab w:val="right" w:leader="dot" w:pos="9350"/>
        </w:tabs>
        <w:spacing w:after="60" w:line="240" w:lineRule="auto"/>
        <w:ind w:left="58"/>
        <w:contextualSpacing w:val="0"/>
        <w:jc w:val="left"/>
        <w:rPr>
          <w:rFonts w:ascii="Andes" w:hAnsi="Andes"/>
          <w:noProof/>
          <w:sz w:val="22"/>
          <w:szCs w:val="24"/>
        </w:rPr>
      </w:pPr>
      <w:hyperlink w:anchor="_Toc453529666" w:history="1">
        <w:r w:rsidR="00906841" w:rsidRPr="00882278">
          <w:rPr>
            <w:rFonts w:ascii="Andes" w:hAnsi="Andes"/>
            <w:noProof/>
            <w:sz w:val="22"/>
            <w:szCs w:val="22"/>
          </w:rPr>
          <w:t xml:space="preserve">SPMPD et </w:t>
        </w:r>
        <w:r w:rsidRPr="00882278">
          <w:rPr>
            <w:rFonts w:ascii="Andes" w:hAnsi="Andes"/>
            <w:noProof/>
            <w:sz w:val="22"/>
            <w:szCs w:val="22"/>
          </w:rPr>
          <w:t>Plan de Passation des Marchés</w:t>
        </w:r>
        <w:r w:rsidR="00A2786E" w:rsidRPr="00882278">
          <w:rPr>
            <w:rFonts w:ascii="Andes" w:hAnsi="Andes"/>
            <w:noProof/>
            <w:sz w:val="22"/>
            <w:szCs w:val="22"/>
          </w:rPr>
          <w:t xml:space="preserve"> dans les situations nécessitant une assistance d’urgence</w:t>
        </w:r>
        <w:r w:rsidRPr="00BC0061">
          <w:rPr>
            <w:rFonts w:ascii="Andes" w:hAnsi="Andes"/>
            <w:noProof/>
            <w:webHidden/>
            <w:sz w:val="22"/>
            <w:szCs w:val="22"/>
          </w:rPr>
          <w:tab/>
        </w:r>
      </w:hyperlink>
      <w:r w:rsidR="00A2786E" w:rsidRPr="00B1581D">
        <w:rPr>
          <w:rFonts w:ascii="Andes" w:hAnsi="Andes" w:cs="Times New Roman Mäori"/>
          <w:noProof/>
          <w:webHidden/>
          <w:sz w:val="22"/>
          <w:szCs w:val="24"/>
        </w:rPr>
        <w:tab/>
        <w:t>1</w:t>
      </w:r>
      <w:r w:rsidR="00BC0061">
        <w:rPr>
          <w:rFonts w:ascii="Andes" w:hAnsi="Andes" w:cs="Times New Roman Mäori"/>
          <w:noProof/>
          <w:webHidden/>
          <w:sz w:val="22"/>
          <w:szCs w:val="24"/>
        </w:rPr>
        <w:t>4</w:t>
      </w:r>
    </w:p>
    <w:p w14:paraId="304EBD62" w14:textId="7E8C057A"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cs="Times New Roman Mäori"/>
          <w:b/>
          <w:noProof/>
          <w:color w:val="C45911"/>
          <w:sz w:val="26"/>
          <w:szCs w:val="26"/>
        </w:rPr>
        <w:t>Section V.  Dispositions relatives à la passation des marchés et contrats</w:t>
      </w:r>
      <w:r w:rsidRPr="00B1581D">
        <w:rPr>
          <w:rFonts w:ascii="Andes" w:hAnsi="Andes" w:cs="Times New Roman Mäori"/>
          <w:noProof/>
          <w:webHidden/>
          <w:sz w:val="22"/>
          <w:szCs w:val="24"/>
        </w:rPr>
        <w:tab/>
        <w:t>1</w:t>
      </w:r>
      <w:r w:rsidR="00A350FA">
        <w:rPr>
          <w:rFonts w:ascii="Andes" w:hAnsi="Andes" w:cs="Times New Roman Mäori"/>
          <w:noProof/>
          <w:webHidden/>
          <w:sz w:val="22"/>
          <w:szCs w:val="24"/>
        </w:rPr>
        <w:t>5</w:t>
      </w:r>
    </w:p>
    <w:p w14:paraId="57C41EBC" w14:textId="68FC3BA5"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noProof/>
          <w:sz w:val="22"/>
          <w:szCs w:val="22"/>
        </w:rPr>
        <w:t>Passation anticipée des marchés et contrats, et financement rétroactif</w:t>
      </w:r>
      <w:r w:rsidRPr="00B1581D">
        <w:rPr>
          <w:rFonts w:ascii="Andes" w:hAnsi="Andes" w:cs="Times New Roman Mäori"/>
          <w:noProof/>
          <w:webHidden/>
          <w:sz w:val="22"/>
          <w:szCs w:val="24"/>
        </w:rPr>
        <w:tab/>
        <w:t>1</w:t>
      </w:r>
      <w:r w:rsidR="00A350FA">
        <w:rPr>
          <w:rFonts w:ascii="Andes" w:hAnsi="Andes" w:cs="Times New Roman Mäori"/>
          <w:noProof/>
          <w:webHidden/>
          <w:sz w:val="22"/>
          <w:szCs w:val="24"/>
        </w:rPr>
        <w:t>5</w:t>
      </w:r>
    </w:p>
    <w:p w14:paraId="19DBECBD" w14:textId="37649702"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noProof/>
          <w:sz w:val="22"/>
          <w:szCs w:val="22"/>
        </w:rPr>
        <w:t>Procédures nationales de passation des marchés</w:t>
      </w:r>
      <w:r w:rsidRPr="00B1581D">
        <w:rPr>
          <w:rFonts w:ascii="Andes" w:hAnsi="Andes" w:cs="Times New Roman Mäori"/>
          <w:noProof/>
          <w:webHidden/>
          <w:sz w:val="22"/>
          <w:szCs w:val="24"/>
        </w:rPr>
        <w:tab/>
        <w:t>1</w:t>
      </w:r>
      <w:r w:rsidR="00A350FA">
        <w:rPr>
          <w:rFonts w:ascii="Andes" w:hAnsi="Andes" w:cs="Times New Roman Mäori"/>
          <w:noProof/>
          <w:webHidden/>
          <w:sz w:val="22"/>
          <w:szCs w:val="24"/>
        </w:rPr>
        <w:t>5</w:t>
      </w:r>
    </w:p>
    <w:p w14:paraId="2515CB5B" w14:textId="4C92CE64" w:rsidR="009F2C64" w:rsidRPr="00B1581D" w:rsidRDefault="00D343AE"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140F97">
        <w:rPr>
          <w:rFonts w:ascii="Andes" w:hAnsi="Andes"/>
          <w:noProof/>
          <w:sz w:val="22"/>
          <w:szCs w:val="22"/>
        </w:rPr>
        <w:t>Besoin urgent d’assistance et problèmes de capacités</w:t>
      </w:r>
      <w:r w:rsidR="009F2C64" w:rsidRPr="00B1581D">
        <w:rPr>
          <w:rFonts w:ascii="Andes" w:hAnsi="Andes" w:cs="Times New Roman Mäori"/>
          <w:noProof/>
          <w:webHidden/>
          <w:sz w:val="22"/>
          <w:szCs w:val="24"/>
        </w:rPr>
        <w:tab/>
        <w:t>1</w:t>
      </w:r>
      <w:r w:rsidR="00A350FA">
        <w:rPr>
          <w:rFonts w:ascii="Andes" w:hAnsi="Andes" w:cs="Times New Roman Mäori"/>
          <w:noProof/>
          <w:webHidden/>
          <w:sz w:val="22"/>
          <w:szCs w:val="24"/>
        </w:rPr>
        <w:t>6</w:t>
      </w:r>
    </w:p>
    <w:p w14:paraId="50271A7B" w14:textId="4A535386"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noProof/>
          <w:sz w:val="22"/>
          <w:szCs w:val="22"/>
        </w:rPr>
        <w:t>Dématérialisation de la passation des marchés</w:t>
      </w:r>
      <w:r w:rsidRPr="00B1581D">
        <w:rPr>
          <w:rFonts w:ascii="Andes" w:hAnsi="Andes" w:cs="Times New Roman Mäori"/>
          <w:noProof/>
          <w:webHidden/>
          <w:sz w:val="22"/>
          <w:szCs w:val="24"/>
        </w:rPr>
        <w:tab/>
        <w:t>1</w:t>
      </w:r>
      <w:r w:rsidR="00A350FA">
        <w:rPr>
          <w:rFonts w:ascii="Andes" w:hAnsi="Andes" w:cs="Times New Roman Mäori"/>
          <w:noProof/>
          <w:webHidden/>
          <w:sz w:val="22"/>
          <w:szCs w:val="24"/>
        </w:rPr>
        <w:t>6</w:t>
      </w:r>
    </w:p>
    <w:p w14:paraId="072FB1E9" w14:textId="2757B2E5"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noProof/>
          <w:sz w:val="22"/>
          <w:szCs w:val="22"/>
        </w:rPr>
        <w:t>Système de planification et de suivi de la passation des marchés</w:t>
      </w:r>
      <w:r w:rsidRPr="00B1581D">
        <w:rPr>
          <w:rFonts w:ascii="Andes" w:hAnsi="Andes" w:cs="Times New Roman Mäori"/>
          <w:noProof/>
          <w:webHidden/>
          <w:sz w:val="22"/>
          <w:szCs w:val="24"/>
        </w:rPr>
        <w:tab/>
        <w:t>1</w:t>
      </w:r>
      <w:r w:rsidR="00A350FA">
        <w:rPr>
          <w:rFonts w:ascii="Andes" w:hAnsi="Andes" w:cs="Times New Roman Mäori"/>
          <w:noProof/>
          <w:webHidden/>
          <w:sz w:val="22"/>
          <w:szCs w:val="24"/>
        </w:rPr>
        <w:t>6</w:t>
      </w:r>
    </w:p>
    <w:p w14:paraId="4BC8E739" w14:textId="67B5952B" w:rsidR="009F2C64" w:rsidRPr="00B1581D" w:rsidRDefault="00FC0347"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Pr>
          <w:rFonts w:ascii="Andes" w:hAnsi="Andes"/>
          <w:noProof/>
          <w:sz w:val="22"/>
          <w:szCs w:val="22"/>
        </w:rPr>
        <w:t>Credit-</w:t>
      </w:r>
      <w:r w:rsidR="009F2C64" w:rsidRPr="00B1581D">
        <w:rPr>
          <w:rFonts w:ascii="Andes" w:hAnsi="Andes"/>
          <w:noProof/>
          <w:sz w:val="22"/>
          <w:szCs w:val="22"/>
        </w:rPr>
        <w:t>bail</w:t>
      </w:r>
      <w:r w:rsidR="009F2C64" w:rsidRPr="00B1581D">
        <w:rPr>
          <w:rFonts w:ascii="Andes" w:hAnsi="Andes" w:cs="Times New Roman Mäori"/>
          <w:noProof/>
          <w:webHidden/>
          <w:sz w:val="22"/>
          <w:szCs w:val="24"/>
        </w:rPr>
        <w:tab/>
        <w:t>1</w:t>
      </w:r>
      <w:r w:rsidR="00A350FA">
        <w:rPr>
          <w:rFonts w:ascii="Andes" w:hAnsi="Andes" w:cs="Times New Roman Mäori"/>
          <w:noProof/>
          <w:webHidden/>
          <w:sz w:val="22"/>
          <w:szCs w:val="24"/>
        </w:rPr>
        <w:t>7</w:t>
      </w:r>
    </w:p>
    <w:p w14:paraId="755B5CA8" w14:textId="78D25A23"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noProof/>
          <w:sz w:val="22"/>
          <w:szCs w:val="22"/>
        </w:rPr>
        <w:t>Achat de biens d’occasion</w:t>
      </w:r>
      <w:r w:rsidRPr="00B1581D">
        <w:rPr>
          <w:rFonts w:ascii="Andes" w:hAnsi="Andes" w:cs="Times New Roman Mäori"/>
          <w:noProof/>
          <w:webHidden/>
          <w:sz w:val="22"/>
          <w:szCs w:val="24"/>
        </w:rPr>
        <w:tab/>
        <w:t>1</w:t>
      </w:r>
      <w:r w:rsidR="00A350FA">
        <w:rPr>
          <w:rFonts w:ascii="Andes" w:hAnsi="Andes" w:cs="Times New Roman Mäori"/>
          <w:noProof/>
          <w:webHidden/>
          <w:sz w:val="22"/>
          <w:szCs w:val="24"/>
        </w:rPr>
        <w:t>7</w:t>
      </w:r>
    </w:p>
    <w:p w14:paraId="4CFE88E6" w14:textId="7240DFEA"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noProof/>
          <w:sz w:val="22"/>
          <w:szCs w:val="22"/>
        </w:rPr>
        <w:lastRenderedPageBreak/>
        <w:t>Pratiques durables de passation des marchés</w:t>
      </w:r>
      <w:r w:rsidRPr="00B1581D">
        <w:rPr>
          <w:rFonts w:ascii="Andes" w:hAnsi="Andes" w:cs="Times New Roman Mäori"/>
          <w:noProof/>
          <w:webHidden/>
          <w:sz w:val="22"/>
          <w:szCs w:val="24"/>
        </w:rPr>
        <w:tab/>
        <w:t>1</w:t>
      </w:r>
      <w:r w:rsidR="00A350FA">
        <w:rPr>
          <w:rFonts w:ascii="Andes" w:hAnsi="Andes" w:cs="Times New Roman Mäori"/>
          <w:noProof/>
          <w:webHidden/>
          <w:sz w:val="22"/>
          <w:szCs w:val="24"/>
        </w:rPr>
        <w:t>7</w:t>
      </w:r>
    </w:p>
    <w:p w14:paraId="5BD6C0BC" w14:textId="152AF567"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noProof/>
          <w:sz w:val="22"/>
          <w:szCs w:val="22"/>
        </w:rPr>
        <w:t>Analyse de la valeur</w:t>
      </w:r>
      <w:r w:rsidRPr="00B1581D">
        <w:rPr>
          <w:rFonts w:ascii="Andes" w:hAnsi="Andes" w:cs="Times New Roman Mäori"/>
          <w:noProof/>
          <w:webHidden/>
          <w:sz w:val="22"/>
          <w:szCs w:val="24"/>
        </w:rPr>
        <w:tab/>
        <w:t>1</w:t>
      </w:r>
      <w:r w:rsidR="00A350FA">
        <w:rPr>
          <w:rFonts w:ascii="Andes" w:hAnsi="Andes" w:cs="Times New Roman Mäori"/>
          <w:noProof/>
          <w:webHidden/>
          <w:sz w:val="22"/>
          <w:szCs w:val="24"/>
        </w:rPr>
        <w:t>7</w:t>
      </w:r>
    </w:p>
    <w:p w14:paraId="58ACDCB0" w14:textId="7D86342B" w:rsidR="009F2C64" w:rsidRPr="00B1581D" w:rsidRDefault="00D343AE"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882278">
        <w:rPr>
          <w:rFonts w:ascii="Andes" w:hAnsi="Andes"/>
          <w:noProof/>
          <w:sz w:val="22"/>
          <w:szCs w:val="22"/>
        </w:rPr>
        <w:t>Choix des langues</w:t>
      </w:r>
      <w:r w:rsidR="009F2C64" w:rsidRPr="00B1581D">
        <w:rPr>
          <w:rFonts w:ascii="Andes" w:hAnsi="Andes" w:cs="Times New Roman Mäori"/>
          <w:noProof/>
          <w:webHidden/>
          <w:sz w:val="22"/>
          <w:szCs w:val="24"/>
        </w:rPr>
        <w:tab/>
        <w:t>1</w:t>
      </w:r>
      <w:r w:rsidR="00A350FA">
        <w:rPr>
          <w:rFonts w:ascii="Andes" w:hAnsi="Andes" w:cs="Times New Roman Mäori"/>
          <w:noProof/>
          <w:webHidden/>
          <w:sz w:val="22"/>
          <w:szCs w:val="24"/>
        </w:rPr>
        <w:t>8</w:t>
      </w:r>
    </w:p>
    <w:p w14:paraId="7A9B3775" w14:textId="3F7277AE"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cs="Times New Roman Mäori"/>
          <w:noProof/>
          <w:webHidden/>
          <w:sz w:val="22"/>
          <w:szCs w:val="24"/>
        </w:rPr>
      </w:pPr>
      <w:r w:rsidRPr="00B1581D">
        <w:rPr>
          <w:rFonts w:ascii="Andes" w:hAnsi="Andes"/>
          <w:noProof/>
          <w:sz w:val="22"/>
          <w:szCs w:val="22"/>
        </w:rPr>
        <w:t>Informations confidentielles</w:t>
      </w:r>
      <w:r w:rsidRPr="00B1581D">
        <w:rPr>
          <w:rFonts w:ascii="Andes" w:hAnsi="Andes" w:cs="Times New Roman Mäori"/>
          <w:noProof/>
          <w:webHidden/>
          <w:sz w:val="22"/>
          <w:szCs w:val="24"/>
        </w:rPr>
        <w:tab/>
        <w:t>1</w:t>
      </w:r>
      <w:r w:rsidR="00A350FA">
        <w:rPr>
          <w:rFonts w:ascii="Andes" w:hAnsi="Andes" w:cs="Times New Roman Mäori"/>
          <w:noProof/>
          <w:webHidden/>
          <w:sz w:val="22"/>
          <w:szCs w:val="24"/>
        </w:rPr>
        <w:t>8</w:t>
      </w:r>
    </w:p>
    <w:p w14:paraId="2FAB7672" w14:textId="256626C7" w:rsidR="009F2C64" w:rsidRPr="00B1581D" w:rsidRDefault="009F2C64" w:rsidP="009F2C64">
      <w:pPr>
        <w:tabs>
          <w:tab w:val="left" w:pos="1260"/>
          <w:tab w:val="right" w:leader="dot" w:pos="9350"/>
        </w:tabs>
        <w:spacing w:after="60" w:line="240" w:lineRule="auto"/>
        <w:ind w:left="346" w:firstLine="14"/>
        <w:contextualSpacing w:val="0"/>
        <w:jc w:val="left"/>
        <w:rPr>
          <w:rFonts w:ascii="Andes" w:hAnsi="Andes" w:cs="Times New Roman Mäori"/>
          <w:sz w:val="22"/>
          <w:szCs w:val="24"/>
        </w:rPr>
      </w:pPr>
      <w:r w:rsidRPr="00B1581D">
        <w:rPr>
          <w:rFonts w:ascii="Andes" w:hAnsi="Andes"/>
          <w:noProof/>
          <w:sz w:val="22"/>
          <w:szCs w:val="22"/>
        </w:rPr>
        <w:t>Communication de l’information sur les évaluations</w:t>
      </w:r>
      <w:r w:rsidRPr="00B1581D">
        <w:rPr>
          <w:rFonts w:ascii="Andes" w:hAnsi="Andes" w:cs="Times New Roman Mäori"/>
          <w:noProof/>
          <w:webHidden/>
          <w:sz w:val="22"/>
          <w:szCs w:val="24"/>
        </w:rPr>
        <w:tab/>
        <w:t>1</w:t>
      </w:r>
      <w:r w:rsidR="00A350FA">
        <w:rPr>
          <w:rFonts w:ascii="Andes" w:hAnsi="Andes" w:cs="Times New Roman Mäori"/>
          <w:noProof/>
          <w:webHidden/>
          <w:sz w:val="22"/>
          <w:szCs w:val="24"/>
        </w:rPr>
        <w:t>9</w:t>
      </w:r>
    </w:p>
    <w:p w14:paraId="5FEBBF77" w14:textId="6EA18FF0"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noProof/>
          <w:sz w:val="22"/>
          <w:szCs w:val="22"/>
        </w:rPr>
        <w:t>Communications</w:t>
      </w:r>
      <w:r w:rsidRPr="00B1581D">
        <w:rPr>
          <w:rFonts w:ascii="Andes" w:hAnsi="Andes" w:cs="Times New Roman Mäori"/>
          <w:noProof/>
          <w:webHidden/>
          <w:sz w:val="22"/>
          <w:szCs w:val="24"/>
        </w:rPr>
        <w:tab/>
      </w:r>
      <w:r w:rsidR="00DD76FF">
        <w:rPr>
          <w:rFonts w:ascii="Andes" w:hAnsi="Andes" w:cs="Times New Roman Mäori"/>
          <w:noProof/>
          <w:webHidden/>
          <w:sz w:val="22"/>
          <w:szCs w:val="24"/>
        </w:rPr>
        <w:t>1</w:t>
      </w:r>
      <w:r w:rsidR="00A350FA">
        <w:rPr>
          <w:rFonts w:ascii="Andes" w:hAnsi="Andes" w:cs="Times New Roman Mäori"/>
          <w:noProof/>
          <w:webHidden/>
          <w:sz w:val="22"/>
          <w:szCs w:val="24"/>
        </w:rPr>
        <w:t>9</w:t>
      </w:r>
    </w:p>
    <w:p w14:paraId="721D2014" w14:textId="1249EF1E" w:rsidR="009F2C64" w:rsidRPr="00B1581D" w:rsidRDefault="00D343AE"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D343AE">
        <w:rPr>
          <w:rFonts w:ascii="Andes" w:hAnsi="Andes"/>
          <w:noProof/>
          <w:sz w:val="22"/>
          <w:szCs w:val="22"/>
        </w:rPr>
        <w:t xml:space="preserve">Avis </w:t>
      </w:r>
      <w:r w:rsidR="005C5DD4">
        <w:rPr>
          <w:rFonts w:ascii="Andes" w:hAnsi="Andes"/>
          <w:noProof/>
          <w:sz w:val="22"/>
          <w:szCs w:val="22"/>
        </w:rPr>
        <w:t xml:space="preserve">de </w:t>
      </w:r>
      <w:r w:rsidR="009F2C64" w:rsidRPr="00B1581D">
        <w:rPr>
          <w:rFonts w:ascii="Andes" w:hAnsi="Andes"/>
          <w:noProof/>
          <w:sz w:val="22"/>
          <w:szCs w:val="22"/>
        </w:rPr>
        <w:t>passation de marchés</w:t>
      </w:r>
      <w:r w:rsidR="009F2C64" w:rsidRPr="00B1581D">
        <w:rPr>
          <w:rFonts w:ascii="Andes" w:hAnsi="Andes" w:cs="Times New Roman Mäori"/>
          <w:noProof/>
          <w:webHidden/>
          <w:sz w:val="22"/>
          <w:szCs w:val="24"/>
        </w:rPr>
        <w:tab/>
      </w:r>
      <w:r w:rsidR="00DD76FF">
        <w:rPr>
          <w:rFonts w:ascii="Andes" w:hAnsi="Andes" w:cs="Times New Roman Mäori"/>
          <w:noProof/>
          <w:webHidden/>
          <w:sz w:val="22"/>
          <w:szCs w:val="24"/>
        </w:rPr>
        <w:t>1</w:t>
      </w:r>
      <w:r w:rsidR="00A350FA">
        <w:rPr>
          <w:rFonts w:ascii="Andes" w:hAnsi="Andes" w:cs="Times New Roman Mäori"/>
          <w:noProof/>
          <w:webHidden/>
          <w:sz w:val="22"/>
          <w:szCs w:val="24"/>
        </w:rPr>
        <w:t>9</w:t>
      </w:r>
    </w:p>
    <w:p w14:paraId="62649606" w14:textId="3FFE28C8"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sz w:val="22"/>
          <w:szCs w:val="24"/>
        </w:rPr>
        <w:t>Dossiers Types de Passation de Marchés</w:t>
      </w:r>
      <w:r w:rsidRPr="00B1581D">
        <w:rPr>
          <w:rFonts w:ascii="Andes" w:hAnsi="Andes" w:cs="Times New Roman Mäori"/>
          <w:noProof/>
          <w:webHidden/>
          <w:sz w:val="22"/>
          <w:szCs w:val="24"/>
        </w:rPr>
        <w:tab/>
      </w:r>
      <w:r w:rsidR="00A350FA">
        <w:rPr>
          <w:rFonts w:ascii="Andes" w:hAnsi="Andes" w:cs="Times New Roman Mäori"/>
          <w:noProof/>
          <w:webHidden/>
          <w:sz w:val="22"/>
          <w:szCs w:val="24"/>
        </w:rPr>
        <w:t>20</w:t>
      </w:r>
    </w:p>
    <w:p w14:paraId="47DC60A3" w14:textId="146F4DFC"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noProof/>
          <w:sz w:val="22"/>
          <w:szCs w:val="22"/>
        </w:rPr>
        <w:t>Normes et spécifications techniques</w:t>
      </w:r>
      <w:r w:rsidRPr="00B1581D">
        <w:rPr>
          <w:rFonts w:ascii="Andes" w:hAnsi="Andes" w:cs="Times New Roman Mäori"/>
          <w:noProof/>
          <w:webHidden/>
          <w:sz w:val="22"/>
          <w:szCs w:val="24"/>
        </w:rPr>
        <w:tab/>
      </w:r>
      <w:r w:rsidR="00A350FA">
        <w:rPr>
          <w:rFonts w:ascii="Andes" w:hAnsi="Andes" w:cs="Times New Roman Mäori"/>
          <w:noProof/>
          <w:webHidden/>
          <w:sz w:val="22"/>
          <w:szCs w:val="24"/>
        </w:rPr>
        <w:t>20</w:t>
      </w:r>
    </w:p>
    <w:p w14:paraId="6C741BBD" w14:textId="26E449DA"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noProof/>
          <w:sz w:val="22"/>
          <w:szCs w:val="22"/>
        </w:rPr>
        <w:t>Utilisation de noms de marque</w:t>
      </w:r>
      <w:r w:rsidRPr="00B1581D">
        <w:rPr>
          <w:rFonts w:ascii="Andes" w:hAnsi="Andes" w:cs="Times New Roman Mäori"/>
          <w:noProof/>
          <w:webHidden/>
          <w:sz w:val="22"/>
          <w:szCs w:val="24"/>
        </w:rPr>
        <w:tab/>
      </w:r>
      <w:r w:rsidR="00A350FA">
        <w:rPr>
          <w:rFonts w:ascii="Andes" w:hAnsi="Andes" w:cs="Times New Roman Mäori"/>
          <w:noProof/>
          <w:webHidden/>
          <w:sz w:val="22"/>
          <w:szCs w:val="24"/>
        </w:rPr>
        <w:t>20</w:t>
      </w:r>
    </w:p>
    <w:p w14:paraId="3D590949" w14:textId="4119CAC2"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noProof/>
          <w:sz w:val="22"/>
          <w:szCs w:val="22"/>
        </w:rPr>
        <w:t>Types de contrat et arrangements contractuels</w:t>
      </w:r>
      <w:r w:rsidRPr="00B1581D">
        <w:rPr>
          <w:rFonts w:ascii="Andes" w:hAnsi="Andes" w:cs="Times New Roman Mäori"/>
          <w:noProof/>
          <w:webHidden/>
          <w:sz w:val="22"/>
          <w:szCs w:val="24"/>
        </w:rPr>
        <w:tab/>
      </w:r>
      <w:r w:rsidR="00A350FA">
        <w:rPr>
          <w:rFonts w:ascii="Andes" w:hAnsi="Andes" w:cs="Times New Roman Mäori"/>
          <w:noProof/>
          <w:webHidden/>
          <w:sz w:val="22"/>
          <w:szCs w:val="24"/>
        </w:rPr>
        <w:t>20</w:t>
      </w:r>
    </w:p>
    <w:p w14:paraId="1BC61774" w14:textId="11ABB4DB"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noProof/>
          <w:sz w:val="22"/>
          <w:szCs w:val="22"/>
        </w:rPr>
        <w:t>Clauses et conditions contractuelles</w:t>
      </w:r>
      <w:r w:rsidRPr="00B1581D">
        <w:rPr>
          <w:rFonts w:ascii="Andes" w:hAnsi="Andes" w:cs="Times New Roman Mäori"/>
          <w:noProof/>
          <w:webHidden/>
          <w:sz w:val="22"/>
          <w:szCs w:val="24"/>
        </w:rPr>
        <w:tab/>
      </w:r>
      <w:r w:rsidR="00A350FA">
        <w:rPr>
          <w:rFonts w:ascii="Andes" w:hAnsi="Andes" w:cs="Times New Roman Mäori"/>
          <w:noProof/>
          <w:webHidden/>
          <w:sz w:val="22"/>
          <w:szCs w:val="24"/>
        </w:rPr>
        <w:t>21</w:t>
      </w:r>
    </w:p>
    <w:p w14:paraId="197E8021" w14:textId="2EFAEE0F"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noProof/>
          <w:sz w:val="22"/>
          <w:szCs w:val="22"/>
        </w:rPr>
        <w:t>Incoterms</w:t>
      </w:r>
      <w:r w:rsidRPr="00B1581D">
        <w:rPr>
          <w:rFonts w:ascii="Andes" w:hAnsi="Andes" w:cs="Times New Roman Mäori"/>
          <w:noProof/>
          <w:webHidden/>
          <w:sz w:val="22"/>
          <w:szCs w:val="24"/>
        </w:rPr>
        <w:tab/>
        <w:t>2</w:t>
      </w:r>
      <w:r w:rsidR="00A350FA">
        <w:rPr>
          <w:rFonts w:ascii="Andes" w:hAnsi="Andes" w:cs="Times New Roman Mäori"/>
          <w:noProof/>
          <w:webHidden/>
          <w:sz w:val="22"/>
          <w:szCs w:val="24"/>
        </w:rPr>
        <w:t>1</w:t>
      </w:r>
    </w:p>
    <w:p w14:paraId="2506344D" w14:textId="631EFCE7"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noProof/>
          <w:sz w:val="22"/>
          <w:szCs w:val="22"/>
        </w:rPr>
        <w:t>Éclaircissements sur les Dossiers de Passation des Marchés</w:t>
      </w:r>
      <w:r w:rsidRPr="00B1581D">
        <w:rPr>
          <w:rFonts w:ascii="Andes" w:hAnsi="Andes" w:cs="Times New Roman Mäori"/>
          <w:noProof/>
          <w:webHidden/>
          <w:sz w:val="22"/>
          <w:szCs w:val="24"/>
        </w:rPr>
        <w:tab/>
        <w:t>2</w:t>
      </w:r>
      <w:r w:rsidR="00A350FA">
        <w:rPr>
          <w:rFonts w:ascii="Andes" w:hAnsi="Andes" w:cs="Times New Roman Mäori"/>
          <w:noProof/>
          <w:webHidden/>
          <w:sz w:val="22"/>
          <w:szCs w:val="24"/>
        </w:rPr>
        <w:t>1</w:t>
      </w:r>
    </w:p>
    <w:p w14:paraId="7A113E4B" w14:textId="6F4FA27B"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noProof/>
          <w:sz w:val="22"/>
          <w:szCs w:val="22"/>
        </w:rPr>
        <w:t>Garantie d’offre/de proposition</w:t>
      </w:r>
      <w:r w:rsidRPr="00B1581D">
        <w:rPr>
          <w:rFonts w:ascii="Andes" w:hAnsi="Andes" w:cs="Times New Roman Mäori"/>
          <w:noProof/>
          <w:webHidden/>
          <w:sz w:val="22"/>
          <w:szCs w:val="24"/>
        </w:rPr>
        <w:tab/>
        <w:t>2</w:t>
      </w:r>
      <w:r w:rsidR="00DB4972">
        <w:rPr>
          <w:rFonts w:ascii="Andes" w:hAnsi="Andes" w:cs="Times New Roman Mäori"/>
          <w:noProof/>
          <w:webHidden/>
          <w:sz w:val="22"/>
          <w:szCs w:val="24"/>
        </w:rPr>
        <w:t>2</w:t>
      </w:r>
    </w:p>
    <w:p w14:paraId="028FB8AA" w14:textId="29FD6D07"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noProof/>
          <w:sz w:val="22"/>
          <w:szCs w:val="22"/>
        </w:rPr>
        <w:t>Délai de préparation et de remise des Offres/Propositions</w:t>
      </w:r>
      <w:r w:rsidRPr="00B1581D">
        <w:rPr>
          <w:rFonts w:ascii="Andes" w:hAnsi="Andes" w:cs="Times New Roman Mäori"/>
          <w:noProof/>
          <w:webHidden/>
          <w:sz w:val="22"/>
          <w:szCs w:val="24"/>
        </w:rPr>
        <w:tab/>
        <w:t>2</w:t>
      </w:r>
      <w:r w:rsidR="00A350FA">
        <w:rPr>
          <w:rFonts w:ascii="Andes" w:hAnsi="Andes" w:cs="Times New Roman Mäori"/>
          <w:noProof/>
          <w:webHidden/>
          <w:sz w:val="22"/>
          <w:szCs w:val="24"/>
        </w:rPr>
        <w:t>2</w:t>
      </w:r>
    </w:p>
    <w:p w14:paraId="5EABF725" w14:textId="64130085" w:rsidR="009F2C64" w:rsidRPr="00B1581D" w:rsidRDefault="00A91660"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Pr>
          <w:rFonts w:ascii="Andes" w:hAnsi="Andes"/>
          <w:noProof/>
          <w:sz w:val="22"/>
          <w:szCs w:val="22"/>
        </w:rPr>
        <w:t>Groupement d’entreprises</w:t>
      </w:r>
      <w:r w:rsidR="009F2C64" w:rsidRPr="00B1581D">
        <w:rPr>
          <w:rFonts w:ascii="Andes" w:hAnsi="Andes" w:cs="Times New Roman Mäori"/>
          <w:noProof/>
          <w:webHidden/>
          <w:sz w:val="22"/>
          <w:szCs w:val="24"/>
        </w:rPr>
        <w:tab/>
        <w:t>2</w:t>
      </w:r>
      <w:r w:rsidR="00A350FA">
        <w:rPr>
          <w:rFonts w:ascii="Andes" w:hAnsi="Andes" w:cs="Times New Roman Mäori"/>
          <w:noProof/>
          <w:webHidden/>
          <w:sz w:val="22"/>
          <w:szCs w:val="24"/>
        </w:rPr>
        <w:t>3</w:t>
      </w:r>
    </w:p>
    <w:p w14:paraId="063538CA" w14:textId="4807E9B9"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noProof/>
          <w:sz w:val="22"/>
          <w:szCs w:val="22"/>
        </w:rPr>
        <w:t>Validité des Offres/Propositions</w:t>
      </w:r>
      <w:r w:rsidRPr="00B1581D">
        <w:rPr>
          <w:rFonts w:ascii="Andes" w:hAnsi="Andes" w:cs="Times New Roman Mäori"/>
          <w:noProof/>
          <w:webHidden/>
          <w:sz w:val="22"/>
          <w:szCs w:val="24"/>
        </w:rPr>
        <w:tab/>
        <w:t>2</w:t>
      </w:r>
      <w:r w:rsidR="00A350FA">
        <w:rPr>
          <w:rFonts w:ascii="Andes" w:hAnsi="Andes" w:cs="Times New Roman Mäori"/>
          <w:noProof/>
          <w:webHidden/>
          <w:sz w:val="22"/>
          <w:szCs w:val="24"/>
        </w:rPr>
        <w:t>3</w:t>
      </w:r>
    </w:p>
    <w:p w14:paraId="42D0488B" w14:textId="3BC78B4C"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noProof/>
          <w:sz w:val="22"/>
          <w:szCs w:val="22"/>
        </w:rPr>
        <w:t>Ouverture des plis</w:t>
      </w:r>
      <w:r w:rsidRPr="00B1581D">
        <w:rPr>
          <w:rFonts w:ascii="Andes" w:hAnsi="Andes" w:cs="Times New Roman Mäori"/>
          <w:noProof/>
          <w:webHidden/>
          <w:sz w:val="22"/>
          <w:szCs w:val="24"/>
        </w:rPr>
        <w:tab/>
        <w:t>2</w:t>
      </w:r>
      <w:r w:rsidR="00A350FA">
        <w:rPr>
          <w:rFonts w:ascii="Andes" w:hAnsi="Andes" w:cs="Times New Roman Mäori"/>
          <w:noProof/>
          <w:webHidden/>
          <w:sz w:val="22"/>
          <w:szCs w:val="24"/>
        </w:rPr>
        <w:t>3</w:t>
      </w:r>
    </w:p>
    <w:p w14:paraId="4B7BC7F3" w14:textId="02B2948A"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noProof/>
          <w:sz w:val="22"/>
          <w:szCs w:val="22"/>
        </w:rPr>
        <w:t>Offres/Propositions hors délai</w:t>
      </w:r>
      <w:r w:rsidRPr="00B1581D">
        <w:rPr>
          <w:rFonts w:ascii="Andes" w:hAnsi="Andes" w:cs="Times New Roman Mäori"/>
          <w:noProof/>
          <w:webHidden/>
          <w:sz w:val="22"/>
          <w:szCs w:val="24"/>
        </w:rPr>
        <w:tab/>
        <w:t>2</w:t>
      </w:r>
      <w:r w:rsidR="004252F5">
        <w:rPr>
          <w:rFonts w:ascii="Andes" w:hAnsi="Andes" w:cs="Times New Roman Mäori"/>
          <w:noProof/>
          <w:webHidden/>
          <w:sz w:val="22"/>
          <w:szCs w:val="24"/>
        </w:rPr>
        <w:t>5</w:t>
      </w:r>
    </w:p>
    <w:p w14:paraId="66B28BBE" w14:textId="4B9AA98E"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noProof/>
          <w:sz w:val="22"/>
          <w:szCs w:val="22"/>
        </w:rPr>
        <w:t>Critères d’évaluation</w:t>
      </w:r>
      <w:r w:rsidR="008C58D9">
        <w:rPr>
          <w:rFonts w:ascii="Andes" w:hAnsi="Andes"/>
          <w:noProof/>
          <w:sz w:val="22"/>
          <w:szCs w:val="22"/>
        </w:rPr>
        <w:t xml:space="preserve"> (</w:t>
      </w:r>
      <w:r w:rsidR="00D6521D">
        <w:rPr>
          <w:rFonts w:ascii="Andes" w:hAnsi="Andes"/>
          <w:noProof/>
          <w:sz w:val="22"/>
          <w:szCs w:val="22"/>
        </w:rPr>
        <w:t>y compris l’</w:t>
      </w:r>
      <w:r w:rsidR="00264D68">
        <w:rPr>
          <w:rFonts w:ascii="Andes" w:hAnsi="Andes"/>
          <w:noProof/>
          <w:sz w:val="22"/>
          <w:szCs w:val="22"/>
        </w:rPr>
        <w:t>oblig</w:t>
      </w:r>
      <w:r w:rsidR="00D6521D">
        <w:rPr>
          <w:rFonts w:ascii="Andes" w:hAnsi="Andes"/>
          <w:noProof/>
          <w:sz w:val="22"/>
          <w:szCs w:val="22"/>
        </w:rPr>
        <w:t>ation</w:t>
      </w:r>
      <w:r w:rsidR="00264D68">
        <w:rPr>
          <w:rFonts w:ascii="Andes" w:hAnsi="Andes"/>
          <w:noProof/>
          <w:sz w:val="22"/>
          <w:szCs w:val="22"/>
        </w:rPr>
        <w:t xml:space="preserve"> d’utiliser </w:t>
      </w:r>
      <w:r w:rsidR="00EC1578">
        <w:rPr>
          <w:rFonts w:ascii="Andes" w:hAnsi="Andes"/>
          <w:noProof/>
          <w:sz w:val="22"/>
          <w:szCs w:val="22"/>
        </w:rPr>
        <w:t>des Critères notés et pondérations minimales)</w:t>
      </w:r>
      <w:r w:rsidRPr="00B1581D">
        <w:rPr>
          <w:rFonts w:ascii="Andes" w:hAnsi="Andes" w:cs="Times New Roman Mäori"/>
          <w:noProof/>
          <w:webHidden/>
          <w:sz w:val="22"/>
          <w:szCs w:val="24"/>
        </w:rPr>
        <w:tab/>
        <w:t>2</w:t>
      </w:r>
      <w:r w:rsidR="004252F5">
        <w:rPr>
          <w:rFonts w:ascii="Andes" w:hAnsi="Andes" w:cs="Times New Roman Mäori"/>
          <w:noProof/>
          <w:webHidden/>
          <w:sz w:val="22"/>
          <w:szCs w:val="24"/>
        </w:rPr>
        <w:t>5</w:t>
      </w:r>
    </w:p>
    <w:p w14:paraId="6AA7E963" w14:textId="28244637"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noProof/>
          <w:sz w:val="22"/>
          <w:szCs w:val="22"/>
        </w:rPr>
        <w:t>Préférence nationale</w:t>
      </w:r>
      <w:r w:rsidRPr="00B1581D">
        <w:rPr>
          <w:rFonts w:ascii="Andes" w:hAnsi="Andes" w:cs="Times New Roman Mäori"/>
          <w:noProof/>
          <w:webHidden/>
          <w:sz w:val="22"/>
          <w:szCs w:val="24"/>
        </w:rPr>
        <w:tab/>
        <w:t>2</w:t>
      </w:r>
      <w:r w:rsidR="004252F5">
        <w:rPr>
          <w:rFonts w:ascii="Andes" w:hAnsi="Andes" w:cs="Times New Roman Mäori"/>
          <w:noProof/>
          <w:webHidden/>
          <w:sz w:val="22"/>
          <w:szCs w:val="24"/>
        </w:rPr>
        <w:t>5</w:t>
      </w:r>
    </w:p>
    <w:p w14:paraId="46B17459" w14:textId="1401F92B"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noProof/>
          <w:sz w:val="22"/>
          <w:szCs w:val="22"/>
        </w:rPr>
        <w:t>Monnaie</w:t>
      </w:r>
      <w:r w:rsidRPr="00B1581D">
        <w:rPr>
          <w:rFonts w:ascii="Andes" w:hAnsi="Andes" w:cs="Times New Roman Mäori"/>
          <w:noProof/>
          <w:webHidden/>
          <w:sz w:val="22"/>
          <w:szCs w:val="24"/>
        </w:rPr>
        <w:tab/>
        <w:t>2</w:t>
      </w:r>
      <w:r w:rsidR="004252F5">
        <w:rPr>
          <w:rFonts w:ascii="Andes" w:hAnsi="Andes" w:cs="Times New Roman Mäori"/>
          <w:noProof/>
          <w:webHidden/>
          <w:sz w:val="22"/>
          <w:szCs w:val="24"/>
        </w:rPr>
        <w:t>6</w:t>
      </w:r>
    </w:p>
    <w:p w14:paraId="20C95E10" w14:textId="3DAD372C"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noProof/>
          <w:sz w:val="22"/>
          <w:szCs w:val="22"/>
        </w:rPr>
        <w:t>Révision des prix</w:t>
      </w:r>
      <w:r w:rsidRPr="00B1581D">
        <w:rPr>
          <w:rFonts w:ascii="Andes" w:hAnsi="Andes" w:cs="Times New Roman Mäori"/>
          <w:noProof/>
          <w:webHidden/>
          <w:sz w:val="22"/>
          <w:szCs w:val="24"/>
        </w:rPr>
        <w:tab/>
        <w:t>2</w:t>
      </w:r>
      <w:r w:rsidR="004252F5">
        <w:rPr>
          <w:rFonts w:ascii="Andes" w:hAnsi="Andes" w:cs="Times New Roman Mäori"/>
          <w:noProof/>
          <w:webHidden/>
          <w:sz w:val="22"/>
          <w:szCs w:val="24"/>
        </w:rPr>
        <w:t>6</w:t>
      </w:r>
    </w:p>
    <w:p w14:paraId="682A5C95" w14:textId="2A645A6C"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noProof/>
          <w:sz w:val="22"/>
          <w:szCs w:val="22"/>
        </w:rPr>
        <w:t>Rejet des Offres/Propositions</w:t>
      </w:r>
      <w:r w:rsidRPr="00B1581D">
        <w:rPr>
          <w:rFonts w:ascii="Andes" w:hAnsi="Andes" w:cs="Times New Roman Mäori"/>
          <w:noProof/>
          <w:webHidden/>
          <w:sz w:val="22"/>
          <w:szCs w:val="24"/>
        </w:rPr>
        <w:tab/>
        <w:t>2</w:t>
      </w:r>
      <w:r w:rsidR="004252F5">
        <w:rPr>
          <w:rFonts w:ascii="Andes" w:hAnsi="Andes" w:cs="Times New Roman Mäori"/>
          <w:noProof/>
          <w:webHidden/>
          <w:sz w:val="22"/>
          <w:szCs w:val="24"/>
        </w:rPr>
        <w:t>6</w:t>
      </w:r>
    </w:p>
    <w:p w14:paraId="3C2EB8FD" w14:textId="286D2B8B" w:rsidR="009F2C64" w:rsidRPr="00B1581D" w:rsidRDefault="009F2C64" w:rsidP="00882278">
      <w:pPr>
        <w:tabs>
          <w:tab w:val="left" w:pos="1260"/>
          <w:tab w:val="right" w:leader="dot" w:pos="9350"/>
        </w:tabs>
        <w:spacing w:after="60" w:line="240" w:lineRule="auto"/>
        <w:ind w:left="346" w:hanging="288"/>
        <w:contextualSpacing w:val="0"/>
        <w:jc w:val="left"/>
        <w:rPr>
          <w:rFonts w:ascii="Andes" w:hAnsi="Andes"/>
          <w:noProof/>
          <w:sz w:val="22"/>
          <w:szCs w:val="24"/>
        </w:rPr>
      </w:pPr>
      <w:r w:rsidRPr="00BF25F1">
        <w:rPr>
          <w:rFonts w:ascii="Andes" w:hAnsi="Andes"/>
          <w:noProof/>
          <w:sz w:val="22"/>
          <w:szCs w:val="22"/>
        </w:rPr>
        <w:t>Offre</w:t>
      </w:r>
      <w:r w:rsidR="00E202D6">
        <w:rPr>
          <w:rFonts w:ascii="Andes" w:hAnsi="Andes"/>
          <w:noProof/>
          <w:sz w:val="22"/>
          <w:szCs w:val="22"/>
        </w:rPr>
        <w:t>s</w:t>
      </w:r>
      <w:r w:rsidRPr="00BF25F1">
        <w:rPr>
          <w:rFonts w:ascii="Andes" w:hAnsi="Andes"/>
          <w:noProof/>
          <w:sz w:val="22"/>
          <w:szCs w:val="22"/>
        </w:rPr>
        <w:t>/Proposition</w:t>
      </w:r>
      <w:r w:rsidR="00E202D6">
        <w:rPr>
          <w:rFonts w:ascii="Andes" w:hAnsi="Andes"/>
          <w:noProof/>
          <w:sz w:val="22"/>
          <w:szCs w:val="22"/>
        </w:rPr>
        <w:t>s</w:t>
      </w:r>
      <w:r w:rsidRPr="00BF25F1">
        <w:rPr>
          <w:rFonts w:ascii="Andes" w:hAnsi="Andes"/>
          <w:noProof/>
          <w:sz w:val="22"/>
          <w:szCs w:val="22"/>
        </w:rPr>
        <w:t xml:space="preserve"> </w:t>
      </w:r>
      <w:r w:rsidR="00E202D6">
        <w:rPr>
          <w:rFonts w:ascii="Andes" w:hAnsi="Andes"/>
          <w:noProof/>
          <w:sz w:val="22"/>
          <w:szCs w:val="22"/>
        </w:rPr>
        <w:t>déséquilibrée</w:t>
      </w:r>
      <w:r w:rsidR="00A91660">
        <w:rPr>
          <w:rFonts w:ascii="Andes" w:hAnsi="Andes"/>
          <w:noProof/>
          <w:sz w:val="22"/>
          <w:szCs w:val="22"/>
        </w:rPr>
        <w:t>s</w:t>
      </w:r>
      <w:r w:rsidR="00E202D6">
        <w:rPr>
          <w:rFonts w:ascii="Andes" w:hAnsi="Andes"/>
          <w:noProof/>
          <w:sz w:val="22"/>
          <w:szCs w:val="22"/>
        </w:rPr>
        <w:t xml:space="preserve"> ou avec concentration</w:t>
      </w:r>
      <w:r w:rsidRPr="00E202D6">
        <w:rPr>
          <w:rFonts w:ascii="Andes" w:hAnsi="Andes"/>
          <w:noProof/>
          <w:sz w:val="22"/>
          <w:szCs w:val="22"/>
        </w:rPr>
        <w:t xml:space="preserve"> de décaissements en début de </w:t>
      </w:r>
      <w:r w:rsidR="00E202D6">
        <w:rPr>
          <w:rFonts w:ascii="Andes" w:hAnsi="Andes"/>
          <w:noProof/>
          <w:sz w:val="22"/>
          <w:szCs w:val="22"/>
        </w:rPr>
        <w:t xml:space="preserve"> contrat</w:t>
      </w:r>
      <w:r w:rsidRPr="00B1581D">
        <w:rPr>
          <w:rFonts w:ascii="Andes" w:hAnsi="Andes" w:cs="Times New Roman Mäori"/>
          <w:noProof/>
          <w:webHidden/>
          <w:sz w:val="22"/>
          <w:szCs w:val="24"/>
        </w:rPr>
        <w:tab/>
      </w:r>
      <w:r w:rsidR="00305553">
        <w:rPr>
          <w:rFonts w:ascii="Andes" w:hAnsi="Andes" w:cs="Times New Roman Mäori"/>
          <w:noProof/>
          <w:webHidden/>
          <w:sz w:val="22"/>
          <w:szCs w:val="24"/>
        </w:rPr>
        <w:t>……………………………………………………………………………………………...</w:t>
      </w:r>
      <w:r w:rsidRPr="00B1581D">
        <w:rPr>
          <w:rFonts w:ascii="Andes" w:hAnsi="Andes" w:cs="Times New Roman Mäori"/>
          <w:noProof/>
          <w:webHidden/>
          <w:sz w:val="22"/>
          <w:szCs w:val="24"/>
        </w:rPr>
        <w:t>2</w:t>
      </w:r>
      <w:r w:rsidR="004252F5">
        <w:rPr>
          <w:rFonts w:ascii="Andes" w:hAnsi="Andes" w:cs="Times New Roman Mäori"/>
          <w:noProof/>
          <w:webHidden/>
          <w:sz w:val="22"/>
          <w:szCs w:val="24"/>
        </w:rPr>
        <w:t>8</w:t>
      </w:r>
    </w:p>
    <w:p w14:paraId="677B9B39" w14:textId="60D39718"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noProof/>
          <w:sz w:val="22"/>
          <w:szCs w:val="22"/>
        </w:rPr>
        <w:t>Offres/Propositions anormalement basses</w:t>
      </w:r>
      <w:r w:rsidRPr="00B1581D">
        <w:rPr>
          <w:rFonts w:ascii="Andes" w:hAnsi="Andes" w:cs="Times New Roman Mäori"/>
          <w:noProof/>
          <w:webHidden/>
          <w:sz w:val="22"/>
          <w:szCs w:val="24"/>
        </w:rPr>
        <w:tab/>
        <w:t>2</w:t>
      </w:r>
      <w:r w:rsidR="004252F5">
        <w:rPr>
          <w:rFonts w:ascii="Andes" w:hAnsi="Andes" w:cs="Times New Roman Mäori"/>
          <w:noProof/>
          <w:webHidden/>
          <w:sz w:val="22"/>
          <w:szCs w:val="24"/>
        </w:rPr>
        <w:t>8</w:t>
      </w:r>
    </w:p>
    <w:p w14:paraId="0BFEC755" w14:textId="4A308FC1"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noProof/>
          <w:sz w:val="22"/>
          <w:szCs w:val="22"/>
        </w:rPr>
        <w:t>Offre/Proposition la plus Avantageuse</w:t>
      </w:r>
      <w:r w:rsidRPr="00B1581D">
        <w:rPr>
          <w:rFonts w:ascii="Andes" w:hAnsi="Andes" w:cs="Times New Roman Mäori"/>
          <w:noProof/>
          <w:webHidden/>
          <w:sz w:val="22"/>
          <w:szCs w:val="24"/>
        </w:rPr>
        <w:tab/>
        <w:t>2</w:t>
      </w:r>
      <w:r w:rsidR="004252F5">
        <w:rPr>
          <w:rFonts w:ascii="Andes" w:hAnsi="Andes" w:cs="Times New Roman Mäori"/>
          <w:noProof/>
          <w:webHidden/>
          <w:sz w:val="22"/>
          <w:szCs w:val="24"/>
        </w:rPr>
        <w:t>8</w:t>
      </w:r>
    </w:p>
    <w:p w14:paraId="4831B164" w14:textId="778E7777"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noProof/>
          <w:sz w:val="22"/>
          <w:szCs w:val="22"/>
        </w:rPr>
        <w:t>Notification d’Intention d’Attribution de Marché/Contrat</w:t>
      </w:r>
      <w:r w:rsidRPr="00B1581D">
        <w:rPr>
          <w:rFonts w:ascii="Andes" w:hAnsi="Andes" w:cs="Times New Roman Mäori"/>
          <w:noProof/>
          <w:webHidden/>
          <w:sz w:val="22"/>
          <w:szCs w:val="24"/>
        </w:rPr>
        <w:tab/>
        <w:t>2</w:t>
      </w:r>
      <w:r w:rsidR="004252F5">
        <w:rPr>
          <w:rFonts w:ascii="Andes" w:hAnsi="Andes" w:cs="Times New Roman Mäori"/>
          <w:noProof/>
          <w:webHidden/>
          <w:sz w:val="22"/>
          <w:szCs w:val="24"/>
        </w:rPr>
        <w:t>9</w:t>
      </w:r>
    </w:p>
    <w:p w14:paraId="356F14EF" w14:textId="5061DBE4" w:rsidR="009F2C64" w:rsidRPr="00B1581D" w:rsidRDefault="0047480A"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Pr>
          <w:rFonts w:ascii="Andes" w:hAnsi="Andes"/>
          <w:noProof/>
          <w:sz w:val="22"/>
          <w:szCs w:val="22"/>
        </w:rPr>
        <w:t>Période d’attente</w:t>
      </w:r>
      <w:r w:rsidR="009F2C64" w:rsidRPr="00B1581D">
        <w:rPr>
          <w:rFonts w:ascii="Andes" w:hAnsi="Andes" w:cs="Times New Roman Mäori"/>
          <w:noProof/>
          <w:webHidden/>
          <w:sz w:val="22"/>
          <w:szCs w:val="24"/>
        </w:rPr>
        <w:tab/>
      </w:r>
      <w:r w:rsidR="004252F5">
        <w:rPr>
          <w:rFonts w:ascii="Andes" w:hAnsi="Andes" w:cs="Times New Roman Mäori"/>
          <w:noProof/>
          <w:webHidden/>
          <w:sz w:val="22"/>
          <w:szCs w:val="24"/>
        </w:rPr>
        <w:t>31</w:t>
      </w:r>
    </w:p>
    <w:p w14:paraId="0182D2DE" w14:textId="34B32BAD"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noProof/>
          <w:sz w:val="22"/>
          <w:szCs w:val="22"/>
        </w:rPr>
        <w:t>Débriefing par l’Emprunteur</w:t>
      </w:r>
      <w:r w:rsidRPr="00B1581D">
        <w:rPr>
          <w:rFonts w:ascii="Andes" w:hAnsi="Andes" w:cs="Times New Roman Mäori"/>
          <w:noProof/>
          <w:webHidden/>
          <w:sz w:val="22"/>
          <w:szCs w:val="24"/>
        </w:rPr>
        <w:tab/>
      </w:r>
      <w:r w:rsidR="004252F5">
        <w:rPr>
          <w:rFonts w:ascii="Andes" w:hAnsi="Andes" w:cs="Times New Roman Mäori"/>
          <w:noProof/>
          <w:webHidden/>
          <w:sz w:val="22"/>
          <w:szCs w:val="24"/>
        </w:rPr>
        <w:t>31</w:t>
      </w:r>
    </w:p>
    <w:p w14:paraId="12E0516A" w14:textId="7429F855"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noProof/>
          <w:sz w:val="22"/>
          <w:szCs w:val="22"/>
        </w:rPr>
        <w:lastRenderedPageBreak/>
        <w:t>Fin du Délai de Suspension et attribution du marché</w:t>
      </w:r>
      <w:r w:rsidRPr="00B1581D">
        <w:rPr>
          <w:rFonts w:ascii="Andes" w:hAnsi="Andes" w:cs="Times New Roman Mäori"/>
          <w:noProof/>
          <w:webHidden/>
          <w:sz w:val="22"/>
          <w:szCs w:val="24"/>
        </w:rPr>
        <w:tab/>
      </w:r>
      <w:r w:rsidR="008F616C">
        <w:rPr>
          <w:rFonts w:ascii="Andes" w:hAnsi="Andes" w:cs="Times New Roman Mäori"/>
          <w:noProof/>
          <w:webHidden/>
          <w:sz w:val="22"/>
          <w:szCs w:val="24"/>
        </w:rPr>
        <w:t>3</w:t>
      </w:r>
      <w:r w:rsidR="004252F5">
        <w:rPr>
          <w:rFonts w:ascii="Andes" w:hAnsi="Andes" w:cs="Times New Roman Mäori"/>
          <w:noProof/>
          <w:webHidden/>
          <w:sz w:val="22"/>
          <w:szCs w:val="24"/>
        </w:rPr>
        <w:t>2</w:t>
      </w:r>
    </w:p>
    <w:p w14:paraId="429FFCEA" w14:textId="7EB7160B"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noProof/>
          <w:sz w:val="22"/>
          <w:szCs w:val="22"/>
        </w:rPr>
        <w:t>Avis d’Attribution de Marché/Contrat</w:t>
      </w:r>
      <w:r w:rsidRPr="00B1581D">
        <w:rPr>
          <w:rFonts w:ascii="Andes" w:hAnsi="Andes" w:cs="Times New Roman Mäori"/>
          <w:noProof/>
          <w:webHidden/>
          <w:sz w:val="22"/>
          <w:szCs w:val="24"/>
        </w:rPr>
        <w:tab/>
        <w:t>3</w:t>
      </w:r>
      <w:r w:rsidR="004252F5">
        <w:rPr>
          <w:rFonts w:ascii="Andes" w:hAnsi="Andes" w:cs="Times New Roman Mäori"/>
          <w:noProof/>
          <w:webHidden/>
          <w:sz w:val="22"/>
          <w:szCs w:val="24"/>
        </w:rPr>
        <w:t>3</w:t>
      </w:r>
    </w:p>
    <w:p w14:paraId="0EB68533" w14:textId="3064DA8D"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noProof/>
          <w:sz w:val="22"/>
          <w:szCs w:val="22"/>
        </w:rPr>
        <w:t>Débriefing par la Banque</w:t>
      </w:r>
      <w:r w:rsidRPr="00B1581D">
        <w:rPr>
          <w:rFonts w:ascii="Andes" w:hAnsi="Andes" w:cs="Times New Roman Mäori"/>
          <w:noProof/>
          <w:webHidden/>
          <w:sz w:val="22"/>
          <w:szCs w:val="24"/>
        </w:rPr>
        <w:tab/>
        <w:t>3</w:t>
      </w:r>
      <w:r w:rsidR="004252F5">
        <w:rPr>
          <w:rFonts w:ascii="Andes" w:hAnsi="Andes" w:cs="Times New Roman Mäori"/>
          <w:noProof/>
          <w:webHidden/>
          <w:sz w:val="22"/>
          <w:szCs w:val="24"/>
        </w:rPr>
        <w:t>4</w:t>
      </w:r>
    </w:p>
    <w:p w14:paraId="0B20ABC7" w14:textId="1BBC3122"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noProof/>
          <w:sz w:val="22"/>
          <w:szCs w:val="22"/>
        </w:rPr>
        <w:t>Gestion des marchés et contrats</w:t>
      </w:r>
      <w:r w:rsidRPr="00B1581D">
        <w:rPr>
          <w:rFonts w:ascii="Andes" w:hAnsi="Andes" w:cs="Times New Roman Mäori"/>
          <w:noProof/>
          <w:webHidden/>
          <w:sz w:val="22"/>
          <w:szCs w:val="24"/>
        </w:rPr>
        <w:tab/>
        <w:t>3</w:t>
      </w:r>
      <w:r w:rsidR="004252F5">
        <w:rPr>
          <w:rFonts w:ascii="Andes" w:hAnsi="Andes" w:cs="Times New Roman Mäori"/>
          <w:noProof/>
          <w:webHidden/>
          <w:sz w:val="22"/>
          <w:szCs w:val="24"/>
        </w:rPr>
        <w:t>4</w:t>
      </w:r>
    </w:p>
    <w:p w14:paraId="7F6AB83F" w14:textId="5DBA0BE6"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noProof/>
          <w:sz w:val="22"/>
          <w:szCs w:val="22"/>
        </w:rPr>
        <w:t>Archives</w:t>
      </w:r>
      <w:r w:rsidRPr="00B1581D">
        <w:rPr>
          <w:rFonts w:ascii="Andes" w:hAnsi="Andes" w:cs="Times New Roman Mäori"/>
          <w:noProof/>
          <w:webHidden/>
          <w:sz w:val="22"/>
          <w:szCs w:val="24"/>
        </w:rPr>
        <w:tab/>
        <w:t>3</w:t>
      </w:r>
      <w:r w:rsidR="004252F5">
        <w:rPr>
          <w:rFonts w:ascii="Andes" w:hAnsi="Andes" w:cs="Times New Roman Mäori"/>
          <w:noProof/>
          <w:webHidden/>
          <w:sz w:val="22"/>
          <w:szCs w:val="24"/>
        </w:rPr>
        <w:t>4</w:t>
      </w:r>
    </w:p>
    <w:p w14:paraId="3C2B499D" w14:textId="1F064351" w:rsidR="009F2C64" w:rsidRPr="00B1581D" w:rsidRDefault="009F2C64" w:rsidP="009F2C64">
      <w:pPr>
        <w:tabs>
          <w:tab w:val="left" w:pos="1260"/>
          <w:tab w:val="right" w:leader="dot" w:pos="9350"/>
        </w:tabs>
        <w:spacing w:after="60" w:line="240" w:lineRule="auto"/>
        <w:ind w:left="90"/>
        <w:contextualSpacing w:val="0"/>
        <w:jc w:val="left"/>
        <w:rPr>
          <w:rFonts w:ascii="Andes" w:hAnsi="Andes" w:cs="Times New Roman Mäori"/>
          <w:b/>
          <w:noProof/>
          <w:color w:val="C45911"/>
          <w:sz w:val="26"/>
          <w:szCs w:val="26"/>
        </w:rPr>
      </w:pPr>
      <w:r w:rsidRPr="00B1581D">
        <w:rPr>
          <w:rFonts w:ascii="Andes" w:hAnsi="Andes" w:cs="Times New Roman Mäori"/>
          <w:b/>
          <w:noProof/>
          <w:color w:val="C45911"/>
          <w:sz w:val="26"/>
          <w:szCs w:val="26"/>
        </w:rPr>
        <w:t>Section VI.  Méthodes de sélection agréées</w:t>
      </w:r>
      <w:r w:rsidR="0047480A" w:rsidRPr="00CA0726">
        <w:rPr>
          <w:rFonts w:ascii="Calibri" w:hAnsi="Calibri" w:cs="Calibri"/>
          <w:b/>
          <w:noProof/>
          <w:color w:val="C45911"/>
          <w:sz w:val="26"/>
          <w:szCs w:val="26"/>
        </w:rPr>
        <w:t> </w:t>
      </w:r>
      <w:r w:rsidR="0047480A">
        <w:rPr>
          <w:rFonts w:ascii="Andes" w:hAnsi="Andes" w:cs="Times New Roman Mäori"/>
          <w:b/>
          <w:noProof/>
          <w:color w:val="C45911"/>
          <w:sz w:val="26"/>
          <w:szCs w:val="26"/>
        </w:rPr>
        <w:t>:</w:t>
      </w:r>
      <w:r w:rsidRPr="00B1581D">
        <w:rPr>
          <w:rFonts w:ascii="Andes" w:hAnsi="Andes" w:cs="Times New Roman Mäori"/>
          <w:b/>
          <w:noProof/>
          <w:color w:val="C45911"/>
          <w:sz w:val="26"/>
          <w:szCs w:val="26"/>
        </w:rPr>
        <w:t xml:space="preserve"> Marchés de Fournitures, de Travaux et de Services Autres que </w:t>
      </w:r>
      <w:r w:rsidR="0047480A">
        <w:rPr>
          <w:rFonts w:ascii="Andes" w:hAnsi="Andes" w:cs="Times New Roman Mäori"/>
          <w:b/>
          <w:noProof/>
          <w:color w:val="C45911"/>
          <w:sz w:val="26"/>
          <w:szCs w:val="26"/>
        </w:rPr>
        <w:t>l</w:t>
      </w:r>
      <w:r w:rsidRPr="00B1581D">
        <w:rPr>
          <w:rFonts w:ascii="Andes" w:hAnsi="Andes" w:cs="Times New Roman Mäori"/>
          <w:b/>
          <w:noProof/>
          <w:color w:val="C45911"/>
          <w:sz w:val="26"/>
          <w:szCs w:val="26"/>
        </w:rPr>
        <w:t>es Services de Consultants</w:t>
      </w:r>
      <w:r w:rsidRPr="00B1581D">
        <w:rPr>
          <w:rFonts w:ascii="Andes" w:hAnsi="Andes" w:cs="Times New Roman Mäori"/>
          <w:noProof/>
          <w:webHidden/>
          <w:sz w:val="22"/>
          <w:szCs w:val="24"/>
        </w:rPr>
        <w:tab/>
        <w:t>3</w:t>
      </w:r>
      <w:r w:rsidR="004252F5">
        <w:rPr>
          <w:rFonts w:ascii="Andes" w:hAnsi="Andes" w:cs="Times New Roman Mäori"/>
          <w:noProof/>
          <w:webHidden/>
          <w:sz w:val="22"/>
          <w:szCs w:val="24"/>
        </w:rPr>
        <w:t>5</w:t>
      </w:r>
    </w:p>
    <w:p w14:paraId="63B3E845" w14:textId="280B1E49"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noProof/>
          <w:sz w:val="22"/>
          <w:szCs w:val="22"/>
        </w:rPr>
        <w:t>Méthodes de sélection agréées</w:t>
      </w:r>
      <w:r w:rsidRPr="00B1581D">
        <w:rPr>
          <w:rFonts w:ascii="Andes" w:hAnsi="Andes" w:cs="Times New Roman Mäori"/>
          <w:noProof/>
          <w:webHidden/>
          <w:sz w:val="22"/>
          <w:szCs w:val="24"/>
        </w:rPr>
        <w:tab/>
        <w:t>3</w:t>
      </w:r>
      <w:r w:rsidR="004252F5">
        <w:rPr>
          <w:rFonts w:ascii="Andes" w:hAnsi="Andes" w:cs="Times New Roman Mäori"/>
          <w:noProof/>
          <w:webHidden/>
          <w:sz w:val="22"/>
          <w:szCs w:val="24"/>
        </w:rPr>
        <w:t>5</w:t>
      </w:r>
    </w:p>
    <w:p w14:paraId="07E28FEA" w14:textId="02426F1B" w:rsidR="009F2C64" w:rsidRPr="00B1581D" w:rsidRDefault="00DD76FF"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DD76FF">
        <w:rPr>
          <w:rFonts w:ascii="Andes" w:hAnsi="Andes"/>
          <w:noProof/>
          <w:sz w:val="22"/>
          <w:szCs w:val="22"/>
        </w:rPr>
        <w:t>Option d’approche du marché</w:t>
      </w:r>
      <w:r w:rsidR="009F2C64" w:rsidRPr="00B1581D">
        <w:rPr>
          <w:rFonts w:ascii="Andes" w:hAnsi="Andes" w:cs="Times New Roman Mäori"/>
          <w:noProof/>
          <w:webHidden/>
          <w:sz w:val="22"/>
          <w:szCs w:val="24"/>
        </w:rPr>
        <w:tab/>
      </w:r>
      <w:r w:rsidR="001D1F52">
        <w:rPr>
          <w:rFonts w:ascii="Andes" w:hAnsi="Andes" w:cs="Times New Roman Mäori"/>
          <w:noProof/>
          <w:webHidden/>
          <w:sz w:val="22"/>
          <w:szCs w:val="24"/>
        </w:rPr>
        <w:t>3</w:t>
      </w:r>
      <w:r w:rsidR="00066A4E">
        <w:rPr>
          <w:rFonts w:ascii="Andes" w:hAnsi="Andes" w:cs="Times New Roman Mäori"/>
          <w:noProof/>
          <w:webHidden/>
          <w:sz w:val="22"/>
          <w:szCs w:val="24"/>
        </w:rPr>
        <w:t>9</w:t>
      </w:r>
    </w:p>
    <w:p w14:paraId="19B7A641" w14:textId="1177D71E"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noProof/>
          <w:sz w:val="22"/>
          <w:szCs w:val="22"/>
        </w:rPr>
        <w:t>Types particuliers de modalités de sélection agréées</w:t>
      </w:r>
      <w:r w:rsidRPr="00B1581D">
        <w:rPr>
          <w:rFonts w:ascii="Andes" w:hAnsi="Andes" w:cs="Times New Roman Mäori"/>
          <w:noProof/>
          <w:webHidden/>
          <w:sz w:val="22"/>
          <w:szCs w:val="24"/>
        </w:rPr>
        <w:tab/>
      </w:r>
      <w:r w:rsidR="00066A4E">
        <w:rPr>
          <w:rFonts w:ascii="Andes" w:hAnsi="Andes" w:cs="Times New Roman Mäori"/>
          <w:noProof/>
          <w:webHidden/>
          <w:sz w:val="22"/>
          <w:szCs w:val="24"/>
        </w:rPr>
        <w:t>43</w:t>
      </w:r>
    </w:p>
    <w:p w14:paraId="3571BF77" w14:textId="180C2860"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noProof/>
          <w:sz w:val="22"/>
          <w:szCs w:val="22"/>
        </w:rPr>
        <w:t>Types particuliers d’arrangements contractuels</w:t>
      </w:r>
      <w:r w:rsidRPr="00B1581D">
        <w:rPr>
          <w:rFonts w:ascii="Andes" w:hAnsi="Andes" w:cs="Times New Roman Mäori"/>
          <w:noProof/>
          <w:webHidden/>
          <w:sz w:val="22"/>
          <w:szCs w:val="24"/>
        </w:rPr>
        <w:tab/>
        <w:t>4</w:t>
      </w:r>
      <w:r w:rsidR="004252F5">
        <w:rPr>
          <w:rFonts w:ascii="Andes" w:hAnsi="Andes" w:cs="Times New Roman Mäori"/>
          <w:noProof/>
          <w:webHidden/>
          <w:sz w:val="22"/>
          <w:szCs w:val="24"/>
        </w:rPr>
        <w:t>7</w:t>
      </w:r>
    </w:p>
    <w:p w14:paraId="67CB0661" w14:textId="524ED14F"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cs="Times New Roman Mäori"/>
          <w:b/>
          <w:noProof/>
          <w:color w:val="C45911"/>
          <w:sz w:val="26"/>
          <w:szCs w:val="26"/>
        </w:rPr>
      </w:pPr>
      <w:r w:rsidRPr="00B1581D">
        <w:rPr>
          <w:rFonts w:ascii="Andes" w:hAnsi="Andes" w:cs="Times New Roman Mäori"/>
          <w:b/>
          <w:noProof/>
          <w:color w:val="C45911"/>
          <w:sz w:val="26"/>
          <w:szCs w:val="26"/>
        </w:rPr>
        <w:t>Section VII.  Méthodes de sélection agréées Services de Consultants</w:t>
      </w:r>
      <w:r w:rsidRPr="00B1581D">
        <w:rPr>
          <w:rFonts w:ascii="Andes" w:hAnsi="Andes" w:cs="Times New Roman Mäori"/>
          <w:noProof/>
          <w:webHidden/>
          <w:sz w:val="22"/>
          <w:szCs w:val="24"/>
        </w:rPr>
        <w:tab/>
      </w:r>
      <w:r w:rsidR="001D1F52">
        <w:rPr>
          <w:rFonts w:ascii="Andes" w:hAnsi="Andes" w:cs="Times New Roman Mäori"/>
          <w:noProof/>
          <w:webHidden/>
          <w:sz w:val="22"/>
          <w:szCs w:val="24"/>
        </w:rPr>
        <w:t>4</w:t>
      </w:r>
      <w:r w:rsidR="00066A4E">
        <w:rPr>
          <w:rFonts w:ascii="Andes" w:hAnsi="Andes" w:cs="Times New Roman Mäori"/>
          <w:noProof/>
          <w:webHidden/>
          <w:sz w:val="22"/>
          <w:szCs w:val="24"/>
        </w:rPr>
        <w:t>9</w:t>
      </w:r>
    </w:p>
    <w:p w14:paraId="72C0A262" w14:textId="30424696"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noProof/>
          <w:sz w:val="22"/>
          <w:szCs w:val="22"/>
        </w:rPr>
        <w:t>Méthodes de sélection agréées</w:t>
      </w:r>
      <w:r w:rsidRPr="00B1581D">
        <w:rPr>
          <w:rFonts w:ascii="Andes" w:hAnsi="Andes" w:cs="Times New Roman Mäori"/>
          <w:noProof/>
          <w:webHidden/>
          <w:sz w:val="22"/>
          <w:szCs w:val="24"/>
        </w:rPr>
        <w:tab/>
      </w:r>
      <w:r w:rsidR="001D1F52">
        <w:rPr>
          <w:rFonts w:ascii="Andes" w:hAnsi="Andes" w:cs="Times New Roman Mäori"/>
          <w:noProof/>
          <w:webHidden/>
          <w:sz w:val="22"/>
          <w:szCs w:val="24"/>
        </w:rPr>
        <w:t>4</w:t>
      </w:r>
      <w:r w:rsidR="00066A4E">
        <w:rPr>
          <w:rFonts w:ascii="Andes" w:hAnsi="Andes" w:cs="Times New Roman Mäori"/>
          <w:noProof/>
          <w:webHidden/>
          <w:sz w:val="22"/>
          <w:szCs w:val="24"/>
        </w:rPr>
        <w:t>9</w:t>
      </w:r>
    </w:p>
    <w:p w14:paraId="63228010" w14:textId="40E48B23"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noProof/>
          <w:sz w:val="22"/>
          <w:szCs w:val="22"/>
        </w:rPr>
        <w:t>Procédures de sélection de cabinets de consultants</w:t>
      </w:r>
      <w:r w:rsidRPr="00B1581D">
        <w:rPr>
          <w:rFonts w:ascii="Andes" w:hAnsi="Andes" w:cs="Times New Roman Mäori"/>
          <w:noProof/>
          <w:webHidden/>
          <w:sz w:val="22"/>
          <w:szCs w:val="24"/>
        </w:rPr>
        <w:tab/>
      </w:r>
      <w:r w:rsidR="00066A4E">
        <w:rPr>
          <w:rFonts w:ascii="Andes" w:hAnsi="Andes" w:cs="Times New Roman Mäori"/>
          <w:noProof/>
          <w:webHidden/>
          <w:sz w:val="22"/>
          <w:szCs w:val="24"/>
        </w:rPr>
        <w:t>5</w:t>
      </w:r>
      <w:r w:rsidR="004252F5">
        <w:rPr>
          <w:rFonts w:ascii="Andes" w:hAnsi="Andes" w:cs="Times New Roman Mäori"/>
          <w:noProof/>
          <w:webHidden/>
          <w:sz w:val="22"/>
          <w:szCs w:val="24"/>
        </w:rPr>
        <w:t>3</w:t>
      </w:r>
    </w:p>
    <w:p w14:paraId="3D97C665" w14:textId="0423EAF3" w:rsidR="009F2C64" w:rsidRPr="00B1581D" w:rsidRDefault="001D1F52" w:rsidP="009F2C64">
      <w:pPr>
        <w:tabs>
          <w:tab w:val="left" w:pos="1260"/>
          <w:tab w:val="right" w:leader="dot" w:pos="9350"/>
        </w:tabs>
        <w:spacing w:after="60" w:line="240" w:lineRule="auto"/>
        <w:ind w:left="346" w:hanging="288"/>
        <w:contextualSpacing w:val="0"/>
        <w:jc w:val="left"/>
        <w:rPr>
          <w:rFonts w:ascii="Andes" w:hAnsi="Andes" w:cs="Times New Roman Mäori"/>
          <w:noProof/>
          <w:webHidden/>
          <w:sz w:val="22"/>
          <w:szCs w:val="24"/>
        </w:rPr>
      </w:pPr>
      <w:r w:rsidRPr="001D1F52">
        <w:rPr>
          <w:rFonts w:ascii="Andes" w:hAnsi="Andes"/>
          <w:noProof/>
          <w:sz w:val="22"/>
          <w:szCs w:val="22"/>
        </w:rPr>
        <w:t xml:space="preserve">Options </w:t>
      </w:r>
      <w:r w:rsidR="009F2C64" w:rsidRPr="00B1581D">
        <w:rPr>
          <w:rFonts w:ascii="Andes" w:hAnsi="Andes"/>
          <w:noProof/>
          <w:sz w:val="22"/>
          <w:szCs w:val="22"/>
        </w:rPr>
        <w:t>d</w:t>
      </w:r>
      <w:r>
        <w:rPr>
          <w:rFonts w:ascii="Andes" w:hAnsi="Andes"/>
          <w:noProof/>
          <w:sz w:val="22"/>
          <w:szCs w:val="22"/>
        </w:rPr>
        <w:t>’approche du march</w:t>
      </w:r>
      <w:r w:rsidRPr="00B1581D">
        <w:rPr>
          <w:rFonts w:ascii="Andes" w:hAnsi="Andes"/>
          <w:noProof/>
          <w:sz w:val="22"/>
          <w:szCs w:val="22"/>
        </w:rPr>
        <w:t>é</w:t>
      </w:r>
      <w:r w:rsidR="009F2C64" w:rsidRPr="00B1581D">
        <w:rPr>
          <w:rFonts w:ascii="Andes" w:hAnsi="Andes" w:cs="Times New Roman Mäori"/>
          <w:noProof/>
          <w:webHidden/>
          <w:sz w:val="22"/>
          <w:szCs w:val="24"/>
        </w:rPr>
        <w:tab/>
      </w:r>
      <w:r w:rsidR="00066A4E">
        <w:rPr>
          <w:rFonts w:ascii="Andes" w:hAnsi="Andes" w:cs="Times New Roman Mäori"/>
          <w:noProof/>
          <w:webHidden/>
          <w:sz w:val="22"/>
          <w:szCs w:val="24"/>
        </w:rPr>
        <w:t>53</w:t>
      </w:r>
    </w:p>
    <w:p w14:paraId="02A2EFB4" w14:textId="70F9297E" w:rsidR="009F2C64" w:rsidRPr="00B1581D" w:rsidRDefault="009F2C64" w:rsidP="009F2C64">
      <w:pPr>
        <w:tabs>
          <w:tab w:val="left" w:pos="1260"/>
          <w:tab w:val="right" w:leader="dot" w:pos="9350"/>
        </w:tabs>
        <w:spacing w:after="60" w:line="240" w:lineRule="auto"/>
        <w:ind w:left="346" w:firstLine="14"/>
        <w:contextualSpacing w:val="0"/>
        <w:jc w:val="left"/>
        <w:rPr>
          <w:rFonts w:ascii="Andes" w:hAnsi="Andes" w:cs="Times New Roman Mäori"/>
          <w:sz w:val="22"/>
          <w:szCs w:val="24"/>
        </w:rPr>
      </w:pPr>
      <w:r w:rsidRPr="00B1581D">
        <w:rPr>
          <w:rFonts w:ascii="Andes" w:hAnsi="Andes"/>
          <w:noProof/>
          <w:sz w:val="22"/>
          <w:szCs w:val="24"/>
        </w:rPr>
        <w:t>Types particuliers de modalités de sélection agréées</w:t>
      </w:r>
      <w:r w:rsidRPr="00B1581D">
        <w:rPr>
          <w:rFonts w:ascii="Andes" w:hAnsi="Andes" w:cs="Times New Roman Mäori"/>
          <w:noProof/>
          <w:webHidden/>
          <w:sz w:val="22"/>
          <w:szCs w:val="24"/>
        </w:rPr>
        <w:tab/>
      </w:r>
      <w:r w:rsidR="00066A4E">
        <w:rPr>
          <w:rFonts w:ascii="Andes" w:hAnsi="Andes" w:cs="Times New Roman Mäori"/>
          <w:noProof/>
          <w:webHidden/>
          <w:sz w:val="22"/>
          <w:szCs w:val="24"/>
        </w:rPr>
        <w:t>54</w:t>
      </w:r>
    </w:p>
    <w:p w14:paraId="3FD28C28" w14:textId="6BA0BE31"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cs="Times New Roman Mäori"/>
          <w:noProof/>
          <w:color w:val="000000"/>
          <w:sz w:val="22"/>
          <w:szCs w:val="22"/>
        </w:rPr>
      </w:pPr>
      <w:r w:rsidRPr="00B1581D">
        <w:rPr>
          <w:rFonts w:ascii="Andes" w:hAnsi="Andes"/>
          <w:noProof/>
          <w:sz w:val="22"/>
          <w:szCs w:val="22"/>
        </w:rPr>
        <w:t>Personnel d’appui à la mise en œuvre des projets</w:t>
      </w:r>
      <w:r w:rsidRPr="00B1581D">
        <w:rPr>
          <w:rFonts w:ascii="Andes" w:hAnsi="Andes" w:cs="Times New Roman Mäori"/>
          <w:noProof/>
          <w:webHidden/>
          <w:sz w:val="22"/>
          <w:szCs w:val="24"/>
        </w:rPr>
        <w:tab/>
      </w:r>
      <w:r w:rsidR="00066A4E">
        <w:rPr>
          <w:rFonts w:ascii="Andes" w:hAnsi="Andes" w:cs="Times New Roman Mäori"/>
          <w:noProof/>
          <w:webHidden/>
          <w:sz w:val="22"/>
          <w:szCs w:val="24"/>
        </w:rPr>
        <w:t>55</w:t>
      </w:r>
    </w:p>
    <w:p w14:paraId="0B57A41E" w14:textId="10AD5CBC" w:rsidR="009F2C64" w:rsidRPr="00B1581D" w:rsidRDefault="009F2C64" w:rsidP="009F2C64">
      <w:pPr>
        <w:tabs>
          <w:tab w:val="left" w:pos="1260"/>
          <w:tab w:val="right" w:leader="dot" w:pos="9350"/>
        </w:tabs>
        <w:spacing w:after="60" w:line="240" w:lineRule="auto"/>
        <w:ind w:left="346" w:firstLine="14"/>
        <w:contextualSpacing w:val="0"/>
        <w:jc w:val="left"/>
        <w:rPr>
          <w:rFonts w:ascii="Andes" w:hAnsi="Andes" w:cs="Times New Roman Mäori"/>
          <w:noProof/>
          <w:color w:val="000000"/>
          <w:sz w:val="22"/>
          <w:szCs w:val="22"/>
        </w:rPr>
      </w:pPr>
      <w:r w:rsidRPr="00B1581D">
        <w:rPr>
          <w:rFonts w:ascii="Andes" w:hAnsi="Andes"/>
          <w:noProof/>
          <w:sz w:val="22"/>
          <w:szCs w:val="22"/>
        </w:rPr>
        <w:t>Type particulier d’arrangements contractuels</w:t>
      </w:r>
      <w:r w:rsidRPr="00B1581D">
        <w:rPr>
          <w:rFonts w:ascii="Andes" w:hAnsi="Andes" w:cs="Times New Roman Mäori"/>
          <w:noProof/>
          <w:webHidden/>
          <w:sz w:val="22"/>
          <w:szCs w:val="24"/>
        </w:rPr>
        <w:tab/>
        <w:t>5</w:t>
      </w:r>
      <w:r w:rsidR="004252F5">
        <w:rPr>
          <w:rFonts w:ascii="Andes" w:hAnsi="Andes" w:cs="Times New Roman Mäori"/>
          <w:noProof/>
          <w:webHidden/>
          <w:sz w:val="22"/>
          <w:szCs w:val="24"/>
        </w:rPr>
        <w:t>6</w:t>
      </w:r>
    </w:p>
    <w:p w14:paraId="3C3FC540" w14:textId="4171D042"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noProof/>
          <w:sz w:val="22"/>
          <w:szCs w:val="24"/>
        </w:rPr>
      </w:pPr>
      <w:r w:rsidRPr="00B1581D">
        <w:rPr>
          <w:rFonts w:ascii="Andes" w:hAnsi="Andes"/>
          <w:noProof/>
          <w:sz w:val="22"/>
          <w:szCs w:val="22"/>
        </w:rPr>
        <w:t>Méthodes de sélection agréées pour des Consultants individuels</w:t>
      </w:r>
      <w:r w:rsidRPr="00B1581D">
        <w:rPr>
          <w:rFonts w:ascii="Andes" w:hAnsi="Andes" w:cs="Times New Roman Mäori"/>
          <w:noProof/>
          <w:webHidden/>
          <w:sz w:val="22"/>
          <w:szCs w:val="24"/>
        </w:rPr>
        <w:tab/>
        <w:t>5</w:t>
      </w:r>
      <w:r w:rsidR="004252F5">
        <w:rPr>
          <w:rFonts w:ascii="Andes" w:hAnsi="Andes" w:cs="Times New Roman Mäori"/>
          <w:noProof/>
          <w:webHidden/>
          <w:sz w:val="22"/>
          <w:szCs w:val="24"/>
        </w:rPr>
        <w:t>6</w:t>
      </w:r>
    </w:p>
    <w:p w14:paraId="757F047C" w14:textId="77777777" w:rsidR="009F2C64" w:rsidRPr="00B1581D" w:rsidRDefault="009F2C64" w:rsidP="009F2C64">
      <w:pPr>
        <w:tabs>
          <w:tab w:val="left" w:pos="1260"/>
          <w:tab w:val="right" w:leader="dot" w:pos="9350"/>
        </w:tabs>
        <w:spacing w:after="60" w:line="240" w:lineRule="auto"/>
        <w:ind w:left="346" w:hanging="288"/>
        <w:contextualSpacing w:val="0"/>
        <w:jc w:val="left"/>
        <w:rPr>
          <w:rFonts w:ascii="Andes" w:hAnsi="Andes" w:cs="Times New Roman Mäori"/>
          <w:noProof/>
          <w:color w:val="000000"/>
          <w:sz w:val="22"/>
          <w:szCs w:val="22"/>
        </w:rPr>
      </w:pPr>
    </w:p>
    <w:p w14:paraId="24DBF9E4" w14:textId="4FF7E6A7" w:rsidR="009F2C64" w:rsidRPr="00B1581D" w:rsidRDefault="009F2C64" w:rsidP="001728CB">
      <w:pPr>
        <w:tabs>
          <w:tab w:val="left" w:pos="1260"/>
          <w:tab w:val="right" w:leader="dot" w:pos="9350"/>
        </w:tabs>
        <w:spacing w:before="60" w:after="60" w:line="240" w:lineRule="auto"/>
        <w:ind w:left="1350" w:hanging="1292"/>
        <w:contextualSpacing w:val="0"/>
        <w:jc w:val="left"/>
        <w:rPr>
          <w:rFonts w:ascii="Andes" w:hAnsi="Andes"/>
          <w:noProof/>
          <w:sz w:val="22"/>
          <w:szCs w:val="24"/>
        </w:rPr>
      </w:pPr>
      <w:r w:rsidRPr="00B1581D">
        <w:rPr>
          <w:rFonts w:ascii="Andes" w:hAnsi="Andes" w:cs="Arial"/>
          <w:b/>
          <w:noProof/>
          <w:sz w:val="22"/>
          <w:szCs w:val="22"/>
        </w:rPr>
        <w:t xml:space="preserve">Annexe I.  </w:t>
      </w:r>
      <w:r w:rsidRPr="00B1581D">
        <w:rPr>
          <w:rFonts w:ascii="Andes" w:hAnsi="Andes" w:cs="Arial"/>
          <w:b/>
          <w:noProof/>
          <w:sz w:val="22"/>
          <w:szCs w:val="22"/>
        </w:rPr>
        <w:tab/>
      </w:r>
      <w:r w:rsidR="001728CB">
        <w:rPr>
          <w:rFonts w:ascii="Andes" w:hAnsi="Andes" w:cs="Arial"/>
          <w:b/>
          <w:noProof/>
          <w:sz w:val="22"/>
          <w:szCs w:val="22"/>
        </w:rPr>
        <w:tab/>
      </w:r>
      <w:r w:rsidRPr="00B1581D">
        <w:rPr>
          <w:rFonts w:ascii="Andes" w:hAnsi="Andes" w:cs="Arial"/>
          <w:b/>
          <w:noProof/>
          <w:sz w:val="22"/>
          <w:szCs w:val="22"/>
        </w:rPr>
        <w:t>Optimisation des ressources</w:t>
      </w:r>
      <w:r w:rsidRPr="00B1581D">
        <w:rPr>
          <w:rFonts w:ascii="Andes" w:hAnsi="Andes" w:cs="Times New Roman Mäori"/>
          <w:noProof/>
          <w:webHidden/>
          <w:sz w:val="22"/>
          <w:szCs w:val="24"/>
        </w:rPr>
        <w:tab/>
      </w:r>
      <w:r w:rsidR="002859FD">
        <w:rPr>
          <w:rFonts w:ascii="Andes" w:hAnsi="Andes" w:cs="Times New Roman Mäori"/>
          <w:noProof/>
          <w:webHidden/>
          <w:sz w:val="22"/>
          <w:szCs w:val="24"/>
        </w:rPr>
        <w:t>5</w:t>
      </w:r>
      <w:r w:rsidR="004252F5">
        <w:rPr>
          <w:rFonts w:ascii="Andes" w:hAnsi="Andes" w:cs="Times New Roman Mäori"/>
          <w:noProof/>
          <w:webHidden/>
          <w:sz w:val="22"/>
          <w:szCs w:val="24"/>
        </w:rPr>
        <w:t>9</w:t>
      </w:r>
    </w:p>
    <w:p w14:paraId="260E6896" w14:textId="671E2E66" w:rsidR="009F2C64" w:rsidRPr="00B1581D" w:rsidRDefault="009F2C64" w:rsidP="001728CB">
      <w:pPr>
        <w:tabs>
          <w:tab w:val="left" w:pos="1260"/>
          <w:tab w:val="right" w:leader="dot" w:pos="9350"/>
        </w:tabs>
        <w:spacing w:before="60" w:after="60" w:line="240" w:lineRule="auto"/>
        <w:ind w:left="1350" w:hanging="1292"/>
        <w:contextualSpacing w:val="0"/>
        <w:jc w:val="left"/>
        <w:rPr>
          <w:rFonts w:ascii="Andes" w:hAnsi="Andes"/>
          <w:noProof/>
          <w:sz w:val="22"/>
          <w:szCs w:val="24"/>
        </w:rPr>
      </w:pPr>
      <w:r w:rsidRPr="00B1581D">
        <w:rPr>
          <w:rFonts w:ascii="Andes" w:hAnsi="Andes" w:cs="Arial"/>
          <w:b/>
          <w:noProof/>
          <w:sz w:val="22"/>
          <w:szCs w:val="22"/>
        </w:rPr>
        <w:t xml:space="preserve">Annexe II.  </w:t>
      </w:r>
      <w:r w:rsidRPr="00B1581D">
        <w:rPr>
          <w:rFonts w:ascii="Andes" w:hAnsi="Andes" w:cs="Arial"/>
          <w:b/>
          <w:noProof/>
          <w:sz w:val="22"/>
          <w:szCs w:val="22"/>
        </w:rPr>
        <w:tab/>
      </w:r>
      <w:r w:rsidR="001728CB">
        <w:rPr>
          <w:rFonts w:ascii="Andes" w:hAnsi="Andes" w:cs="Arial"/>
          <w:b/>
          <w:noProof/>
          <w:sz w:val="22"/>
          <w:szCs w:val="22"/>
        </w:rPr>
        <w:tab/>
      </w:r>
      <w:r w:rsidRPr="00B1581D">
        <w:rPr>
          <w:rFonts w:ascii="Andes" w:hAnsi="Andes" w:cs="Arial"/>
          <w:b/>
          <w:noProof/>
          <w:sz w:val="22"/>
          <w:szCs w:val="22"/>
        </w:rPr>
        <w:t>Contrôle de la passation des marchés</w:t>
      </w:r>
      <w:r w:rsidRPr="00B1581D">
        <w:rPr>
          <w:rFonts w:ascii="Andes" w:hAnsi="Andes" w:cs="Times New Roman Mäori"/>
          <w:noProof/>
          <w:webHidden/>
          <w:sz w:val="22"/>
          <w:szCs w:val="24"/>
        </w:rPr>
        <w:tab/>
      </w:r>
      <w:r w:rsidR="00066A4E">
        <w:rPr>
          <w:rFonts w:ascii="Andes" w:hAnsi="Andes" w:cs="Times New Roman Mäori"/>
          <w:noProof/>
          <w:webHidden/>
          <w:sz w:val="22"/>
          <w:szCs w:val="24"/>
        </w:rPr>
        <w:t>6</w:t>
      </w:r>
      <w:r w:rsidR="001050EB">
        <w:rPr>
          <w:rFonts w:ascii="Andes" w:hAnsi="Andes" w:cs="Times New Roman Mäori"/>
          <w:noProof/>
          <w:webHidden/>
          <w:sz w:val="22"/>
          <w:szCs w:val="24"/>
        </w:rPr>
        <w:t>1</w:t>
      </w:r>
    </w:p>
    <w:p w14:paraId="11CF0448" w14:textId="32FBD0C7" w:rsidR="009F2C64" w:rsidRPr="00B1581D" w:rsidRDefault="009F2C64" w:rsidP="001728CB">
      <w:pPr>
        <w:tabs>
          <w:tab w:val="left" w:pos="1260"/>
          <w:tab w:val="right" w:leader="dot" w:pos="9350"/>
        </w:tabs>
        <w:spacing w:before="60" w:after="60" w:line="240" w:lineRule="auto"/>
        <w:ind w:left="1350" w:hanging="1292"/>
        <w:contextualSpacing w:val="0"/>
        <w:jc w:val="left"/>
        <w:rPr>
          <w:rFonts w:ascii="Andes" w:hAnsi="Andes"/>
          <w:noProof/>
          <w:sz w:val="22"/>
          <w:szCs w:val="24"/>
        </w:rPr>
      </w:pPr>
      <w:r w:rsidRPr="00B1581D">
        <w:rPr>
          <w:rFonts w:ascii="Andes" w:hAnsi="Andes" w:cs="Arial"/>
          <w:b/>
          <w:noProof/>
          <w:sz w:val="22"/>
          <w:szCs w:val="22"/>
        </w:rPr>
        <w:t xml:space="preserve">Annexe III.  </w:t>
      </w:r>
      <w:r w:rsidRPr="00B1581D">
        <w:rPr>
          <w:rFonts w:ascii="Andes" w:hAnsi="Andes" w:cs="Arial"/>
          <w:b/>
          <w:noProof/>
          <w:sz w:val="22"/>
          <w:szCs w:val="22"/>
        </w:rPr>
        <w:tab/>
      </w:r>
      <w:r w:rsidR="001728CB">
        <w:rPr>
          <w:rFonts w:ascii="Andes" w:hAnsi="Andes" w:cs="Arial"/>
          <w:b/>
          <w:noProof/>
          <w:sz w:val="22"/>
          <w:szCs w:val="22"/>
        </w:rPr>
        <w:tab/>
      </w:r>
      <w:r w:rsidRPr="00B1581D">
        <w:rPr>
          <w:rFonts w:ascii="Andes" w:hAnsi="Andes" w:cs="Arial"/>
          <w:b/>
          <w:noProof/>
          <w:sz w:val="22"/>
          <w:szCs w:val="22"/>
        </w:rPr>
        <w:t>Plaintes relatives à la passation des marchés</w:t>
      </w:r>
      <w:r w:rsidRPr="00B1581D">
        <w:rPr>
          <w:rFonts w:ascii="Andes" w:hAnsi="Andes" w:cs="Times New Roman Mäori"/>
          <w:noProof/>
          <w:webHidden/>
          <w:sz w:val="22"/>
          <w:szCs w:val="24"/>
        </w:rPr>
        <w:tab/>
        <w:t>6</w:t>
      </w:r>
      <w:r w:rsidR="001050EB">
        <w:rPr>
          <w:rFonts w:ascii="Andes" w:hAnsi="Andes" w:cs="Times New Roman Mäori"/>
          <w:noProof/>
          <w:webHidden/>
          <w:sz w:val="22"/>
          <w:szCs w:val="24"/>
        </w:rPr>
        <w:t>7</w:t>
      </w:r>
    </w:p>
    <w:p w14:paraId="4DE40410" w14:textId="6D21CFE3" w:rsidR="009F2C64" w:rsidRPr="00B1581D" w:rsidRDefault="009F2C64" w:rsidP="001728CB">
      <w:pPr>
        <w:tabs>
          <w:tab w:val="left" w:pos="1260"/>
          <w:tab w:val="right" w:leader="dot" w:pos="9350"/>
        </w:tabs>
        <w:spacing w:before="60" w:after="60" w:line="240" w:lineRule="auto"/>
        <w:ind w:left="1350" w:hanging="1292"/>
        <w:contextualSpacing w:val="0"/>
        <w:jc w:val="left"/>
        <w:rPr>
          <w:rFonts w:ascii="Andes" w:hAnsi="Andes"/>
          <w:noProof/>
          <w:sz w:val="22"/>
          <w:szCs w:val="24"/>
        </w:rPr>
      </w:pPr>
      <w:r w:rsidRPr="00B1581D">
        <w:rPr>
          <w:rFonts w:ascii="Andes" w:hAnsi="Andes" w:cs="Arial"/>
          <w:b/>
          <w:noProof/>
          <w:sz w:val="22"/>
          <w:szCs w:val="22"/>
        </w:rPr>
        <w:t xml:space="preserve">Annexe IV. </w:t>
      </w:r>
      <w:r w:rsidR="001728CB">
        <w:rPr>
          <w:rFonts w:ascii="Andes" w:hAnsi="Andes" w:cs="Arial"/>
          <w:b/>
          <w:noProof/>
          <w:sz w:val="22"/>
          <w:szCs w:val="22"/>
        </w:rPr>
        <w:tab/>
      </w:r>
      <w:r w:rsidRPr="00B1581D">
        <w:rPr>
          <w:rFonts w:ascii="Andes" w:hAnsi="Andes" w:cs="Arial"/>
          <w:b/>
          <w:noProof/>
          <w:sz w:val="22"/>
          <w:szCs w:val="22"/>
        </w:rPr>
        <w:t xml:space="preserve"> </w:t>
      </w:r>
      <w:r w:rsidRPr="00B1581D">
        <w:rPr>
          <w:rFonts w:ascii="Andes" w:hAnsi="Andes" w:cs="Arial"/>
          <w:b/>
          <w:noProof/>
          <w:sz w:val="22"/>
          <w:szCs w:val="22"/>
        </w:rPr>
        <w:tab/>
        <w:t>Fraude et Corruptio</w:t>
      </w:r>
      <w:r w:rsidR="005F76A5">
        <w:rPr>
          <w:rFonts w:ascii="Andes" w:hAnsi="Andes" w:cs="Arial"/>
          <w:b/>
          <w:noProof/>
          <w:sz w:val="22"/>
          <w:szCs w:val="22"/>
        </w:rPr>
        <w:t>n</w:t>
      </w:r>
      <w:r w:rsidRPr="00B1581D">
        <w:rPr>
          <w:rFonts w:ascii="Andes" w:hAnsi="Andes" w:cs="Times New Roman Mäori"/>
          <w:noProof/>
          <w:webHidden/>
          <w:sz w:val="22"/>
          <w:szCs w:val="24"/>
        </w:rPr>
        <w:tab/>
      </w:r>
      <w:r w:rsidR="00066A4E">
        <w:rPr>
          <w:rFonts w:ascii="Andes" w:hAnsi="Andes" w:cs="Times New Roman Mäori"/>
          <w:noProof/>
          <w:webHidden/>
          <w:sz w:val="22"/>
          <w:szCs w:val="24"/>
        </w:rPr>
        <w:t>7</w:t>
      </w:r>
      <w:r w:rsidR="001050EB">
        <w:rPr>
          <w:rFonts w:ascii="Andes" w:hAnsi="Andes" w:cs="Times New Roman Mäori"/>
          <w:noProof/>
          <w:webHidden/>
          <w:sz w:val="22"/>
          <w:szCs w:val="24"/>
        </w:rPr>
        <w:t>5</w:t>
      </w:r>
    </w:p>
    <w:p w14:paraId="3F7CC5B6" w14:textId="09295B54" w:rsidR="009F2C64" w:rsidRPr="00B1581D" w:rsidRDefault="009F2C64" w:rsidP="001728CB">
      <w:pPr>
        <w:tabs>
          <w:tab w:val="left" w:pos="1260"/>
          <w:tab w:val="right" w:leader="dot" w:pos="9350"/>
        </w:tabs>
        <w:spacing w:before="60" w:after="60" w:line="240" w:lineRule="auto"/>
        <w:ind w:left="1350" w:hanging="1292"/>
        <w:contextualSpacing w:val="0"/>
        <w:jc w:val="left"/>
        <w:rPr>
          <w:rFonts w:ascii="Andes" w:hAnsi="Andes"/>
          <w:noProof/>
          <w:sz w:val="22"/>
          <w:szCs w:val="24"/>
        </w:rPr>
      </w:pPr>
      <w:r w:rsidRPr="00B1581D">
        <w:rPr>
          <w:rFonts w:ascii="Andes" w:hAnsi="Andes" w:cs="Arial"/>
          <w:b/>
          <w:noProof/>
          <w:sz w:val="22"/>
          <w:szCs w:val="22"/>
        </w:rPr>
        <w:t xml:space="preserve">Annexe V.  </w:t>
      </w:r>
      <w:r w:rsidRPr="00B1581D">
        <w:rPr>
          <w:rFonts w:ascii="Andes" w:hAnsi="Andes" w:cs="Arial"/>
          <w:b/>
          <w:noProof/>
          <w:sz w:val="22"/>
          <w:szCs w:val="22"/>
        </w:rPr>
        <w:tab/>
      </w:r>
      <w:r w:rsidR="001728CB">
        <w:rPr>
          <w:rFonts w:ascii="Andes" w:hAnsi="Andes" w:cs="Arial"/>
          <w:b/>
          <w:noProof/>
          <w:sz w:val="22"/>
          <w:szCs w:val="22"/>
        </w:rPr>
        <w:tab/>
      </w:r>
      <w:r w:rsidRPr="00B1581D">
        <w:rPr>
          <w:rFonts w:ascii="Andes" w:hAnsi="Andes" w:cs="Arial"/>
          <w:b/>
          <w:noProof/>
          <w:sz w:val="22"/>
          <w:szCs w:val="22"/>
        </w:rPr>
        <w:t>Stratégie de Passation des Marchés du Projet pour Promouvoir le Développement</w:t>
      </w:r>
      <w:r w:rsidRPr="00B1581D">
        <w:rPr>
          <w:rFonts w:ascii="Andes" w:hAnsi="Andes" w:cs="Times New Roman Mäori"/>
          <w:noProof/>
          <w:webHidden/>
          <w:sz w:val="22"/>
          <w:szCs w:val="24"/>
        </w:rPr>
        <w:tab/>
      </w:r>
      <w:r w:rsidR="002859FD">
        <w:rPr>
          <w:rFonts w:ascii="Andes" w:hAnsi="Andes" w:cs="Times New Roman Mäori"/>
          <w:noProof/>
          <w:webHidden/>
          <w:sz w:val="22"/>
          <w:szCs w:val="24"/>
        </w:rPr>
        <w:t>7</w:t>
      </w:r>
      <w:r w:rsidR="001050EB">
        <w:rPr>
          <w:rFonts w:ascii="Andes" w:hAnsi="Andes" w:cs="Times New Roman Mäori"/>
          <w:noProof/>
          <w:webHidden/>
          <w:sz w:val="22"/>
          <w:szCs w:val="24"/>
        </w:rPr>
        <w:t>8</w:t>
      </w:r>
    </w:p>
    <w:p w14:paraId="30B9A02C" w14:textId="53B7703F" w:rsidR="009F2C64" w:rsidRPr="00B1581D" w:rsidRDefault="009F2C64" w:rsidP="001728CB">
      <w:pPr>
        <w:tabs>
          <w:tab w:val="left" w:pos="1260"/>
          <w:tab w:val="right" w:leader="dot" w:pos="9350"/>
        </w:tabs>
        <w:spacing w:before="60" w:after="60" w:line="240" w:lineRule="auto"/>
        <w:ind w:left="1350" w:hanging="1292"/>
        <w:contextualSpacing w:val="0"/>
        <w:jc w:val="left"/>
        <w:rPr>
          <w:rFonts w:ascii="Andes" w:hAnsi="Andes"/>
          <w:noProof/>
          <w:sz w:val="22"/>
          <w:szCs w:val="24"/>
        </w:rPr>
      </w:pPr>
      <w:r w:rsidRPr="00B1581D">
        <w:rPr>
          <w:rFonts w:ascii="Andes" w:hAnsi="Andes" w:cs="Arial"/>
          <w:b/>
          <w:noProof/>
          <w:sz w:val="22"/>
          <w:szCs w:val="22"/>
        </w:rPr>
        <w:t xml:space="preserve">Annexe VI.  </w:t>
      </w:r>
      <w:r w:rsidRPr="00B1581D">
        <w:rPr>
          <w:rFonts w:ascii="Andes" w:hAnsi="Andes" w:cs="Arial"/>
          <w:b/>
          <w:noProof/>
          <w:sz w:val="22"/>
          <w:szCs w:val="22"/>
        </w:rPr>
        <w:tab/>
      </w:r>
      <w:r w:rsidR="001728CB">
        <w:rPr>
          <w:rFonts w:ascii="Andes" w:hAnsi="Andes" w:cs="Arial"/>
          <w:b/>
          <w:noProof/>
          <w:sz w:val="22"/>
          <w:szCs w:val="22"/>
        </w:rPr>
        <w:tab/>
      </w:r>
      <w:r w:rsidRPr="00B1581D">
        <w:rPr>
          <w:rFonts w:ascii="Andes" w:hAnsi="Andes" w:cs="Arial"/>
          <w:b/>
          <w:noProof/>
          <w:sz w:val="22"/>
          <w:szCs w:val="22"/>
        </w:rPr>
        <w:t>Préférence nationale</w:t>
      </w:r>
      <w:r w:rsidRPr="00B1581D">
        <w:rPr>
          <w:rFonts w:ascii="Andes" w:hAnsi="Andes" w:cs="Times New Roman Mäori"/>
          <w:noProof/>
          <w:webHidden/>
          <w:sz w:val="22"/>
          <w:szCs w:val="24"/>
        </w:rPr>
        <w:tab/>
      </w:r>
      <w:r w:rsidR="00066A4E">
        <w:rPr>
          <w:rFonts w:ascii="Andes" w:hAnsi="Andes" w:cs="Times New Roman Mäori"/>
          <w:noProof/>
          <w:webHidden/>
          <w:sz w:val="22"/>
          <w:szCs w:val="24"/>
        </w:rPr>
        <w:t>8</w:t>
      </w:r>
      <w:r w:rsidR="001050EB">
        <w:rPr>
          <w:rFonts w:ascii="Andes" w:hAnsi="Andes" w:cs="Times New Roman Mäori"/>
          <w:noProof/>
          <w:webHidden/>
          <w:sz w:val="22"/>
          <w:szCs w:val="24"/>
        </w:rPr>
        <w:t>3</w:t>
      </w:r>
    </w:p>
    <w:p w14:paraId="5C4295A5" w14:textId="7494C540" w:rsidR="009F2C64" w:rsidRPr="00B1581D" w:rsidRDefault="009F2C64" w:rsidP="001728CB">
      <w:pPr>
        <w:tabs>
          <w:tab w:val="left" w:pos="1260"/>
          <w:tab w:val="right" w:leader="dot" w:pos="9350"/>
        </w:tabs>
        <w:spacing w:before="60" w:after="60" w:line="240" w:lineRule="auto"/>
        <w:ind w:left="1350" w:hanging="1292"/>
        <w:contextualSpacing w:val="0"/>
        <w:jc w:val="left"/>
        <w:rPr>
          <w:rFonts w:ascii="Andes" w:hAnsi="Andes"/>
          <w:noProof/>
          <w:sz w:val="22"/>
          <w:szCs w:val="24"/>
        </w:rPr>
      </w:pPr>
      <w:r w:rsidRPr="00B1581D">
        <w:rPr>
          <w:rFonts w:ascii="Andes" w:hAnsi="Andes" w:cs="Arial"/>
          <w:b/>
          <w:noProof/>
          <w:sz w:val="22"/>
          <w:szCs w:val="22"/>
        </w:rPr>
        <w:t xml:space="preserve">Annexe VII.  </w:t>
      </w:r>
      <w:r w:rsidR="001728CB">
        <w:rPr>
          <w:rFonts w:ascii="Andes" w:hAnsi="Andes" w:cs="Arial"/>
          <w:b/>
          <w:noProof/>
          <w:sz w:val="22"/>
          <w:szCs w:val="22"/>
        </w:rPr>
        <w:tab/>
      </w:r>
      <w:r w:rsidR="009F7157">
        <w:rPr>
          <w:rFonts w:ascii="Andes" w:hAnsi="Andes" w:cs="Arial"/>
          <w:b/>
          <w:noProof/>
          <w:sz w:val="22"/>
          <w:szCs w:val="22"/>
        </w:rPr>
        <w:tab/>
      </w:r>
      <w:r w:rsidRPr="00B1581D">
        <w:rPr>
          <w:rFonts w:ascii="Andes" w:hAnsi="Andes" w:cs="Arial"/>
          <w:b/>
          <w:noProof/>
          <w:sz w:val="22"/>
          <w:szCs w:val="22"/>
        </w:rPr>
        <w:t xml:space="preserve">Pratiques </w:t>
      </w:r>
      <w:r w:rsidR="007C26B5">
        <w:rPr>
          <w:rFonts w:ascii="Andes" w:hAnsi="Andes" w:cs="Arial"/>
          <w:b/>
          <w:noProof/>
          <w:sz w:val="22"/>
          <w:szCs w:val="22"/>
        </w:rPr>
        <w:t>de passation de marchés</w:t>
      </w:r>
      <w:r w:rsidR="007C26B5" w:rsidRPr="00B1581D">
        <w:rPr>
          <w:rFonts w:ascii="Andes" w:hAnsi="Andes" w:cs="Arial"/>
          <w:b/>
          <w:noProof/>
          <w:sz w:val="22"/>
          <w:szCs w:val="22"/>
        </w:rPr>
        <w:t xml:space="preserve"> </w:t>
      </w:r>
      <w:r w:rsidRPr="00B1581D">
        <w:rPr>
          <w:rFonts w:ascii="Andes" w:hAnsi="Andes" w:cs="Arial"/>
          <w:b/>
          <w:noProof/>
          <w:sz w:val="22"/>
          <w:szCs w:val="22"/>
        </w:rPr>
        <w:t>durables</w:t>
      </w:r>
      <w:r w:rsidRPr="00B1581D">
        <w:rPr>
          <w:rFonts w:ascii="Andes" w:hAnsi="Andes" w:cs="Times New Roman Mäori"/>
          <w:noProof/>
          <w:webHidden/>
          <w:sz w:val="22"/>
          <w:szCs w:val="24"/>
        </w:rPr>
        <w:tab/>
      </w:r>
      <w:r w:rsidR="00066A4E">
        <w:rPr>
          <w:rFonts w:ascii="Andes" w:hAnsi="Andes" w:cs="Times New Roman Mäori"/>
          <w:noProof/>
          <w:webHidden/>
          <w:sz w:val="22"/>
          <w:szCs w:val="24"/>
        </w:rPr>
        <w:t>8</w:t>
      </w:r>
      <w:r w:rsidR="001050EB">
        <w:rPr>
          <w:rFonts w:ascii="Andes" w:hAnsi="Andes" w:cs="Times New Roman Mäori"/>
          <w:noProof/>
          <w:webHidden/>
          <w:sz w:val="22"/>
          <w:szCs w:val="24"/>
        </w:rPr>
        <w:t>7</w:t>
      </w:r>
    </w:p>
    <w:p w14:paraId="0173B6BC" w14:textId="553AE7B3" w:rsidR="009F2C64" w:rsidRPr="00B1581D" w:rsidRDefault="009F2C64" w:rsidP="001728CB">
      <w:pPr>
        <w:tabs>
          <w:tab w:val="left" w:pos="1260"/>
          <w:tab w:val="right" w:leader="dot" w:pos="9350"/>
        </w:tabs>
        <w:spacing w:before="60" w:after="60" w:line="240" w:lineRule="auto"/>
        <w:ind w:left="1350" w:hanging="1292"/>
        <w:contextualSpacing w:val="0"/>
        <w:jc w:val="left"/>
        <w:rPr>
          <w:rFonts w:ascii="Andes" w:hAnsi="Andes"/>
          <w:noProof/>
          <w:sz w:val="22"/>
          <w:szCs w:val="24"/>
        </w:rPr>
      </w:pPr>
      <w:r w:rsidRPr="00B1581D">
        <w:rPr>
          <w:rFonts w:ascii="Andes" w:hAnsi="Andes" w:cs="Arial"/>
          <w:b/>
          <w:noProof/>
          <w:sz w:val="22"/>
          <w:szCs w:val="22"/>
        </w:rPr>
        <w:t xml:space="preserve">Annexe VIII. </w:t>
      </w:r>
      <w:r w:rsidR="00563AD3">
        <w:rPr>
          <w:rFonts w:ascii="Andes" w:hAnsi="Andes" w:cs="Arial"/>
          <w:b/>
          <w:noProof/>
          <w:sz w:val="22"/>
          <w:szCs w:val="22"/>
        </w:rPr>
        <w:tab/>
      </w:r>
      <w:r w:rsidR="00563AD3">
        <w:rPr>
          <w:rFonts w:ascii="Andes" w:hAnsi="Andes" w:cs="Arial"/>
          <w:b/>
          <w:noProof/>
          <w:sz w:val="22"/>
          <w:szCs w:val="22"/>
        </w:rPr>
        <w:tab/>
      </w:r>
      <w:r w:rsidRPr="00B1581D">
        <w:rPr>
          <w:rFonts w:ascii="Andes" w:hAnsi="Andes" w:cs="Arial"/>
          <w:b/>
          <w:noProof/>
          <w:sz w:val="22"/>
          <w:szCs w:val="22"/>
        </w:rPr>
        <w:t>Types de contrat</w:t>
      </w:r>
      <w:r w:rsidRPr="00B1581D">
        <w:rPr>
          <w:rFonts w:ascii="Andes" w:hAnsi="Andes" w:cs="Times New Roman Mäori"/>
          <w:noProof/>
          <w:webHidden/>
          <w:sz w:val="22"/>
          <w:szCs w:val="24"/>
        </w:rPr>
        <w:tab/>
      </w:r>
      <w:r w:rsidR="002859FD">
        <w:rPr>
          <w:rFonts w:ascii="Andes" w:hAnsi="Andes" w:cs="Times New Roman Mäori"/>
          <w:noProof/>
          <w:webHidden/>
          <w:sz w:val="22"/>
          <w:szCs w:val="24"/>
        </w:rPr>
        <w:t>8</w:t>
      </w:r>
      <w:r w:rsidR="001050EB">
        <w:rPr>
          <w:rFonts w:ascii="Andes" w:hAnsi="Andes" w:cs="Times New Roman Mäori"/>
          <w:noProof/>
          <w:webHidden/>
          <w:sz w:val="22"/>
          <w:szCs w:val="24"/>
        </w:rPr>
        <w:t>9</w:t>
      </w:r>
    </w:p>
    <w:p w14:paraId="4F35EAF7" w14:textId="32C75942" w:rsidR="009F2C64" w:rsidRPr="00B1581D" w:rsidRDefault="009F2C64" w:rsidP="001728CB">
      <w:pPr>
        <w:tabs>
          <w:tab w:val="left" w:pos="1260"/>
          <w:tab w:val="right" w:leader="dot" w:pos="9350"/>
        </w:tabs>
        <w:spacing w:before="60" w:after="60" w:line="240" w:lineRule="auto"/>
        <w:ind w:left="1350" w:hanging="1292"/>
        <w:contextualSpacing w:val="0"/>
        <w:jc w:val="left"/>
        <w:rPr>
          <w:rFonts w:ascii="Andes" w:hAnsi="Andes"/>
          <w:noProof/>
          <w:sz w:val="22"/>
          <w:szCs w:val="24"/>
        </w:rPr>
      </w:pPr>
      <w:r w:rsidRPr="00B1581D">
        <w:rPr>
          <w:rFonts w:ascii="Andes" w:hAnsi="Andes" w:cs="Arial"/>
          <w:b/>
          <w:noProof/>
          <w:sz w:val="22"/>
          <w:szCs w:val="22"/>
        </w:rPr>
        <w:t xml:space="preserve">Annexe IX.  </w:t>
      </w:r>
      <w:r w:rsidRPr="00B1581D">
        <w:rPr>
          <w:rFonts w:ascii="Andes" w:hAnsi="Andes" w:cs="Arial"/>
          <w:b/>
          <w:noProof/>
          <w:sz w:val="22"/>
          <w:szCs w:val="22"/>
        </w:rPr>
        <w:tab/>
      </w:r>
      <w:r w:rsidR="001728CB">
        <w:rPr>
          <w:rFonts w:ascii="Andes" w:hAnsi="Andes" w:cs="Arial"/>
          <w:b/>
          <w:noProof/>
          <w:sz w:val="22"/>
          <w:szCs w:val="22"/>
        </w:rPr>
        <w:tab/>
      </w:r>
      <w:r w:rsidRPr="00B1581D">
        <w:rPr>
          <w:rFonts w:ascii="Andes" w:hAnsi="Andes" w:cs="Arial"/>
          <w:b/>
          <w:noProof/>
          <w:sz w:val="22"/>
          <w:szCs w:val="22"/>
        </w:rPr>
        <w:t>Clauses et conditions contractuelles pour les marchés faisant appel à la concurrence internationale</w:t>
      </w:r>
      <w:r w:rsidRPr="00B1581D">
        <w:rPr>
          <w:rFonts w:ascii="Andes" w:hAnsi="Andes" w:cs="Times New Roman Mäori"/>
          <w:noProof/>
          <w:webHidden/>
          <w:sz w:val="22"/>
          <w:szCs w:val="24"/>
        </w:rPr>
        <w:tab/>
      </w:r>
      <w:r w:rsidR="00066A4E">
        <w:rPr>
          <w:rFonts w:ascii="Andes" w:hAnsi="Andes" w:cs="Times New Roman Mäori"/>
          <w:noProof/>
          <w:webHidden/>
          <w:sz w:val="22"/>
          <w:szCs w:val="24"/>
        </w:rPr>
        <w:t>9</w:t>
      </w:r>
      <w:r w:rsidR="001050EB">
        <w:rPr>
          <w:rFonts w:ascii="Andes" w:hAnsi="Andes" w:cs="Times New Roman Mäori"/>
          <w:noProof/>
          <w:webHidden/>
          <w:sz w:val="22"/>
          <w:szCs w:val="24"/>
        </w:rPr>
        <w:t>3</w:t>
      </w:r>
    </w:p>
    <w:p w14:paraId="6283E710" w14:textId="41CE2F18" w:rsidR="009F2C64" w:rsidRPr="00B1581D" w:rsidRDefault="009F2C64" w:rsidP="001728CB">
      <w:pPr>
        <w:tabs>
          <w:tab w:val="left" w:pos="1260"/>
          <w:tab w:val="right" w:leader="dot" w:pos="9350"/>
        </w:tabs>
        <w:spacing w:before="60" w:after="60" w:line="240" w:lineRule="auto"/>
        <w:ind w:left="1350" w:hanging="1292"/>
        <w:contextualSpacing w:val="0"/>
        <w:jc w:val="left"/>
        <w:rPr>
          <w:rFonts w:ascii="Andes" w:hAnsi="Andes"/>
          <w:noProof/>
          <w:sz w:val="22"/>
          <w:szCs w:val="24"/>
        </w:rPr>
      </w:pPr>
      <w:r w:rsidRPr="00B1581D">
        <w:rPr>
          <w:rFonts w:ascii="Andes" w:hAnsi="Andes" w:cs="Arial"/>
          <w:b/>
          <w:noProof/>
          <w:sz w:val="22"/>
          <w:szCs w:val="22"/>
        </w:rPr>
        <w:t xml:space="preserve">Annexe X.  </w:t>
      </w:r>
      <w:r w:rsidRPr="00B1581D">
        <w:rPr>
          <w:rFonts w:ascii="Andes" w:hAnsi="Andes" w:cs="Arial"/>
          <w:b/>
          <w:noProof/>
          <w:sz w:val="22"/>
          <w:szCs w:val="22"/>
        </w:rPr>
        <w:tab/>
      </w:r>
      <w:r w:rsidR="001728CB">
        <w:rPr>
          <w:rFonts w:ascii="Andes" w:hAnsi="Andes" w:cs="Arial"/>
          <w:b/>
          <w:noProof/>
          <w:sz w:val="22"/>
          <w:szCs w:val="22"/>
        </w:rPr>
        <w:tab/>
      </w:r>
      <w:r w:rsidRPr="00B1581D">
        <w:rPr>
          <w:rFonts w:ascii="Andes" w:hAnsi="Andes" w:cs="Arial"/>
          <w:b/>
          <w:noProof/>
          <w:sz w:val="22"/>
          <w:szCs w:val="22"/>
        </w:rPr>
        <w:t>Critères d’évaluation</w:t>
      </w:r>
      <w:r w:rsidRPr="00B1581D">
        <w:rPr>
          <w:rFonts w:ascii="Andes" w:hAnsi="Andes" w:cs="Times New Roman Mäori"/>
          <w:noProof/>
          <w:webHidden/>
          <w:sz w:val="22"/>
          <w:szCs w:val="24"/>
        </w:rPr>
        <w:tab/>
      </w:r>
      <w:r w:rsidR="00066A4E">
        <w:rPr>
          <w:rFonts w:ascii="Andes" w:hAnsi="Andes" w:cs="Times New Roman Mäori"/>
          <w:noProof/>
          <w:webHidden/>
          <w:sz w:val="22"/>
          <w:szCs w:val="24"/>
        </w:rPr>
        <w:t>9</w:t>
      </w:r>
      <w:r w:rsidR="001050EB">
        <w:rPr>
          <w:rFonts w:ascii="Andes" w:hAnsi="Andes" w:cs="Times New Roman Mäori"/>
          <w:noProof/>
          <w:webHidden/>
          <w:sz w:val="22"/>
          <w:szCs w:val="24"/>
        </w:rPr>
        <w:t>9</w:t>
      </w:r>
    </w:p>
    <w:p w14:paraId="7944343D" w14:textId="5486BD2A" w:rsidR="009F2C64" w:rsidRPr="00B1581D" w:rsidRDefault="009F2C64" w:rsidP="001728CB">
      <w:pPr>
        <w:tabs>
          <w:tab w:val="left" w:pos="1260"/>
          <w:tab w:val="right" w:leader="dot" w:pos="9350"/>
        </w:tabs>
        <w:spacing w:before="60" w:after="60" w:line="240" w:lineRule="auto"/>
        <w:ind w:left="1350" w:hanging="1292"/>
        <w:contextualSpacing w:val="0"/>
        <w:jc w:val="left"/>
        <w:rPr>
          <w:rFonts w:ascii="Andes" w:hAnsi="Andes"/>
          <w:noProof/>
          <w:sz w:val="22"/>
          <w:szCs w:val="24"/>
        </w:rPr>
      </w:pPr>
      <w:r w:rsidRPr="00B1581D">
        <w:rPr>
          <w:rFonts w:ascii="Andes" w:hAnsi="Andes" w:cs="Arial"/>
          <w:b/>
          <w:noProof/>
          <w:sz w:val="22"/>
          <w:szCs w:val="22"/>
        </w:rPr>
        <w:t xml:space="preserve">Annexe XI.  </w:t>
      </w:r>
      <w:r w:rsidRPr="00B1581D">
        <w:rPr>
          <w:rFonts w:ascii="Andes" w:hAnsi="Andes" w:cs="Arial"/>
          <w:b/>
          <w:noProof/>
          <w:sz w:val="22"/>
          <w:szCs w:val="22"/>
        </w:rPr>
        <w:tab/>
      </w:r>
      <w:r w:rsidR="001728CB">
        <w:rPr>
          <w:rFonts w:ascii="Andes" w:hAnsi="Andes" w:cs="Arial"/>
          <w:b/>
          <w:noProof/>
          <w:sz w:val="22"/>
          <w:szCs w:val="22"/>
        </w:rPr>
        <w:tab/>
      </w:r>
      <w:r w:rsidRPr="00B1581D">
        <w:rPr>
          <w:rFonts w:ascii="Andes" w:hAnsi="Andes" w:cs="Arial"/>
          <w:b/>
          <w:noProof/>
          <w:sz w:val="22"/>
          <w:szCs w:val="22"/>
        </w:rPr>
        <w:t>Gestion des marchés et contrats</w:t>
      </w:r>
      <w:r w:rsidRPr="00B1581D">
        <w:rPr>
          <w:rFonts w:ascii="Andes" w:hAnsi="Andes" w:cs="Times New Roman Mäori"/>
          <w:noProof/>
          <w:webHidden/>
          <w:sz w:val="22"/>
          <w:szCs w:val="24"/>
        </w:rPr>
        <w:tab/>
      </w:r>
      <w:r w:rsidR="00066A4E">
        <w:rPr>
          <w:rFonts w:ascii="Andes" w:hAnsi="Andes" w:cs="Times New Roman Mäori"/>
          <w:noProof/>
          <w:webHidden/>
          <w:sz w:val="22"/>
          <w:szCs w:val="24"/>
        </w:rPr>
        <w:t>10</w:t>
      </w:r>
      <w:r w:rsidR="001050EB">
        <w:rPr>
          <w:rFonts w:ascii="Andes" w:hAnsi="Andes" w:cs="Times New Roman Mäori"/>
          <w:noProof/>
          <w:webHidden/>
          <w:sz w:val="22"/>
          <w:szCs w:val="24"/>
        </w:rPr>
        <w:t>5</w:t>
      </w:r>
    </w:p>
    <w:p w14:paraId="489509C9" w14:textId="4A1E1FDC" w:rsidR="009F2C64" w:rsidRPr="00B1581D" w:rsidRDefault="009F2C64" w:rsidP="001728CB">
      <w:pPr>
        <w:tabs>
          <w:tab w:val="left" w:pos="1260"/>
          <w:tab w:val="right" w:leader="dot" w:pos="9350"/>
        </w:tabs>
        <w:spacing w:before="60" w:after="60" w:line="240" w:lineRule="auto"/>
        <w:ind w:left="1350" w:hanging="1292"/>
        <w:contextualSpacing w:val="0"/>
        <w:jc w:val="left"/>
        <w:rPr>
          <w:rFonts w:ascii="Andes" w:hAnsi="Andes"/>
          <w:noProof/>
          <w:sz w:val="22"/>
          <w:szCs w:val="24"/>
        </w:rPr>
      </w:pPr>
      <w:r w:rsidRPr="00B1581D">
        <w:rPr>
          <w:rFonts w:ascii="Andes" w:hAnsi="Andes" w:cs="Arial"/>
          <w:b/>
          <w:noProof/>
          <w:sz w:val="22"/>
          <w:szCs w:val="22"/>
        </w:rPr>
        <w:t xml:space="preserve">Annexe XII.  </w:t>
      </w:r>
      <w:r w:rsidR="001728CB">
        <w:rPr>
          <w:rFonts w:ascii="Andes" w:hAnsi="Andes" w:cs="Arial"/>
          <w:b/>
          <w:noProof/>
          <w:sz w:val="22"/>
          <w:szCs w:val="22"/>
        </w:rPr>
        <w:tab/>
      </w:r>
      <w:r w:rsidR="00563AD3">
        <w:rPr>
          <w:rFonts w:ascii="Andes" w:hAnsi="Andes" w:cs="Arial"/>
          <w:b/>
          <w:noProof/>
          <w:sz w:val="22"/>
          <w:szCs w:val="22"/>
        </w:rPr>
        <w:tab/>
      </w:r>
      <w:r w:rsidRPr="00B1581D">
        <w:rPr>
          <w:rFonts w:ascii="Andes" w:hAnsi="Andes" w:cs="Arial"/>
          <w:b/>
          <w:noProof/>
          <w:sz w:val="22"/>
          <w:szCs w:val="22"/>
        </w:rPr>
        <w:t>Méthodes de sélection</w:t>
      </w:r>
      <w:r w:rsidRPr="00B1581D">
        <w:rPr>
          <w:rFonts w:ascii="Andes" w:hAnsi="Andes" w:cs="Times New Roman Mäori"/>
          <w:noProof/>
          <w:webHidden/>
          <w:sz w:val="22"/>
          <w:szCs w:val="24"/>
        </w:rPr>
        <w:tab/>
      </w:r>
      <w:r w:rsidR="00066A4E">
        <w:rPr>
          <w:rFonts w:ascii="Andes" w:hAnsi="Andes" w:cs="Times New Roman Mäori"/>
          <w:noProof/>
          <w:webHidden/>
          <w:sz w:val="22"/>
          <w:szCs w:val="24"/>
        </w:rPr>
        <w:t>10</w:t>
      </w:r>
      <w:r w:rsidR="001050EB">
        <w:rPr>
          <w:rFonts w:ascii="Andes" w:hAnsi="Andes" w:cs="Times New Roman Mäori"/>
          <w:noProof/>
          <w:webHidden/>
          <w:sz w:val="22"/>
          <w:szCs w:val="24"/>
        </w:rPr>
        <w:t>7</w:t>
      </w:r>
    </w:p>
    <w:p w14:paraId="18A54727" w14:textId="1B7C4478" w:rsidR="009F2C64" w:rsidRPr="00B1581D" w:rsidRDefault="009F2C64" w:rsidP="001728CB">
      <w:pPr>
        <w:tabs>
          <w:tab w:val="left" w:pos="1260"/>
          <w:tab w:val="right" w:leader="dot" w:pos="9350"/>
        </w:tabs>
        <w:spacing w:before="60" w:after="60" w:line="240" w:lineRule="auto"/>
        <w:ind w:left="1350" w:hanging="1292"/>
        <w:contextualSpacing w:val="0"/>
        <w:jc w:val="left"/>
        <w:rPr>
          <w:rFonts w:ascii="Andes" w:hAnsi="Andes" w:cs="Times New Roman Mäori"/>
          <w:noProof/>
          <w:color w:val="000000"/>
          <w:sz w:val="22"/>
          <w:szCs w:val="22"/>
        </w:rPr>
      </w:pPr>
      <w:r w:rsidRPr="00B1581D">
        <w:rPr>
          <w:rFonts w:ascii="Andes" w:hAnsi="Andes" w:cs="Arial"/>
          <w:b/>
          <w:noProof/>
          <w:sz w:val="22"/>
          <w:szCs w:val="22"/>
        </w:rPr>
        <w:t xml:space="preserve">Annexe XIII.  Dialogue </w:t>
      </w:r>
      <w:r w:rsidR="00A91660">
        <w:rPr>
          <w:rFonts w:ascii="Andes" w:hAnsi="Andes" w:cs="Arial"/>
          <w:b/>
          <w:noProof/>
          <w:sz w:val="22"/>
          <w:szCs w:val="22"/>
        </w:rPr>
        <w:t>compétitif</w:t>
      </w:r>
      <w:r w:rsidRPr="00B1581D">
        <w:rPr>
          <w:rFonts w:ascii="Andes" w:hAnsi="Andes" w:cs="Times New Roman Mäori"/>
          <w:noProof/>
          <w:webHidden/>
          <w:sz w:val="22"/>
          <w:szCs w:val="24"/>
        </w:rPr>
        <w:tab/>
        <w:t>1</w:t>
      </w:r>
      <w:r w:rsidR="00066A4E">
        <w:rPr>
          <w:rFonts w:ascii="Andes" w:hAnsi="Andes" w:cs="Times New Roman Mäori"/>
          <w:noProof/>
          <w:webHidden/>
          <w:sz w:val="22"/>
          <w:szCs w:val="24"/>
        </w:rPr>
        <w:t>2</w:t>
      </w:r>
      <w:r w:rsidR="001050EB">
        <w:rPr>
          <w:rFonts w:ascii="Andes" w:hAnsi="Andes" w:cs="Times New Roman Mäori"/>
          <w:noProof/>
          <w:webHidden/>
          <w:sz w:val="22"/>
          <w:szCs w:val="24"/>
        </w:rPr>
        <w:t>7</w:t>
      </w:r>
    </w:p>
    <w:p w14:paraId="17A7628F" w14:textId="1486BD99" w:rsidR="009F2C64" w:rsidRPr="00B1581D" w:rsidRDefault="009F2C64" w:rsidP="001728CB">
      <w:pPr>
        <w:tabs>
          <w:tab w:val="left" w:pos="1260"/>
          <w:tab w:val="right" w:leader="dot" w:pos="9350"/>
        </w:tabs>
        <w:spacing w:before="60" w:after="60" w:line="240" w:lineRule="auto"/>
        <w:ind w:left="1350" w:hanging="1292"/>
        <w:contextualSpacing w:val="0"/>
        <w:jc w:val="left"/>
        <w:rPr>
          <w:rFonts w:ascii="Andes" w:hAnsi="Andes"/>
          <w:noProof/>
          <w:sz w:val="22"/>
          <w:szCs w:val="24"/>
        </w:rPr>
      </w:pPr>
      <w:r w:rsidRPr="00B1581D">
        <w:rPr>
          <w:rFonts w:ascii="Andes" w:hAnsi="Andes" w:cs="Arial"/>
          <w:b/>
          <w:noProof/>
          <w:sz w:val="22"/>
          <w:szCs w:val="22"/>
        </w:rPr>
        <w:lastRenderedPageBreak/>
        <w:t>Annexe XIV.  Partenariats Public-Privé</w:t>
      </w:r>
      <w:r w:rsidRPr="00B1581D">
        <w:rPr>
          <w:rFonts w:ascii="Andes" w:hAnsi="Andes" w:cs="Times New Roman Mäori"/>
          <w:noProof/>
          <w:webHidden/>
          <w:sz w:val="22"/>
          <w:szCs w:val="24"/>
        </w:rPr>
        <w:tab/>
        <w:t>1</w:t>
      </w:r>
      <w:r w:rsidR="00D91B77">
        <w:rPr>
          <w:rFonts w:ascii="Andes" w:hAnsi="Andes" w:cs="Times New Roman Mäori"/>
          <w:noProof/>
          <w:webHidden/>
          <w:sz w:val="22"/>
          <w:szCs w:val="24"/>
        </w:rPr>
        <w:t>3</w:t>
      </w:r>
      <w:r w:rsidR="001050EB">
        <w:rPr>
          <w:rFonts w:ascii="Andes" w:hAnsi="Andes" w:cs="Times New Roman Mäori"/>
          <w:noProof/>
          <w:webHidden/>
          <w:sz w:val="22"/>
          <w:szCs w:val="24"/>
        </w:rPr>
        <w:t>3</w:t>
      </w:r>
    </w:p>
    <w:p w14:paraId="0B7CD50E" w14:textId="5D75F962" w:rsidR="009F2C64" w:rsidRPr="00DD76FF" w:rsidRDefault="009F2C64" w:rsidP="001728CB">
      <w:pPr>
        <w:tabs>
          <w:tab w:val="left" w:pos="1260"/>
          <w:tab w:val="right" w:leader="dot" w:pos="9350"/>
        </w:tabs>
        <w:spacing w:before="60" w:after="60" w:line="240" w:lineRule="auto"/>
        <w:ind w:left="1350" w:hanging="1292"/>
        <w:contextualSpacing w:val="0"/>
        <w:jc w:val="left"/>
        <w:rPr>
          <w:rFonts w:ascii="Andes" w:hAnsi="Andes" w:cs="Arial"/>
        </w:rPr>
        <w:sectPr w:rsidR="009F2C64" w:rsidRPr="00DD76FF" w:rsidSect="0030458B">
          <w:headerReference w:type="default" r:id="rId15"/>
          <w:footnotePr>
            <w:numRestart w:val="eachSect"/>
          </w:footnotePr>
          <w:pgSz w:w="12240" w:h="15840"/>
          <w:pgMar w:top="1872" w:right="1440" w:bottom="1440" w:left="1440" w:header="720" w:footer="720" w:gutter="0"/>
          <w:pgNumType w:fmt="lowerRoman" w:start="1"/>
          <w:cols w:space="720"/>
          <w:docGrid w:linePitch="360"/>
        </w:sectPr>
      </w:pPr>
      <w:r w:rsidRPr="00B1581D">
        <w:rPr>
          <w:rFonts w:ascii="Andes" w:hAnsi="Andes" w:cs="Arial"/>
          <w:b/>
          <w:noProof/>
          <w:sz w:val="22"/>
          <w:szCs w:val="22"/>
        </w:rPr>
        <w:t xml:space="preserve">Annexe XV.  </w:t>
      </w:r>
      <w:r w:rsidR="001728CB">
        <w:rPr>
          <w:rFonts w:ascii="Andes" w:hAnsi="Andes" w:cs="Arial"/>
          <w:b/>
          <w:noProof/>
          <w:sz w:val="22"/>
          <w:szCs w:val="22"/>
        </w:rPr>
        <w:tab/>
      </w:r>
      <w:r w:rsidRPr="00DD76FF">
        <w:rPr>
          <w:rFonts w:ascii="Andes" w:hAnsi="Andes" w:cs="Arial"/>
          <w:b/>
          <w:noProof/>
          <w:sz w:val="22"/>
          <w:szCs w:val="22"/>
        </w:rPr>
        <w:t>Accords cadres</w:t>
      </w:r>
      <w:r w:rsidRPr="00DD76FF">
        <w:rPr>
          <w:rFonts w:ascii="Andes" w:hAnsi="Andes" w:cs="Times New Roman Mäori"/>
          <w:noProof/>
          <w:webHidden/>
          <w:sz w:val="22"/>
          <w:szCs w:val="24"/>
        </w:rPr>
        <w:tab/>
        <w:t>1</w:t>
      </w:r>
      <w:r w:rsidR="00D91B77">
        <w:rPr>
          <w:rFonts w:ascii="Andes" w:hAnsi="Andes" w:cs="Times New Roman Mäori"/>
          <w:noProof/>
          <w:webHidden/>
          <w:sz w:val="22"/>
          <w:szCs w:val="24"/>
        </w:rPr>
        <w:t>3</w:t>
      </w:r>
      <w:r w:rsidR="001050EB">
        <w:rPr>
          <w:rFonts w:ascii="Andes" w:hAnsi="Andes" w:cs="Times New Roman Mäori"/>
          <w:noProof/>
          <w:webHidden/>
          <w:sz w:val="22"/>
          <w:szCs w:val="24"/>
        </w:rPr>
        <w:t>7</w:t>
      </w:r>
    </w:p>
    <w:p w14:paraId="25AF6943" w14:textId="77777777" w:rsidR="008A7725" w:rsidRPr="00DD76FF" w:rsidRDefault="008A7725" w:rsidP="008A7725">
      <w:pPr>
        <w:pStyle w:val="REGsH1"/>
      </w:pPr>
      <w:r>
        <w:rPr>
          <w:rFonts w:cs="Microsoft Sans Serif"/>
          <w:noProof/>
          <w:color w:val="002060"/>
          <w:lang w:val="en-US"/>
        </w:rPr>
        <w:lastRenderedPageBreak/>
        <mc:AlternateContent>
          <mc:Choice Requires="wps">
            <w:drawing>
              <wp:anchor distT="0" distB="0" distL="114300" distR="114300" simplePos="0" relativeHeight="251687936" behindDoc="0" locked="0" layoutInCell="1" allowOverlap="1" wp14:anchorId="60CB5A97" wp14:editId="59C49B90">
                <wp:simplePos x="0" y="0"/>
                <wp:positionH relativeFrom="page">
                  <wp:posOffset>-14605</wp:posOffset>
                </wp:positionH>
                <wp:positionV relativeFrom="paragraph">
                  <wp:posOffset>-1180160</wp:posOffset>
                </wp:positionV>
                <wp:extent cx="8082915" cy="1379855"/>
                <wp:effectExtent l="0" t="0" r="0" b="0"/>
                <wp:wrapNone/>
                <wp:docPr id="94" name="Rectangle 94"/>
                <wp:cNvGraphicFramePr/>
                <a:graphic xmlns:a="http://schemas.openxmlformats.org/drawingml/2006/main">
                  <a:graphicData uri="http://schemas.microsoft.com/office/word/2010/wordprocessingShape">
                    <wps:wsp>
                      <wps:cNvSpPr/>
                      <wps:spPr>
                        <a:xfrm>
                          <a:off x="0" y="0"/>
                          <a:ext cx="8082915" cy="1379855"/>
                        </a:xfrm>
                        <a:prstGeom prst="rect">
                          <a:avLst/>
                        </a:prstGeom>
                        <a:solidFill>
                          <a:srgbClr val="002060"/>
                        </a:solidFill>
                        <a:ln w="12700" cap="flat" cmpd="sng" algn="ctr">
                          <a:noFill/>
                          <a:prstDash val="solid"/>
                          <a:miter lim="800000"/>
                        </a:ln>
                        <a:effectLst/>
                      </wps:spPr>
                      <wps:txbx>
                        <w:txbxContent>
                          <w:p w14:paraId="503CCB20" w14:textId="77777777" w:rsidR="00A41794" w:rsidRPr="00D015B0" w:rsidRDefault="00A41794" w:rsidP="008A7725">
                            <w:pPr>
                              <w:ind w:left="3150" w:hanging="1890"/>
                              <w:rPr>
                                <w:rFonts w:ascii="Andes" w:hAnsi="Andes"/>
                                <w:sz w:val="44"/>
                                <w:szCs w:val="44"/>
                              </w:rPr>
                            </w:pPr>
                            <w:r>
                              <w:rPr>
                                <w:rFonts w:ascii="Andes" w:hAnsi="Andes"/>
                                <w:sz w:val="44"/>
                              </w:rPr>
                              <w:t>Section I.</w:t>
                            </w:r>
                            <w:r>
                              <w:tab/>
                            </w:r>
                            <w:r>
                              <w:rPr>
                                <w:rFonts w:ascii="Andes" w:hAnsi="Andes"/>
                                <w:sz w:val="44"/>
                              </w:rPr>
                              <w:t>Introduction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60CB5A97" id="Rectangle 94" o:spid="_x0000_s1030" style="position:absolute;margin-left:-1.15pt;margin-top:-92.95pt;width:636.45pt;height:108.65pt;z-index:2516879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" fillcolor="#002060" stroked="f" strokeweight="1pt">
                <v:textbox>
                  <w:txbxContent>
                    <w:p w14:paraId="503CCB20" w14:textId="77777777" w:rsidR="00A41794" w:rsidRPr="00D015B0" w:rsidRDefault="00A41794" w:rsidP="008A7725">
                      <w:pPr>
                        <w:ind w:left="3150" w:hanging="1890"/>
                        <w:rPr>
                          <w:rFonts w:ascii="Andes" w:hAnsi="Andes"/>
                          <w:sz w:val="44"/>
                          <w:szCs w:val="44"/>
                        </w:rPr>
                      </w:pPr>
                      <w:r>
                        <w:rPr>
                          <w:rFonts w:ascii="Andes" w:hAnsi="Andes"/>
                          <w:sz w:val="44"/>
                        </w:rPr>
                        <w:t>Section I.</w:t>
                      </w:r>
                      <w:r>
                        <w:tab/>
                      </w:r>
                      <w:r>
                        <w:rPr>
                          <w:rFonts w:ascii="Andes" w:hAnsi="Andes"/>
                          <w:sz w:val="44"/>
                        </w:rPr>
                        <w:t>Introduction</w:t>
                      </w:r>
                    </w:p>
                  </w:txbxContent>
                </v:textbox>
                <w10:wrap anchorx="page"/>
              </v:rect>
            </w:pict>
          </mc:Fallback>
        </mc:AlternateContent>
      </w:r>
      <w:r w:rsidRPr="00DD76FF">
        <w:t>Section I.  Introduction</w:t>
      </w:r>
    </w:p>
    <w:p w14:paraId="5565ED9B" w14:textId="77777777" w:rsidR="008A7725" w:rsidRPr="00DD76FF" w:rsidRDefault="008A7725" w:rsidP="008A7725">
      <w:pPr>
        <w:pStyle w:val="Paragraphedeliste"/>
        <w:spacing w:before="0" w:after="200" w:line="240" w:lineRule="auto"/>
        <w:ind w:left="720"/>
        <w:contextualSpacing w:val="0"/>
        <w:rPr>
          <w:rFonts w:ascii="Andes" w:hAnsi="Andes" w:cs="Arial"/>
          <w:sz w:val="22"/>
          <w:szCs w:val="22"/>
        </w:rPr>
      </w:pPr>
    </w:p>
    <w:p w14:paraId="425941FA" w14:textId="4DC22221" w:rsidR="008A7725" w:rsidRPr="00B1581D" w:rsidRDefault="008A7725" w:rsidP="008A7725">
      <w:pPr>
        <w:pStyle w:val="Paragraphedeliste"/>
        <w:numPr>
          <w:ilvl w:val="0"/>
          <w:numId w:val="136"/>
        </w:numPr>
        <w:spacing w:before="0" w:after="200" w:line="240" w:lineRule="auto"/>
        <w:ind w:hanging="720"/>
        <w:contextualSpacing w:val="0"/>
        <w:rPr>
          <w:rFonts w:ascii="Andes" w:hAnsi="Andes" w:cs="Arial"/>
          <w:sz w:val="22"/>
          <w:szCs w:val="22"/>
        </w:rPr>
      </w:pPr>
      <w:r w:rsidRPr="00B1581D">
        <w:rPr>
          <w:rFonts w:ascii="Andes" w:hAnsi="Andes"/>
          <w:sz w:val="22"/>
        </w:rPr>
        <w:t xml:space="preserve">La passation des marchés dans les opérations de Financement de Projets d’Investissement (FPI) aide les Emprunteurs à optimiser </w:t>
      </w:r>
      <w:r w:rsidR="007C26B5">
        <w:rPr>
          <w:rFonts w:ascii="Andes" w:hAnsi="Andes"/>
          <w:sz w:val="22"/>
        </w:rPr>
        <w:t>l</w:t>
      </w:r>
      <w:r w:rsidRPr="00B1581D">
        <w:rPr>
          <w:rFonts w:ascii="Andes" w:hAnsi="Andes"/>
          <w:sz w:val="22"/>
        </w:rPr>
        <w:t xml:space="preserve">es ressources avec intégrité, dans la promotion du développement durable.  </w:t>
      </w:r>
    </w:p>
    <w:p w14:paraId="7544F885" w14:textId="2ABE09A4" w:rsidR="008A7725" w:rsidRPr="00B1581D" w:rsidRDefault="00D80314" w:rsidP="008A7725">
      <w:pPr>
        <w:pStyle w:val="Paragraphedeliste"/>
        <w:numPr>
          <w:ilvl w:val="0"/>
          <w:numId w:val="136"/>
        </w:numPr>
        <w:spacing w:before="0" w:after="200" w:line="240" w:lineRule="auto"/>
        <w:ind w:hanging="720"/>
        <w:contextualSpacing w:val="0"/>
        <w:rPr>
          <w:rFonts w:ascii="Andes" w:hAnsi="Andes" w:cs="Arial"/>
          <w:sz w:val="22"/>
          <w:szCs w:val="22"/>
        </w:rPr>
      </w:pPr>
      <w:r>
        <w:rPr>
          <w:rFonts w:ascii="Andes" w:hAnsi="Andes"/>
          <w:sz w:val="22"/>
        </w:rPr>
        <w:t>L</w:t>
      </w:r>
      <w:r w:rsidR="008A7725" w:rsidRPr="00B1581D">
        <w:rPr>
          <w:rFonts w:ascii="Andes" w:hAnsi="Andes"/>
          <w:sz w:val="22"/>
        </w:rPr>
        <w:t>a Banque</w:t>
      </w:r>
      <w:r>
        <w:rPr>
          <w:rFonts w:ascii="Andes" w:hAnsi="Andes"/>
          <w:sz w:val="22"/>
        </w:rPr>
        <w:t xml:space="preserve"> est tenue par</w:t>
      </w:r>
      <w:r w:rsidR="008A7725" w:rsidRPr="00B1581D">
        <w:rPr>
          <w:rFonts w:ascii="Andes" w:hAnsi="Andes"/>
          <w:sz w:val="22"/>
        </w:rPr>
        <w:t xml:space="preserve"> </w:t>
      </w:r>
      <w:r w:rsidRPr="00B1581D">
        <w:rPr>
          <w:rFonts w:ascii="Andes" w:hAnsi="Andes"/>
          <w:sz w:val="22"/>
        </w:rPr>
        <w:t>ses Statuts</w:t>
      </w:r>
      <w:r>
        <w:rPr>
          <w:rFonts w:ascii="Andes" w:hAnsi="Andes"/>
          <w:sz w:val="22"/>
        </w:rPr>
        <w:t>, de</w:t>
      </w:r>
      <w:r w:rsidRPr="00B1581D">
        <w:rPr>
          <w:rFonts w:ascii="Andes" w:hAnsi="Andes"/>
          <w:sz w:val="22"/>
        </w:rPr>
        <w:t xml:space="preserve"> </w:t>
      </w:r>
      <w:r w:rsidR="008A7725" w:rsidRPr="00B1581D">
        <w:rPr>
          <w:rFonts w:ascii="Andes" w:hAnsi="Andes"/>
          <w:sz w:val="22"/>
        </w:rPr>
        <w:t>« prendr</w:t>
      </w:r>
      <w:r>
        <w:rPr>
          <w:rFonts w:ascii="Andes" w:hAnsi="Andes"/>
          <w:sz w:val="22"/>
        </w:rPr>
        <w:t>e</w:t>
      </w:r>
      <w:r w:rsidR="008A7725" w:rsidRPr="00B1581D">
        <w:rPr>
          <w:rFonts w:ascii="Andes" w:hAnsi="Andes"/>
          <w:sz w:val="22"/>
        </w:rPr>
        <w:t xml:space="preserve"> </w:t>
      </w:r>
      <w:r w:rsidR="00E202D6">
        <w:rPr>
          <w:rFonts w:ascii="Andes" w:hAnsi="Andes"/>
          <w:sz w:val="22"/>
        </w:rPr>
        <w:t>l</w:t>
      </w:r>
      <w:r w:rsidR="008A7725" w:rsidRPr="00B1581D">
        <w:rPr>
          <w:rFonts w:ascii="Andes" w:hAnsi="Andes"/>
          <w:sz w:val="22"/>
        </w:rPr>
        <w:t>es dispositions</w:t>
      </w:r>
      <w:r>
        <w:rPr>
          <w:rFonts w:ascii="Andes" w:hAnsi="Andes"/>
          <w:sz w:val="22"/>
        </w:rPr>
        <w:t xml:space="preserve"> pour assurer</w:t>
      </w:r>
      <w:r w:rsidR="008A7725" w:rsidRPr="00B1581D">
        <w:rPr>
          <w:rFonts w:ascii="Andes" w:hAnsi="Andes"/>
          <w:sz w:val="22"/>
        </w:rPr>
        <w:t xml:space="preserve"> que les sommes provenant de </w:t>
      </w:r>
      <w:r>
        <w:rPr>
          <w:rFonts w:ascii="Andes" w:hAnsi="Andes"/>
          <w:sz w:val="22"/>
        </w:rPr>
        <w:t>tout</w:t>
      </w:r>
      <w:r w:rsidR="008A7725" w:rsidRPr="00B1581D">
        <w:rPr>
          <w:rFonts w:ascii="Andes" w:hAnsi="Andes"/>
          <w:sz w:val="22"/>
        </w:rPr>
        <w:t xml:space="preserve"> prêt soient consacrées exclusivement aux objets pour lesquels </w:t>
      </w:r>
      <w:r w:rsidR="0029763E">
        <w:rPr>
          <w:rFonts w:ascii="Andes" w:hAnsi="Andes"/>
          <w:sz w:val="22"/>
        </w:rPr>
        <w:t>le prêt a</w:t>
      </w:r>
      <w:r w:rsidR="008A7725" w:rsidRPr="00B1581D">
        <w:rPr>
          <w:rFonts w:ascii="Andes" w:hAnsi="Andes"/>
          <w:sz w:val="22"/>
        </w:rPr>
        <w:t xml:space="preserve"> été accordé, </w:t>
      </w:r>
      <w:r w:rsidR="00A91660">
        <w:rPr>
          <w:rFonts w:ascii="Andes" w:hAnsi="Andes"/>
          <w:sz w:val="22"/>
        </w:rPr>
        <w:t xml:space="preserve">en tenant </w:t>
      </w:r>
      <w:r w:rsidR="008A7725" w:rsidRPr="00B1581D">
        <w:rPr>
          <w:rFonts w:ascii="Andes" w:hAnsi="Andes"/>
          <w:sz w:val="22"/>
        </w:rPr>
        <w:t xml:space="preserve">dûment </w:t>
      </w:r>
      <w:r w:rsidR="00A91660">
        <w:rPr>
          <w:rFonts w:ascii="Andes" w:hAnsi="Andes"/>
          <w:sz w:val="22"/>
        </w:rPr>
        <w:t>compte</w:t>
      </w:r>
      <w:r w:rsidR="00A91660" w:rsidRPr="00B1581D">
        <w:rPr>
          <w:rFonts w:ascii="Andes" w:hAnsi="Andes"/>
          <w:sz w:val="22"/>
        </w:rPr>
        <w:t xml:space="preserve"> </w:t>
      </w:r>
      <w:r w:rsidR="008A7725" w:rsidRPr="00B1581D">
        <w:rPr>
          <w:rFonts w:ascii="Andes" w:hAnsi="Andes"/>
          <w:sz w:val="22"/>
        </w:rPr>
        <w:t>des considérations d’économie, de rendement, et sans laisser intervenir des influences ou considérations politiques ou extra-économiques ». Conformément à cette exigence et à d’autres règles applicables de la Banque, la Banque a adopté le Règlement de Passation des Marchés pour les Emprunteur</w:t>
      </w:r>
      <w:r w:rsidR="0029763E">
        <w:rPr>
          <w:rFonts w:ascii="Andes" w:hAnsi="Andes"/>
          <w:sz w:val="22"/>
        </w:rPr>
        <w:t>s</w:t>
      </w:r>
      <w:r w:rsidR="008A7725" w:rsidRPr="00B1581D">
        <w:rPr>
          <w:rFonts w:ascii="Andes" w:hAnsi="Andes"/>
          <w:sz w:val="22"/>
        </w:rPr>
        <w:t xml:space="preserve"> sollicitant </w:t>
      </w:r>
      <w:r w:rsidRPr="00B1581D">
        <w:rPr>
          <w:rFonts w:ascii="Andes" w:hAnsi="Andes"/>
          <w:sz w:val="22"/>
        </w:rPr>
        <w:t xml:space="preserve">de la Banque mondiale </w:t>
      </w:r>
      <w:r w:rsidR="008A7725" w:rsidRPr="00B1581D">
        <w:rPr>
          <w:rFonts w:ascii="Andes" w:hAnsi="Andes"/>
          <w:sz w:val="22"/>
        </w:rPr>
        <w:t>un FPI (</w:t>
      </w:r>
      <w:r w:rsidR="00A91660">
        <w:rPr>
          <w:rFonts w:ascii="Andes" w:hAnsi="Andes"/>
          <w:sz w:val="22"/>
        </w:rPr>
        <w:t xml:space="preserve">Financement de Projets d’Investissement) </w:t>
      </w:r>
      <w:r w:rsidR="008A7725" w:rsidRPr="00B1581D">
        <w:rPr>
          <w:rFonts w:ascii="Andes" w:hAnsi="Andes"/>
          <w:sz w:val="22"/>
        </w:rPr>
        <w:t>qui régit la passation des marchés de Fournitures</w:t>
      </w:r>
      <w:r>
        <w:rPr>
          <w:rFonts w:ascii="Andes" w:hAnsi="Andes"/>
          <w:sz w:val="22"/>
        </w:rPr>
        <w:t>,</w:t>
      </w:r>
      <w:r w:rsidR="008A7725" w:rsidRPr="00B1581D">
        <w:rPr>
          <w:rFonts w:ascii="Andes" w:hAnsi="Andes"/>
          <w:sz w:val="22"/>
        </w:rPr>
        <w:t xml:space="preserve"> de Travaux</w:t>
      </w:r>
      <w:r>
        <w:rPr>
          <w:rFonts w:ascii="Andes" w:hAnsi="Andes"/>
          <w:sz w:val="22"/>
        </w:rPr>
        <w:t>,</w:t>
      </w:r>
      <w:r w:rsidR="008A7725" w:rsidRPr="00B1581D">
        <w:rPr>
          <w:rFonts w:ascii="Andes" w:hAnsi="Andes"/>
          <w:sz w:val="22"/>
        </w:rPr>
        <w:t xml:space="preserve"> de Services Autres que </w:t>
      </w:r>
      <w:r>
        <w:rPr>
          <w:rFonts w:ascii="Andes" w:hAnsi="Andes"/>
          <w:sz w:val="22"/>
        </w:rPr>
        <w:t>l</w:t>
      </w:r>
      <w:r w:rsidR="008A7725" w:rsidRPr="00B1581D">
        <w:rPr>
          <w:rFonts w:ascii="Andes" w:hAnsi="Andes"/>
          <w:sz w:val="22"/>
        </w:rPr>
        <w:t>es Services de Consultants</w:t>
      </w:r>
      <w:r>
        <w:rPr>
          <w:rFonts w:ascii="Andes" w:hAnsi="Andes"/>
          <w:sz w:val="22"/>
        </w:rPr>
        <w:t>,</w:t>
      </w:r>
      <w:r w:rsidR="008A7725" w:rsidRPr="00B1581D">
        <w:rPr>
          <w:rFonts w:ascii="Andes" w:hAnsi="Andes"/>
          <w:sz w:val="22"/>
        </w:rPr>
        <w:t xml:space="preserve"> et de Services de Consultants pour les opérations de FPI devant être financées, en tout ou en partie, par la Banque.</w:t>
      </w:r>
    </w:p>
    <w:p w14:paraId="71FF0B50" w14:textId="636AC55E" w:rsidR="008A7725" w:rsidRPr="00B1581D" w:rsidRDefault="00D80314" w:rsidP="008A7725">
      <w:pPr>
        <w:pStyle w:val="Paragraphedeliste"/>
        <w:numPr>
          <w:ilvl w:val="0"/>
          <w:numId w:val="136"/>
        </w:numPr>
        <w:spacing w:before="0" w:after="200" w:line="240" w:lineRule="auto"/>
        <w:ind w:hanging="720"/>
        <w:contextualSpacing w:val="0"/>
        <w:rPr>
          <w:rFonts w:ascii="Andes" w:hAnsi="Andes" w:cs="Arial"/>
          <w:sz w:val="22"/>
          <w:szCs w:val="22"/>
        </w:rPr>
      </w:pPr>
      <w:r>
        <w:rPr>
          <w:rFonts w:ascii="Andes" w:hAnsi="Andes"/>
          <w:sz w:val="22"/>
        </w:rPr>
        <w:t>Bien que</w:t>
      </w:r>
      <w:r w:rsidR="008A7725" w:rsidRPr="00B1581D">
        <w:rPr>
          <w:rFonts w:ascii="Andes" w:hAnsi="Andes"/>
          <w:sz w:val="22"/>
        </w:rPr>
        <w:t xml:space="preserve">, dans la pratique, les règles et procédures spécifiques de passation des marchés à appliquer dans le cadre de l’exécution d’un projet dépendent des circonstances </w:t>
      </w:r>
      <w:r w:rsidR="00FF331A">
        <w:rPr>
          <w:rFonts w:ascii="Andes" w:hAnsi="Andes"/>
          <w:sz w:val="22"/>
        </w:rPr>
        <w:t xml:space="preserve">propres à chaque </w:t>
      </w:r>
      <w:r w:rsidR="008A7725" w:rsidRPr="00B1581D">
        <w:rPr>
          <w:rFonts w:ascii="Andes" w:hAnsi="Andes"/>
          <w:sz w:val="22"/>
        </w:rPr>
        <w:t>cas, les Principes Fondamentaux</w:t>
      </w:r>
      <w:r w:rsidR="00FF331A">
        <w:rPr>
          <w:rFonts w:ascii="Andes" w:hAnsi="Andes"/>
          <w:sz w:val="22"/>
        </w:rPr>
        <w:t xml:space="preserve"> ci-après</w:t>
      </w:r>
      <w:r w:rsidR="008A7725" w:rsidRPr="00B1581D">
        <w:rPr>
          <w:rFonts w:ascii="Andes" w:hAnsi="Andes"/>
          <w:sz w:val="22"/>
        </w:rPr>
        <w:t xml:space="preserve"> de</w:t>
      </w:r>
      <w:r w:rsidR="00FF331A">
        <w:rPr>
          <w:rFonts w:ascii="Andes" w:hAnsi="Andes"/>
          <w:sz w:val="22"/>
        </w:rPr>
        <w:t xml:space="preserve"> la Banque en matière de</w:t>
      </w:r>
      <w:r w:rsidR="008A7725" w:rsidRPr="00B1581D">
        <w:rPr>
          <w:rFonts w:ascii="Andes" w:hAnsi="Andes"/>
          <w:sz w:val="22"/>
        </w:rPr>
        <w:t xml:space="preserve"> Passation des Marchés guident, d’une manière générale, les décisions à prendre </w:t>
      </w:r>
      <w:r w:rsidR="00FF331A">
        <w:rPr>
          <w:rFonts w:ascii="Andes" w:hAnsi="Andes"/>
          <w:sz w:val="22"/>
        </w:rPr>
        <w:t xml:space="preserve">par la Banque </w:t>
      </w:r>
      <w:r w:rsidR="008A7725" w:rsidRPr="00B1581D">
        <w:rPr>
          <w:rFonts w:ascii="Andes" w:hAnsi="Andes"/>
          <w:sz w:val="22"/>
        </w:rPr>
        <w:t xml:space="preserve">en vertu du présent Règlement de Passation des Marchés : optimisation des ressources (ODR), économie, intégrité, adaptation </w:t>
      </w:r>
      <w:r w:rsidR="00CE42A2">
        <w:rPr>
          <w:rFonts w:ascii="Andes" w:hAnsi="Andes"/>
          <w:sz w:val="22"/>
        </w:rPr>
        <w:t xml:space="preserve"> aux besoins</w:t>
      </w:r>
      <w:r w:rsidR="008A7725" w:rsidRPr="00B1581D">
        <w:rPr>
          <w:rFonts w:ascii="Andes" w:hAnsi="Andes"/>
          <w:sz w:val="22"/>
        </w:rPr>
        <w:t xml:space="preserve">, </w:t>
      </w:r>
      <w:r w:rsidR="00EA5C5E">
        <w:rPr>
          <w:rFonts w:ascii="Andes" w:hAnsi="Andes"/>
          <w:sz w:val="22"/>
        </w:rPr>
        <w:t xml:space="preserve"> efficacité</w:t>
      </w:r>
      <w:r w:rsidR="008A7725" w:rsidRPr="00B1581D">
        <w:rPr>
          <w:rFonts w:ascii="Andes" w:hAnsi="Andes"/>
          <w:sz w:val="22"/>
        </w:rPr>
        <w:t>, transparence et équité.</w:t>
      </w:r>
    </w:p>
    <w:p w14:paraId="6061E5C9" w14:textId="77777777" w:rsidR="008A7725" w:rsidRPr="00B1581D" w:rsidRDefault="008A7725" w:rsidP="008A7725">
      <w:pPr>
        <w:spacing w:before="0" w:line="240" w:lineRule="auto"/>
        <w:ind w:left="994"/>
        <w:contextualSpacing w:val="0"/>
        <w:jc w:val="left"/>
        <w:rPr>
          <w:rFonts w:ascii="Andes" w:hAnsi="Andes" w:cs="Arial"/>
          <w:szCs w:val="24"/>
        </w:rPr>
      </w:pPr>
      <w:r w:rsidRPr="00B1581D">
        <w:rPr>
          <w:rFonts w:ascii="Andes" w:hAnsi="Andes"/>
        </w:rPr>
        <w:t xml:space="preserve"> </w:t>
      </w:r>
    </w:p>
    <w:p w14:paraId="7656DF64" w14:textId="424EA414" w:rsidR="008A7725" w:rsidRPr="00B1581D" w:rsidRDefault="008A7725" w:rsidP="008A7725">
      <w:pPr>
        <w:tabs>
          <w:tab w:val="left" w:pos="2903"/>
        </w:tabs>
        <w:rPr>
          <w:rFonts w:ascii="Andes" w:hAnsi="Andes" w:cs="Arial"/>
        </w:rPr>
      </w:pPr>
    </w:p>
    <w:p w14:paraId="7DC4FF74" w14:textId="77777777" w:rsidR="008A7725" w:rsidRPr="00B1581D" w:rsidRDefault="008A7725" w:rsidP="008A7725">
      <w:pPr>
        <w:rPr>
          <w:rFonts w:ascii="Andes" w:hAnsi="Andes" w:cs="Arial"/>
        </w:rPr>
      </w:pPr>
    </w:p>
    <w:p w14:paraId="0988F65C" w14:textId="1551BEA5" w:rsidR="00C24E71" w:rsidRDefault="00C24E71">
      <w:pPr>
        <w:spacing w:before="0" w:after="200"/>
        <w:contextualSpacing w:val="0"/>
        <w:jc w:val="left"/>
        <w:rPr>
          <w:rFonts w:ascii="Andes" w:hAnsi="Andes" w:cs="Arial"/>
        </w:rPr>
      </w:pPr>
      <w:r>
        <w:rPr>
          <w:rFonts w:ascii="Andes" w:hAnsi="Andes" w:cs="Arial"/>
        </w:rPr>
        <w:br w:type="page"/>
      </w:r>
    </w:p>
    <w:p w14:paraId="7C0B82A0" w14:textId="609F274A" w:rsidR="00C24E71" w:rsidRDefault="00C24E71">
      <w:pPr>
        <w:spacing w:before="0" w:after="200"/>
        <w:contextualSpacing w:val="0"/>
        <w:jc w:val="left"/>
        <w:rPr>
          <w:rFonts w:ascii="Andes" w:hAnsi="Andes" w:cs="Arial"/>
        </w:rPr>
      </w:pPr>
      <w:r>
        <w:rPr>
          <w:rFonts w:ascii="Andes" w:hAnsi="Andes" w:cs="Arial"/>
        </w:rPr>
        <w:lastRenderedPageBreak/>
        <w:br w:type="page"/>
      </w:r>
    </w:p>
    <w:p w14:paraId="54B322C4" w14:textId="77777777" w:rsidR="008A7725" w:rsidRPr="00B1581D" w:rsidRDefault="008A7725" w:rsidP="008A7725">
      <w:pPr>
        <w:rPr>
          <w:rFonts w:ascii="Andes" w:hAnsi="Andes" w:cs="Arial"/>
        </w:rPr>
        <w:sectPr w:rsidR="008A7725" w:rsidRPr="00B1581D" w:rsidSect="00590156">
          <w:headerReference w:type="default" r:id="rId16"/>
          <w:footerReference w:type="default" r:id="rId17"/>
          <w:footnotePr>
            <w:numRestart w:val="eachSect"/>
          </w:footnotePr>
          <w:pgSz w:w="12240" w:h="15840"/>
          <w:pgMar w:top="1872" w:right="1440" w:bottom="1440" w:left="1440" w:header="720" w:footer="720" w:gutter="0"/>
          <w:pgNumType w:start="1"/>
          <w:cols w:space="720"/>
          <w:docGrid w:linePitch="360"/>
        </w:sectPr>
      </w:pPr>
    </w:p>
    <w:p w14:paraId="665FEC94" w14:textId="77777777" w:rsidR="008A7725" w:rsidRPr="00B1581D" w:rsidRDefault="008A7725" w:rsidP="008A7725">
      <w:pPr>
        <w:pStyle w:val="REGsH1"/>
      </w:pPr>
      <w:bookmarkStart w:id="1" w:name="_Toc453544256"/>
      <w:bookmarkStart w:id="2" w:name="_Toc451889975"/>
      <w:r>
        <w:rPr>
          <w:rFonts w:cs="Microsoft Sans Serif"/>
          <w:noProof/>
          <w:color w:val="002060"/>
          <w:lang w:val="en-US"/>
        </w:rPr>
        <w:lastRenderedPageBreak/>
        <mc:AlternateContent>
          <mc:Choice Requires="wps">
            <w:drawing>
              <wp:anchor distT="0" distB="0" distL="114300" distR="114300" simplePos="0" relativeHeight="251626496" behindDoc="0" locked="0" layoutInCell="1" allowOverlap="1" wp14:anchorId="0305F18C" wp14:editId="443A684E">
                <wp:simplePos x="0" y="0"/>
                <wp:positionH relativeFrom="page">
                  <wp:posOffset>0</wp:posOffset>
                </wp:positionH>
                <wp:positionV relativeFrom="paragraph">
                  <wp:posOffset>-1187821</wp:posOffset>
                </wp:positionV>
                <wp:extent cx="8082951" cy="1379855"/>
                <wp:effectExtent l="0" t="0" r="0" b="0"/>
                <wp:wrapNone/>
                <wp:docPr id="8" name="Rectangle 8"/>
                <wp:cNvGraphicFramePr/>
                <a:graphic xmlns:a="http://schemas.openxmlformats.org/drawingml/2006/main">
                  <a:graphicData uri="http://schemas.microsoft.com/office/word/2010/wordprocessingShape">
                    <wps:wsp>
                      <wps:cNvSpPr/>
                      <wps:spPr>
                        <a:xfrm>
                          <a:off x="0" y="0"/>
                          <a:ext cx="8082951" cy="1379855"/>
                        </a:xfrm>
                        <a:prstGeom prst="rect">
                          <a:avLst/>
                        </a:prstGeom>
                        <a:solidFill>
                          <a:srgbClr val="002060"/>
                        </a:solidFill>
                        <a:ln w="12700" cap="flat" cmpd="sng" algn="ctr">
                          <a:noFill/>
                          <a:prstDash val="solid"/>
                          <a:miter lim="800000"/>
                        </a:ln>
                        <a:effectLst/>
                      </wps:spPr>
                      <wps:txbx>
                        <w:txbxContent>
                          <w:p w14:paraId="4749765F" w14:textId="77777777" w:rsidR="00A41794" w:rsidRPr="00D015B0" w:rsidRDefault="00A41794" w:rsidP="008A7725">
                            <w:pPr>
                              <w:ind w:left="3330" w:hanging="2070"/>
                              <w:rPr>
                                <w:rFonts w:ascii="Andes" w:hAnsi="Andes"/>
                                <w:sz w:val="44"/>
                                <w:szCs w:val="44"/>
                              </w:rPr>
                            </w:pPr>
                            <w:r>
                              <w:rPr>
                                <w:rFonts w:ascii="Andes" w:hAnsi="Andes"/>
                                <w:sz w:val="44"/>
                              </w:rPr>
                              <w:t>Section II.</w:t>
                            </w:r>
                            <w:r>
                              <w:tab/>
                            </w:r>
                            <w:r>
                              <w:rPr>
                                <w:rFonts w:ascii="Andes" w:hAnsi="Andes"/>
                                <w:sz w:val="44"/>
                              </w:rPr>
                              <w:t>Considérations générales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0305F18C" id="Rectangle 8" o:spid="_x0000_s1031" style="position:absolute;margin-left:0;margin-top:-93.55pt;width:636.45pt;height:108.65pt;z-index:2516264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" fillcolor="#002060" stroked="f" strokeweight="1pt">
                <v:textbox>
                  <w:txbxContent>
                    <w:p w14:paraId="4749765F" w14:textId="77777777" w:rsidR="00A41794" w:rsidRPr="00D015B0" w:rsidRDefault="00A41794" w:rsidP="008A7725">
                      <w:pPr>
                        <w:ind w:left="3330" w:hanging="2070"/>
                        <w:rPr>
                          <w:rFonts w:ascii="Andes" w:hAnsi="Andes"/>
                          <w:sz w:val="44"/>
                          <w:szCs w:val="44"/>
                        </w:rPr>
                      </w:pPr>
                      <w:r>
                        <w:rPr>
                          <w:rFonts w:ascii="Andes" w:hAnsi="Andes"/>
                          <w:sz w:val="44"/>
                        </w:rPr>
                        <w:t>Section II.</w:t>
                      </w:r>
                      <w:r>
                        <w:tab/>
                      </w:r>
                      <w:r>
                        <w:rPr>
                          <w:rFonts w:ascii="Andes" w:hAnsi="Andes"/>
                          <w:sz w:val="44"/>
                        </w:rPr>
                        <w:t>Considérations générales</w:t>
                      </w:r>
                    </w:p>
                  </w:txbxContent>
                </v:textbox>
                <w10:wrap anchorx="page"/>
              </v:rect>
            </w:pict>
          </mc:Fallback>
        </mc:AlternateContent>
      </w:r>
      <w:r w:rsidRPr="00B1581D">
        <w:rPr>
          <w:color w:val="002060"/>
        </w:rPr>
        <w:t>Section II.  Considérations générales</w:t>
      </w:r>
      <w:bookmarkEnd w:id="1"/>
      <w:r w:rsidRPr="00B1581D">
        <w:rPr>
          <w:color w:val="002060"/>
        </w:rPr>
        <w:t xml:space="preserve"> </w:t>
      </w:r>
      <w:bookmarkEnd w:id="2"/>
    </w:p>
    <w:p w14:paraId="0903DCB6" w14:textId="77777777" w:rsidR="008A7725" w:rsidRPr="00B1581D" w:rsidRDefault="008A7725" w:rsidP="008A7725">
      <w:pPr>
        <w:pStyle w:val="Style2"/>
        <w:keepNext/>
        <w:keepLines/>
        <w:widowControl/>
        <w:tabs>
          <w:tab w:val="left" w:pos="1710"/>
        </w:tabs>
        <w:autoSpaceDE/>
        <w:autoSpaceDN/>
        <w:adjustRightInd/>
        <w:spacing w:before="240" w:after="120" w:line="259" w:lineRule="auto"/>
        <w:ind w:left="-29"/>
        <w:contextualSpacing w:val="0"/>
        <w:jc w:val="left"/>
        <w:outlineLvl w:val="0"/>
        <w:rPr>
          <w:rFonts w:ascii="Andes" w:eastAsiaTheme="majorEastAsia" w:hAnsi="Andes" w:cstheme="majorBidi"/>
          <w:bCs w:val="0"/>
          <w:color w:val="C45911"/>
          <w:sz w:val="32"/>
          <w:szCs w:val="32"/>
        </w:rPr>
      </w:pPr>
      <w:bookmarkStart w:id="3" w:name="_Toc451889976"/>
      <w:bookmarkStart w:id="4" w:name="_Toc453170838"/>
      <w:bookmarkStart w:id="5" w:name="_Toc453544257"/>
      <w:r w:rsidRPr="00B1581D">
        <w:rPr>
          <w:rFonts w:ascii="Andes" w:eastAsiaTheme="majorEastAsia" w:hAnsi="Andes" w:cstheme="majorBidi"/>
          <w:color w:val="C45911"/>
          <w:sz w:val="32"/>
        </w:rPr>
        <w:t>Champ d’application</w:t>
      </w:r>
      <w:bookmarkEnd w:id="3"/>
      <w:bookmarkEnd w:id="4"/>
      <w:bookmarkEnd w:id="5"/>
    </w:p>
    <w:p w14:paraId="7436D7A7" w14:textId="205D01D7" w:rsidR="008A7725" w:rsidRPr="00B1581D" w:rsidRDefault="008A7725" w:rsidP="008A7725">
      <w:pPr>
        <w:pStyle w:val="Paragraphedeliste"/>
        <w:numPr>
          <w:ilvl w:val="1"/>
          <w:numId w:val="123"/>
        </w:numPr>
        <w:spacing w:before="0" w:line="240" w:lineRule="auto"/>
        <w:ind w:left="720" w:hanging="720"/>
        <w:contextualSpacing w:val="0"/>
        <w:rPr>
          <w:rFonts w:ascii="Andes" w:hAnsi="Andes" w:cs="Arial"/>
          <w:sz w:val="22"/>
          <w:szCs w:val="22"/>
        </w:rPr>
      </w:pPr>
      <w:r w:rsidRPr="00B1581D">
        <w:rPr>
          <w:rFonts w:ascii="Andes" w:hAnsi="Andes"/>
          <w:sz w:val="22"/>
        </w:rPr>
        <w:t>L’Accord Juridique régit les relations juridiques entre l’Emprunteur et la Banque. Le Règlement de Passation des Marchés s’applique à la passation des marchés de Fournitures</w:t>
      </w:r>
      <w:r w:rsidR="003A5EB5">
        <w:rPr>
          <w:rFonts w:ascii="Andes" w:hAnsi="Andes"/>
          <w:sz w:val="22"/>
        </w:rPr>
        <w:t>,</w:t>
      </w:r>
      <w:r w:rsidRPr="00B1581D">
        <w:rPr>
          <w:rFonts w:ascii="Andes" w:hAnsi="Andes"/>
          <w:sz w:val="22"/>
        </w:rPr>
        <w:t xml:space="preserve"> de Travaux</w:t>
      </w:r>
      <w:r w:rsidR="003A5EB5">
        <w:rPr>
          <w:rFonts w:ascii="Andes" w:hAnsi="Andes"/>
          <w:sz w:val="22"/>
        </w:rPr>
        <w:t>,</w:t>
      </w:r>
      <w:r w:rsidRPr="00B1581D">
        <w:rPr>
          <w:rFonts w:ascii="Andes" w:hAnsi="Andes"/>
          <w:sz w:val="22"/>
        </w:rPr>
        <w:t xml:space="preserve"> de Services Autres que </w:t>
      </w:r>
      <w:r w:rsidR="003A5EB5">
        <w:rPr>
          <w:rFonts w:ascii="Andes" w:hAnsi="Andes"/>
          <w:sz w:val="22"/>
        </w:rPr>
        <w:t>l</w:t>
      </w:r>
      <w:r w:rsidRPr="00B1581D">
        <w:rPr>
          <w:rFonts w:ascii="Andes" w:hAnsi="Andes"/>
          <w:sz w:val="22"/>
        </w:rPr>
        <w:t>es Services de Consultants</w:t>
      </w:r>
      <w:r w:rsidR="003A5EB5">
        <w:rPr>
          <w:rFonts w:ascii="Andes" w:hAnsi="Andes"/>
          <w:sz w:val="22"/>
        </w:rPr>
        <w:t>,</w:t>
      </w:r>
      <w:r w:rsidRPr="00B1581D">
        <w:rPr>
          <w:rFonts w:ascii="Andes" w:hAnsi="Andes"/>
          <w:sz w:val="22"/>
        </w:rPr>
        <w:t xml:space="preserve"> et de Services de Consultants dans le cadre des opérations de FPI, tel que prévu dans l’Accord Juridique. Les droits et obligations de l’Emprunteur et des prestataires de Fournitures, de Travaux, de Services Autres que des Services de Consultants et de Services de Consultants pour des opérations de FPI sont régis par le dossier pertinent d’</w:t>
      </w:r>
      <w:r w:rsidR="00B662C3">
        <w:rPr>
          <w:rFonts w:ascii="Andes" w:hAnsi="Andes"/>
          <w:sz w:val="22"/>
        </w:rPr>
        <w:t>A</w:t>
      </w:r>
      <w:r w:rsidRPr="00B1581D">
        <w:rPr>
          <w:rFonts w:ascii="Andes" w:hAnsi="Andes"/>
          <w:sz w:val="22"/>
        </w:rPr>
        <w:t>ppel d’</w:t>
      </w:r>
      <w:r w:rsidR="00B662C3">
        <w:rPr>
          <w:rFonts w:ascii="Andes" w:hAnsi="Andes"/>
          <w:sz w:val="22"/>
        </w:rPr>
        <w:t>O</w:t>
      </w:r>
      <w:r w:rsidRPr="00B1581D">
        <w:rPr>
          <w:rFonts w:ascii="Andes" w:hAnsi="Andes"/>
          <w:sz w:val="22"/>
        </w:rPr>
        <w:t>ffres ou d’</w:t>
      </w:r>
      <w:r w:rsidR="00B662C3">
        <w:rPr>
          <w:rFonts w:ascii="Andes" w:hAnsi="Andes"/>
          <w:sz w:val="22"/>
        </w:rPr>
        <w:t>A</w:t>
      </w:r>
      <w:r w:rsidRPr="00B1581D">
        <w:rPr>
          <w:rFonts w:ascii="Andes" w:hAnsi="Andes"/>
          <w:sz w:val="22"/>
        </w:rPr>
        <w:t xml:space="preserve">ppel à </w:t>
      </w:r>
      <w:r w:rsidR="00B662C3">
        <w:rPr>
          <w:rFonts w:ascii="Andes" w:hAnsi="Andes"/>
          <w:sz w:val="22"/>
        </w:rPr>
        <w:t>P</w:t>
      </w:r>
      <w:r w:rsidRPr="00B1581D">
        <w:rPr>
          <w:rFonts w:ascii="Andes" w:hAnsi="Andes"/>
          <w:sz w:val="22"/>
        </w:rPr>
        <w:t>ropositions et par les contrats signés par l’Emprunteur et les prestataires de Fournitures, de Travaux, de Services Autres que des Services de Consultants et de Services de Consultants, et non pas par le présent Règlement de Passation des Marchés ou l’Accord Juridique. Aucune partie autre que les parties à l’Accord Juridique ne peut se prévaloir des droits découlant des fonds provenant du financement ni prétendre détenir une créance sur lesdits fonds.</w:t>
      </w:r>
    </w:p>
    <w:p w14:paraId="76FC21F1" w14:textId="77777777" w:rsidR="008A7725" w:rsidRPr="00B1581D" w:rsidRDefault="008A7725" w:rsidP="008A7725">
      <w:pPr>
        <w:pStyle w:val="Paragraphedeliste"/>
        <w:numPr>
          <w:ilvl w:val="1"/>
          <w:numId w:val="123"/>
        </w:numPr>
        <w:spacing w:before="0" w:line="240" w:lineRule="auto"/>
        <w:ind w:left="720" w:hanging="720"/>
        <w:contextualSpacing w:val="0"/>
        <w:rPr>
          <w:rFonts w:ascii="Andes" w:hAnsi="Andes" w:cs="Arial"/>
          <w:sz w:val="22"/>
          <w:szCs w:val="22"/>
        </w:rPr>
      </w:pPr>
      <w:r w:rsidRPr="00B1581D">
        <w:rPr>
          <w:rFonts w:ascii="Andes" w:hAnsi="Andes"/>
          <w:sz w:val="22"/>
        </w:rPr>
        <w:t>Le Règlement de Passation des Marchés ne s’applique pas à la passation des marchés de Fournitures et de Travaux et des contrats de Services de Consultants et de Services Autres que des Services de Consultants financés par la Banque :</w:t>
      </w:r>
    </w:p>
    <w:p w14:paraId="41AF198E" w14:textId="0B81BB50" w:rsidR="008A7725" w:rsidRPr="00B1581D" w:rsidRDefault="008A7725" w:rsidP="008A7725">
      <w:pPr>
        <w:pStyle w:val="Paragraphedeliste"/>
        <w:numPr>
          <w:ilvl w:val="0"/>
          <w:numId w:val="141"/>
        </w:numPr>
        <w:spacing w:before="0" w:line="240" w:lineRule="auto"/>
        <w:contextualSpacing w:val="0"/>
        <w:rPr>
          <w:rFonts w:ascii="Andes" w:hAnsi="Andes" w:cs="Arial"/>
          <w:sz w:val="22"/>
          <w:szCs w:val="22"/>
        </w:rPr>
      </w:pPr>
      <w:r w:rsidRPr="00B1581D">
        <w:rPr>
          <w:rFonts w:ascii="Andes" w:hAnsi="Andes"/>
          <w:sz w:val="22"/>
        </w:rPr>
        <w:t>dans des projets faisant intervenir des Garanties de la Banque ; et</w:t>
      </w:r>
      <w:r w:rsidR="00B662C3">
        <w:rPr>
          <w:rFonts w:ascii="Andes" w:hAnsi="Andes"/>
          <w:sz w:val="22"/>
        </w:rPr>
        <w:t>/ou</w:t>
      </w:r>
    </w:p>
    <w:p w14:paraId="757431ED" w14:textId="77777777" w:rsidR="008A7725" w:rsidRPr="00B1581D" w:rsidRDefault="008A7725" w:rsidP="008A7725">
      <w:pPr>
        <w:pStyle w:val="Paragraphedeliste"/>
        <w:numPr>
          <w:ilvl w:val="0"/>
          <w:numId w:val="141"/>
        </w:numPr>
        <w:spacing w:before="0" w:line="240" w:lineRule="auto"/>
        <w:contextualSpacing w:val="0"/>
        <w:rPr>
          <w:rFonts w:ascii="Andes" w:hAnsi="Andes" w:cs="Arial"/>
          <w:sz w:val="22"/>
          <w:szCs w:val="22"/>
        </w:rPr>
      </w:pPr>
      <w:r w:rsidRPr="00B1581D">
        <w:rPr>
          <w:rFonts w:ascii="Andes" w:hAnsi="Andes"/>
          <w:sz w:val="22"/>
        </w:rPr>
        <w:t>au moyen de prêts accordés à des emprunteurs privés par le biais d’intermédiaires financiers admissibles.</w:t>
      </w:r>
    </w:p>
    <w:p w14:paraId="05AC4D08" w14:textId="77777777" w:rsidR="008A7725" w:rsidRPr="00B1581D" w:rsidRDefault="008A7725" w:rsidP="008A7725">
      <w:pPr>
        <w:pStyle w:val="Paragraphedeliste"/>
        <w:numPr>
          <w:ilvl w:val="1"/>
          <w:numId w:val="123"/>
        </w:numPr>
        <w:spacing w:before="0" w:line="240" w:lineRule="auto"/>
        <w:ind w:left="720" w:hanging="720"/>
        <w:contextualSpacing w:val="0"/>
        <w:rPr>
          <w:rFonts w:ascii="Andes" w:hAnsi="Andes" w:cs="Arial"/>
          <w:sz w:val="22"/>
          <w:szCs w:val="22"/>
        </w:rPr>
      </w:pPr>
      <w:r w:rsidRPr="00B1581D">
        <w:rPr>
          <w:rFonts w:ascii="Andes" w:hAnsi="Andes"/>
          <w:sz w:val="22"/>
        </w:rPr>
        <w:t>Pour les marchés qui ne sont pas financés par la Banque, mais s’inscrivent dans le cadre d’un projet financé par la Banque, l’Emprunteur peut adopter d’autres règles et procédures de passation des marchés s’il est établi à la satisfaction de la Banque que :</w:t>
      </w:r>
    </w:p>
    <w:p w14:paraId="3E13F02B" w14:textId="77777777" w:rsidR="008A7725" w:rsidRPr="00B1581D" w:rsidRDefault="008A7725" w:rsidP="008A7725">
      <w:pPr>
        <w:pStyle w:val="Paragraphedeliste"/>
        <w:numPr>
          <w:ilvl w:val="0"/>
          <w:numId w:val="142"/>
        </w:numPr>
        <w:spacing w:before="0" w:line="240" w:lineRule="auto"/>
        <w:contextualSpacing w:val="0"/>
        <w:rPr>
          <w:rFonts w:ascii="Andes" w:hAnsi="Andes" w:cs="Arial"/>
          <w:sz w:val="22"/>
          <w:szCs w:val="22"/>
        </w:rPr>
      </w:pPr>
      <w:r w:rsidRPr="00B1581D">
        <w:rPr>
          <w:rFonts w:ascii="Andes" w:hAnsi="Andes"/>
          <w:sz w:val="22"/>
        </w:rPr>
        <w:t>lesdites règles et procédures satisfont aux obligations de l’Emprunteur de réaliser le projet avec diligence et efficacité ; et</w:t>
      </w:r>
    </w:p>
    <w:p w14:paraId="1DF1674F" w14:textId="77777777" w:rsidR="008A7725" w:rsidRPr="00B1581D" w:rsidRDefault="008A7725" w:rsidP="008A7725">
      <w:pPr>
        <w:pStyle w:val="Paragraphedeliste"/>
        <w:numPr>
          <w:ilvl w:val="0"/>
          <w:numId w:val="142"/>
        </w:numPr>
        <w:spacing w:before="0" w:line="240" w:lineRule="auto"/>
        <w:contextualSpacing w:val="0"/>
        <w:rPr>
          <w:rFonts w:ascii="Andes" w:hAnsi="Andes" w:cs="Arial"/>
          <w:sz w:val="22"/>
          <w:szCs w:val="22"/>
        </w:rPr>
      </w:pPr>
      <w:r w:rsidRPr="00B1581D">
        <w:rPr>
          <w:rFonts w:ascii="Andes" w:hAnsi="Andes"/>
          <w:sz w:val="22"/>
        </w:rPr>
        <w:t>les Fournitures, Travaux, Services Autres que des Services de Consultants et Services de Consultants devant faire l’objet de la passation des marchés :</w:t>
      </w:r>
    </w:p>
    <w:p w14:paraId="5114F254" w14:textId="77777777" w:rsidR="008A7725" w:rsidRPr="00B1581D" w:rsidRDefault="008A7725" w:rsidP="008A7725">
      <w:pPr>
        <w:pStyle w:val="Paragraphedeliste"/>
        <w:numPr>
          <w:ilvl w:val="0"/>
          <w:numId w:val="137"/>
        </w:numPr>
        <w:spacing w:before="0" w:line="240" w:lineRule="auto"/>
        <w:ind w:left="1800" w:hanging="270"/>
        <w:contextualSpacing w:val="0"/>
        <w:rPr>
          <w:rFonts w:ascii="Andes" w:hAnsi="Andes" w:cs="Arial"/>
          <w:sz w:val="22"/>
          <w:szCs w:val="22"/>
        </w:rPr>
      </w:pPr>
      <w:r w:rsidRPr="00B1581D">
        <w:rPr>
          <w:rFonts w:ascii="Andes" w:hAnsi="Andes"/>
          <w:sz w:val="22"/>
        </w:rPr>
        <w:t>sont d’une qualité satisfaisante, sont compatibles avec les autres éléments du projet, et cadrent avec les objectifs du projet ;</w:t>
      </w:r>
    </w:p>
    <w:p w14:paraId="2BA155EF" w14:textId="77777777" w:rsidR="008A7725" w:rsidRPr="00B1581D" w:rsidRDefault="008A7725" w:rsidP="008A7725">
      <w:pPr>
        <w:pStyle w:val="Paragraphedeliste"/>
        <w:numPr>
          <w:ilvl w:val="0"/>
          <w:numId w:val="137"/>
        </w:numPr>
        <w:spacing w:before="0" w:line="240" w:lineRule="auto"/>
        <w:ind w:left="1800" w:hanging="270"/>
        <w:contextualSpacing w:val="0"/>
        <w:rPr>
          <w:rFonts w:ascii="Andes" w:hAnsi="Andes" w:cs="Arial"/>
          <w:sz w:val="22"/>
          <w:szCs w:val="22"/>
        </w:rPr>
      </w:pPr>
      <w:r w:rsidRPr="00B1581D">
        <w:rPr>
          <w:rFonts w:ascii="Andes" w:hAnsi="Andes"/>
          <w:sz w:val="22"/>
        </w:rPr>
        <w:t xml:space="preserve">seront livrés ou réalisés en temps opportun ; et </w:t>
      </w:r>
    </w:p>
    <w:p w14:paraId="676A8E5C" w14:textId="77777777" w:rsidR="008A7725" w:rsidRPr="00B1581D" w:rsidRDefault="008A7725" w:rsidP="008A7725">
      <w:pPr>
        <w:pStyle w:val="Paragraphedeliste"/>
        <w:numPr>
          <w:ilvl w:val="0"/>
          <w:numId w:val="137"/>
        </w:numPr>
        <w:spacing w:before="0" w:line="240" w:lineRule="auto"/>
        <w:ind w:left="1800" w:hanging="270"/>
        <w:contextualSpacing w:val="0"/>
        <w:rPr>
          <w:rFonts w:ascii="Andes" w:hAnsi="Andes" w:cs="Arial"/>
          <w:sz w:val="22"/>
          <w:szCs w:val="22"/>
        </w:rPr>
      </w:pPr>
      <w:r w:rsidRPr="00B1581D">
        <w:rPr>
          <w:rFonts w:ascii="Andes" w:hAnsi="Andes"/>
          <w:sz w:val="22"/>
        </w:rPr>
        <w:t>ont un prix qui n’est pas de nature à nuire à la viabilité économique et financière du projet.</w:t>
      </w:r>
    </w:p>
    <w:p w14:paraId="7DE445C5" w14:textId="20555C49" w:rsidR="008A7725" w:rsidRPr="00B1581D" w:rsidRDefault="00A11F03" w:rsidP="008A7725">
      <w:pPr>
        <w:pStyle w:val="Style2"/>
        <w:keepNext/>
        <w:keepLines/>
        <w:widowControl/>
        <w:tabs>
          <w:tab w:val="left" w:pos="1710"/>
        </w:tabs>
        <w:autoSpaceDE/>
        <w:autoSpaceDN/>
        <w:adjustRightInd/>
        <w:spacing w:before="240" w:after="120" w:line="259" w:lineRule="auto"/>
        <w:ind w:left="-29"/>
        <w:contextualSpacing w:val="0"/>
        <w:jc w:val="left"/>
        <w:outlineLvl w:val="0"/>
        <w:rPr>
          <w:rFonts w:ascii="Andes" w:eastAsiaTheme="majorEastAsia" w:hAnsi="Andes" w:cstheme="majorBidi"/>
          <w:bCs w:val="0"/>
          <w:color w:val="C45911"/>
          <w:sz w:val="32"/>
          <w:szCs w:val="32"/>
        </w:rPr>
      </w:pPr>
      <w:bookmarkStart w:id="6" w:name="_Toc451889977"/>
      <w:bookmarkStart w:id="7" w:name="_Toc453170839"/>
      <w:bookmarkStart w:id="8" w:name="_Toc453544258"/>
      <w:r>
        <w:rPr>
          <w:rFonts w:ascii="Andes" w:eastAsiaTheme="majorEastAsia" w:hAnsi="Andes" w:cstheme="majorBidi"/>
          <w:color w:val="C45911"/>
          <w:sz w:val="32"/>
        </w:rPr>
        <w:t>M</w:t>
      </w:r>
      <w:r w:rsidR="008A7725" w:rsidRPr="00B1581D">
        <w:rPr>
          <w:rFonts w:ascii="Andes" w:eastAsiaTheme="majorEastAsia" w:hAnsi="Andes" w:cstheme="majorBidi"/>
          <w:color w:val="C45911"/>
          <w:sz w:val="32"/>
        </w:rPr>
        <w:t xml:space="preserve">odalités </w:t>
      </w:r>
      <w:r>
        <w:rPr>
          <w:rFonts w:ascii="Andes" w:eastAsiaTheme="majorEastAsia" w:hAnsi="Andes" w:cstheme="majorBidi"/>
          <w:color w:val="C45911"/>
          <w:sz w:val="32"/>
        </w:rPr>
        <w:t xml:space="preserve">alternatives </w:t>
      </w:r>
      <w:r w:rsidR="008A7725" w:rsidRPr="00B1581D">
        <w:rPr>
          <w:rFonts w:ascii="Andes" w:eastAsiaTheme="majorEastAsia" w:hAnsi="Andes" w:cstheme="majorBidi"/>
          <w:color w:val="C45911"/>
          <w:sz w:val="32"/>
        </w:rPr>
        <w:t>de passation des marchés</w:t>
      </w:r>
      <w:bookmarkEnd w:id="6"/>
      <w:bookmarkEnd w:id="7"/>
      <w:bookmarkEnd w:id="8"/>
    </w:p>
    <w:p w14:paraId="39559B6A" w14:textId="5DF95D25" w:rsidR="008A7725" w:rsidRPr="00B1581D" w:rsidRDefault="008A7725" w:rsidP="008A7725">
      <w:pPr>
        <w:pStyle w:val="Paragraphedeliste"/>
        <w:numPr>
          <w:ilvl w:val="1"/>
          <w:numId w:val="123"/>
        </w:numPr>
        <w:spacing w:before="0" w:line="240" w:lineRule="auto"/>
        <w:ind w:left="720" w:hanging="720"/>
        <w:contextualSpacing w:val="0"/>
        <w:rPr>
          <w:rFonts w:ascii="Andes" w:hAnsi="Andes" w:cs="Arial"/>
          <w:sz w:val="22"/>
          <w:szCs w:val="22"/>
        </w:rPr>
      </w:pPr>
      <w:r w:rsidRPr="00B1581D">
        <w:rPr>
          <w:rFonts w:ascii="Andes" w:hAnsi="Andes"/>
          <w:sz w:val="22"/>
        </w:rPr>
        <w:t>À la demande de l</w:t>
      </w:r>
      <w:r w:rsidR="00F42879">
        <w:rPr>
          <w:rFonts w:ascii="Andes" w:hAnsi="Andes"/>
          <w:sz w:val="22"/>
        </w:rPr>
        <w:t>’</w:t>
      </w:r>
      <w:r w:rsidRPr="00B1581D">
        <w:rPr>
          <w:rFonts w:ascii="Andes" w:hAnsi="Andes"/>
          <w:sz w:val="22"/>
        </w:rPr>
        <w:t>Emprunteur, la Banque (sous réserve de ses politiques et règles, et des exigences fiduciaires et opérationnelles applicables)</w:t>
      </w:r>
      <w:r w:rsidR="00F23CAC">
        <w:rPr>
          <w:rFonts w:ascii="Andes" w:hAnsi="Andes"/>
          <w:sz w:val="22"/>
        </w:rPr>
        <w:t xml:space="preserve"> </w:t>
      </w:r>
      <w:r w:rsidR="000B4EE8">
        <w:rPr>
          <w:rFonts w:ascii="Andes" w:hAnsi="Andes"/>
          <w:sz w:val="22"/>
        </w:rPr>
        <w:t xml:space="preserve">peut </w:t>
      </w:r>
      <w:r w:rsidR="00F23CAC">
        <w:rPr>
          <w:rFonts w:ascii="Andes" w:hAnsi="Andes"/>
          <w:sz w:val="22"/>
        </w:rPr>
        <w:t>accepter de</w:t>
      </w:r>
      <w:r w:rsidRPr="00B1581D">
        <w:rPr>
          <w:rFonts w:ascii="Andes" w:hAnsi="Andes"/>
          <w:sz w:val="22"/>
        </w:rPr>
        <w:t> :</w:t>
      </w:r>
    </w:p>
    <w:p w14:paraId="24380D4C" w14:textId="77777777" w:rsidR="008A7725" w:rsidRPr="00B1581D" w:rsidRDefault="008A7725" w:rsidP="008A7725">
      <w:pPr>
        <w:pStyle w:val="Paragraphedeliste"/>
        <w:numPr>
          <w:ilvl w:val="0"/>
          <w:numId w:val="266"/>
        </w:numPr>
        <w:spacing w:before="0" w:line="240" w:lineRule="auto"/>
        <w:contextualSpacing w:val="0"/>
        <w:rPr>
          <w:rFonts w:ascii="Andes" w:hAnsi="Andes" w:cs="Arial"/>
          <w:sz w:val="22"/>
          <w:szCs w:val="22"/>
        </w:rPr>
      </w:pPr>
      <w:r w:rsidRPr="00B1581D">
        <w:rPr>
          <w:rFonts w:ascii="Andes" w:hAnsi="Andes"/>
          <w:sz w:val="22"/>
        </w:rPr>
        <w:t xml:space="preserve">convenir de s’appuyer sur les règles et procédures de passation des marchés d’une autre institution ou organisation multilatérale ou bilatérale et de les appliquer, et accepter qu’une </w:t>
      </w:r>
      <w:r w:rsidRPr="00B1581D">
        <w:rPr>
          <w:rFonts w:ascii="Andes" w:hAnsi="Andes"/>
          <w:sz w:val="22"/>
        </w:rPr>
        <w:lastRenderedPageBreak/>
        <w:t xml:space="preserve">telle partie joue un rôle de premier plan dans l’appui à la mise en œuvre et le suivi des activités de passation des marchés ; et </w:t>
      </w:r>
    </w:p>
    <w:p w14:paraId="6016A9B7" w14:textId="77777777" w:rsidR="008A7725" w:rsidRPr="009E57F0" w:rsidRDefault="00F23CAC" w:rsidP="00EF1183">
      <w:pPr>
        <w:pStyle w:val="Paragraphedeliste"/>
        <w:numPr>
          <w:ilvl w:val="0"/>
          <w:numId w:val="266"/>
        </w:numPr>
        <w:spacing w:before="0" w:line="240" w:lineRule="auto"/>
        <w:contextualSpacing w:val="0"/>
        <w:rPr>
          <w:rFonts w:ascii="Andes" w:hAnsi="Andes" w:cs="Arial"/>
          <w:sz w:val="22"/>
          <w:szCs w:val="22"/>
        </w:rPr>
      </w:pPr>
      <w:r>
        <w:rPr>
          <w:rFonts w:ascii="Andes" w:hAnsi="Andes"/>
          <w:sz w:val="22"/>
        </w:rPr>
        <w:t xml:space="preserve">convenir de </w:t>
      </w:r>
      <w:r w:rsidR="008A7725" w:rsidRPr="00B1581D">
        <w:rPr>
          <w:rFonts w:ascii="Andes" w:hAnsi="Andes"/>
          <w:sz w:val="22"/>
        </w:rPr>
        <w:t>s’appuyer sur les règles et procédures de passation des marchés d’une institution ou d’une entité d</w:t>
      </w:r>
      <w:r w:rsidR="00EF1183" w:rsidRPr="00B1581D">
        <w:rPr>
          <w:rFonts w:ascii="Andes" w:hAnsi="Andes"/>
          <w:sz w:val="22"/>
        </w:rPr>
        <w:t>e l’Emprunteur et les appliquer.</w:t>
      </w:r>
    </w:p>
    <w:p w14:paraId="0DC3EBEA" w14:textId="6DD0032C" w:rsidR="009E57F0" w:rsidRPr="00B1581D" w:rsidRDefault="009E57F0" w:rsidP="00EF1183">
      <w:pPr>
        <w:pStyle w:val="Paragraphedeliste"/>
        <w:numPr>
          <w:ilvl w:val="0"/>
          <w:numId w:val="266"/>
        </w:numPr>
        <w:spacing w:before="0" w:line="240" w:lineRule="auto"/>
        <w:contextualSpacing w:val="0"/>
        <w:rPr>
          <w:rFonts w:ascii="Andes" w:hAnsi="Andes" w:cs="Arial"/>
          <w:sz w:val="22"/>
          <w:szCs w:val="22"/>
        </w:rPr>
        <w:sectPr w:rsidR="009E57F0" w:rsidRPr="00B1581D" w:rsidSect="00590156">
          <w:headerReference w:type="default" r:id="rId18"/>
          <w:footnotePr>
            <w:numRestart w:val="eachSect"/>
          </w:footnotePr>
          <w:pgSz w:w="12240" w:h="15840"/>
          <w:pgMar w:top="1872" w:right="1440" w:bottom="1440" w:left="1440" w:header="720" w:footer="720" w:gutter="0"/>
          <w:cols w:space="720"/>
          <w:docGrid w:linePitch="360"/>
        </w:sectPr>
      </w:pPr>
    </w:p>
    <w:p w14:paraId="462E9D36" w14:textId="77777777" w:rsidR="00C77D2C" w:rsidRDefault="00840C0E" w:rsidP="00FA0EEE">
      <w:pPr>
        <w:pStyle w:val="REGsH1"/>
        <w:jc w:val="both"/>
        <w:rPr>
          <w:lang w:val="en-US"/>
        </w:rPr>
      </w:pPr>
      <w:bookmarkStart w:id="9" w:name="_Toc451889978"/>
      <w:bookmarkStart w:id="10" w:name="_Toc451889979"/>
      <w:bookmarkStart w:id="11" w:name="_Toc451889983"/>
      <w:bookmarkStart w:id="12" w:name="_Toc451889984"/>
      <w:bookmarkStart w:id="13" w:name="_Toc453544259"/>
      <w:bookmarkEnd w:id="9"/>
      <w:bookmarkEnd w:id="10"/>
      <w:bookmarkEnd w:id="11"/>
      <w:bookmarkEnd w:id="12"/>
      <w:r>
        <w:rPr>
          <w:rFonts w:cs="Microsoft Sans Serif"/>
          <w:noProof/>
          <w:color w:val="002060"/>
          <w:lang w:val="en-US"/>
        </w:rPr>
        <w:lastRenderedPageBreak/>
        <mc:AlternateContent>
          <mc:Choice Requires="wps">
            <w:drawing>
              <wp:anchor distT="0" distB="0" distL="114300" distR="114300" simplePos="0" relativeHeight="251648000" behindDoc="0" locked="0" layoutInCell="1" allowOverlap="1" wp14:anchorId="6F217F68" wp14:editId="0FC06330">
                <wp:simplePos x="0" y="0"/>
                <wp:positionH relativeFrom="margin">
                  <wp:posOffset>-904611</wp:posOffset>
                </wp:positionH>
                <wp:positionV relativeFrom="paragraph">
                  <wp:posOffset>-1189990</wp:posOffset>
                </wp:positionV>
                <wp:extent cx="8082951" cy="1379855"/>
                <wp:effectExtent l="0" t="0" r="0" b="0"/>
                <wp:wrapNone/>
                <wp:docPr id="9" name="Rectangle 9"/>
                <wp:cNvGraphicFramePr/>
                <a:graphic xmlns:a="http://schemas.openxmlformats.org/drawingml/2006/main">
                  <a:graphicData uri="http://schemas.microsoft.com/office/word/2010/wordprocessingShape">
                    <wps:wsp>
                      <wps:cNvSpPr/>
                      <wps:spPr>
                        <a:xfrm>
                          <a:off x="0" y="0"/>
                          <a:ext cx="8082951" cy="1379855"/>
                        </a:xfrm>
                        <a:prstGeom prst="rect">
                          <a:avLst/>
                        </a:prstGeom>
                        <a:solidFill>
                          <a:srgbClr val="002060"/>
                        </a:solidFill>
                        <a:ln w="12700" cap="flat" cmpd="sng" algn="ctr">
                          <a:noFill/>
                          <a:prstDash val="solid"/>
                          <a:miter lim="800000"/>
                        </a:ln>
                        <a:effectLst/>
                      </wps:spPr>
                      <wps:txbx>
                        <w:txbxContent>
                          <w:p w14:paraId="6490FFE5" w14:textId="03C1B0E1" w:rsidR="00A41794" w:rsidRPr="00235C65" w:rsidRDefault="00A41794" w:rsidP="0034437A">
                            <w:pPr>
                              <w:tabs>
                                <w:tab w:val="left" w:pos="3600"/>
                              </w:tabs>
                              <w:ind w:left="1260"/>
                              <w:rPr>
                                <w:rFonts w:ascii="Andes" w:hAnsi="Andes"/>
                                <w:color w:val="FFFFFF" w:themeColor="background1"/>
                                <w:sz w:val="48"/>
                                <w:szCs w:val="48"/>
                              </w:rPr>
                            </w:pPr>
                            <w:r w:rsidRPr="00235C65">
                              <w:rPr>
                                <w:rFonts w:ascii="Andes" w:hAnsi="Andes"/>
                                <w:color w:val="FFFFFF" w:themeColor="background1"/>
                                <w:sz w:val="48"/>
                                <w:szCs w:val="48"/>
                              </w:rPr>
                              <w:t>Section III.</w:t>
                            </w:r>
                            <w:r w:rsidRPr="00235C65">
                              <w:rPr>
                                <w:rFonts w:ascii="Andes" w:hAnsi="Andes"/>
                                <w:color w:val="FFFFFF" w:themeColor="background1"/>
                                <w:sz w:val="48"/>
                                <w:szCs w:val="48"/>
                              </w:rPr>
                              <w:tab/>
                              <w:t>Go</w:t>
                            </w:r>
                            <w:r>
                              <w:rPr>
                                <w:rFonts w:ascii="Andes" w:hAnsi="Andes"/>
                                <w:color w:val="FFFFFF" w:themeColor="background1"/>
                                <w:sz w:val="48"/>
                                <w:szCs w:val="48"/>
                              </w:rPr>
                              <w:t>u</w:t>
                            </w:r>
                            <w:r w:rsidRPr="00235C65">
                              <w:rPr>
                                <w:rFonts w:ascii="Andes" w:hAnsi="Andes"/>
                                <w:color w:val="FFFFFF" w:themeColor="background1"/>
                                <w:sz w:val="48"/>
                                <w:szCs w:val="48"/>
                              </w:rPr>
                              <w:t>vernance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6F217F68" id="Rectangle 9" o:spid="_x0000_s1032" style="position:absolute;left:0;text-align:left;margin-left:-71.25pt;margin-top:-93.7pt;width:636.45pt;height:108.65pt;z-index:2516480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" fillcolor="#002060" stroked="f" strokeweight="1pt">
                <v:textbox>
                  <w:txbxContent>
                    <w:p w14:paraId="6490FFE5" w14:textId="03C1B0E1" w:rsidR="00A41794" w:rsidRPr="00235C65" w:rsidRDefault="00A41794" w:rsidP="0034437A">
                      <w:pPr>
                        <w:tabs>
                          <w:tab w:val="left" w:pos="3600"/>
                        </w:tabs>
                        <w:ind w:left="1260"/>
                        <w:rPr>
                          <w:rFonts w:ascii="Andes" w:hAnsi="Andes"/>
                          <w:color w:val="FFFFFF" w:themeColor="background1"/>
                          <w:sz w:val="48"/>
                          <w:szCs w:val="48"/>
                        </w:rPr>
                      </w:pPr>
                      <w:r w:rsidRPr="00235C65">
                        <w:rPr>
                          <w:rFonts w:ascii="Andes" w:hAnsi="Andes"/>
                          <w:color w:val="FFFFFF" w:themeColor="background1"/>
                          <w:sz w:val="48"/>
                          <w:szCs w:val="48"/>
                        </w:rPr>
                        <w:t>Section III.</w:t>
                      </w:r>
                      <w:r w:rsidRPr="00235C65">
                        <w:rPr>
                          <w:rFonts w:ascii="Andes" w:hAnsi="Andes"/>
                          <w:color w:val="FFFFFF" w:themeColor="background1"/>
                          <w:sz w:val="48"/>
                          <w:szCs w:val="48"/>
                        </w:rPr>
                        <w:tab/>
                        <w:t>Go</w:t>
                      </w:r>
                      <w:r>
                        <w:rPr>
                          <w:rFonts w:ascii="Andes" w:hAnsi="Andes"/>
                          <w:color w:val="FFFFFF" w:themeColor="background1"/>
                          <w:sz w:val="48"/>
                          <w:szCs w:val="48"/>
                        </w:rPr>
                        <w:t>u</w:t>
                      </w:r>
                      <w:r w:rsidRPr="00235C65">
                        <w:rPr>
                          <w:rFonts w:ascii="Andes" w:hAnsi="Andes"/>
                          <w:color w:val="FFFFFF" w:themeColor="background1"/>
                          <w:sz w:val="48"/>
                          <w:szCs w:val="48"/>
                        </w:rPr>
                        <w:t>vernance</w:t>
                      </w:r>
                    </w:p>
                  </w:txbxContent>
                </v:textbox>
                <w10:wrap anchorx="margin"/>
              </v:rect>
            </w:pict>
          </mc:Fallback>
        </mc:AlternateContent>
      </w:r>
      <w:r w:rsidR="00EA632A">
        <w:rPr>
          <w:lang w:val="en-US"/>
        </w:rPr>
        <w:t>Section III</w:t>
      </w:r>
      <w:r w:rsidR="00687669">
        <w:rPr>
          <w:lang w:val="en-US"/>
        </w:rPr>
        <w:t xml:space="preserve">.  </w:t>
      </w:r>
      <w:r w:rsidR="00EA632A">
        <w:rPr>
          <w:lang w:val="en-US"/>
        </w:rPr>
        <w:t>Governance</w:t>
      </w:r>
      <w:bookmarkEnd w:id="13"/>
    </w:p>
    <w:p w14:paraId="0551FA4F" w14:textId="38AB6CBF" w:rsidR="00280AD1" w:rsidRPr="00332FCD" w:rsidRDefault="00280AD1" w:rsidP="009C5622">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Go</w:t>
      </w:r>
      <w:r w:rsidR="008B59CE" w:rsidRPr="00332FCD">
        <w:rPr>
          <w:rFonts w:ascii="Andes" w:eastAsiaTheme="majorEastAsia" w:hAnsi="Andes" w:cstheme="majorBidi"/>
          <w:bCs w:val="0"/>
          <w:color w:val="C45911"/>
          <w:sz w:val="32"/>
          <w:szCs w:val="32"/>
        </w:rPr>
        <w:t>u</w:t>
      </w:r>
      <w:r w:rsidRPr="00332FCD">
        <w:rPr>
          <w:rFonts w:ascii="Andes" w:eastAsiaTheme="majorEastAsia" w:hAnsi="Andes" w:cstheme="majorBidi"/>
          <w:bCs w:val="0"/>
          <w:color w:val="C45911"/>
          <w:sz w:val="32"/>
          <w:szCs w:val="32"/>
        </w:rPr>
        <w:t>vernance</w:t>
      </w:r>
    </w:p>
    <w:p w14:paraId="34FC6C6F" w14:textId="3F6C353D" w:rsidR="00C77D2C" w:rsidRPr="00332FCD" w:rsidRDefault="00DA4632" w:rsidP="009C5622">
      <w:pPr>
        <w:pStyle w:val="Paragraphedeliste"/>
        <w:numPr>
          <w:ilvl w:val="1"/>
          <w:numId w:val="138"/>
        </w:numPr>
        <w:spacing w:before="240" w:after="240" w:line="240" w:lineRule="auto"/>
        <w:ind w:left="634" w:hanging="634"/>
        <w:contextualSpacing w:val="0"/>
        <w:rPr>
          <w:rFonts w:ascii="Andes" w:hAnsi="Andes" w:cs="Arial"/>
          <w:sz w:val="22"/>
          <w:szCs w:val="22"/>
        </w:rPr>
      </w:pPr>
      <w:r w:rsidRPr="00332FCD">
        <w:rPr>
          <w:rFonts w:ascii="Andes" w:hAnsi="Andes" w:cs="Arial"/>
          <w:sz w:val="22"/>
          <w:szCs w:val="22"/>
        </w:rPr>
        <w:t xml:space="preserve">La gouvernance de la passation des marchés dans les opérations de FPI est régie par </w:t>
      </w:r>
      <w:r w:rsidR="00AB1E28" w:rsidRPr="00332FCD">
        <w:rPr>
          <w:rFonts w:ascii="Andes" w:hAnsi="Andes" w:cs="Arial"/>
          <w:sz w:val="22"/>
          <w:szCs w:val="22"/>
        </w:rPr>
        <w:t xml:space="preserve">une répartition claire et transparente des </w:t>
      </w:r>
      <w:r w:rsidR="00A11F03" w:rsidRPr="00332FCD">
        <w:rPr>
          <w:rFonts w:ascii="Andes" w:hAnsi="Andes" w:cs="Arial"/>
          <w:sz w:val="22"/>
          <w:szCs w:val="22"/>
        </w:rPr>
        <w:t xml:space="preserve">devoirs de </w:t>
      </w:r>
      <w:r w:rsidR="00AB1E28" w:rsidRPr="00332FCD">
        <w:rPr>
          <w:rFonts w:ascii="Andes" w:hAnsi="Andes" w:cs="Arial"/>
          <w:sz w:val="22"/>
          <w:szCs w:val="22"/>
        </w:rPr>
        <w:t>responsabilité et par une définition explicite des</w:t>
      </w:r>
      <w:r w:rsidR="00A11F03" w:rsidRPr="00332FCD">
        <w:rPr>
          <w:rFonts w:ascii="Andes" w:hAnsi="Andes" w:cs="Arial"/>
          <w:sz w:val="22"/>
          <w:szCs w:val="22"/>
        </w:rPr>
        <w:t xml:space="preserve"> rôles et responsabilités</w:t>
      </w:r>
      <w:r w:rsidR="00AB1E28" w:rsidRPr="00332FCD">
        <w:rPr>
          <w:rFonts w:ascii="Andes" w:hAnsi="Andes" w:cs="Arial"/>
          <w:sz w:val="22"/>
          <w:szCs w:val="22"/>
        </w:rPr>
        <w:t xml:space="preserve"> de chaque partie</w:t>
      </w:r>
      <w:r w:rsidR="00687669" w:rsidRPr="00332FCD">
        <w:rPr>
          <w:rFonts w:ascii="Andes" w:hAnsi="Andes" w:cs="Arial"/>
          <w:sz w:val="22"/>
          <w:szCs w:val="22"/>
        </w:rPr>
        <w:t xml:space="preserve">.  </w:t>
      </w:r>
    </w:p>
    <w:p w14:paraId="52D8BFF4" w14:textId="21001E95" w:rsidR="00C77D2C" w:rsidRPr="00332FCD" w:rsidRDefault="00A11F03" w:rsidP="009C5622">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 xml:space="preserve"> Rôles et responsabilités</w:t>
      </w:r>
    </w:p>
    <w:p w14:paraId="6048E77A" w14:textId="452A348E" w:rsidR="00825143" w:rsidRPr="00332FCD" w:rsidRDefault="00AB1E28" w:rsidP="009C5622">
      <w:pPr>
        <w:spacing w:line="240" w:lineRule="auto"/>
        <w:contextualSpacing w:val="0"/>
        <w:rPr>
          <w:rFonts w:ascii="Andes" w:hAnsi="Andes" w:cs="Arial"/>
          <w:b/>
          <w:sz w:val="28"/>
          <w:szCs w:val="28"/>
        </w:rPr>
      </w:pPr>
      <w:r w:rsidRPr="00332FCD">
        <w:rPr>
          <w:rFonts w:ascii="Andes" w:hAnsi="Andes" w:cs="Arial"/>
          <w:b/>
          <w:sz w:val="28"/>
          <w:szCs w:val="28"/>
        </w:rPr>
        <w:t xml:space="preserve">Emprunteur </w:t>
      </w:r>
    </w:p>
    <w:p w14:paraId="67E52C7A" w14:textId="6D3AC7A5" w:rsidR="00C77D2C" w:rsidRPr="00332FCD" w:rsidRDefault="00EB7AA2" w:rsidP="009C5622">
      <w:pPr>
        <w:pStyle w:val="Paragraphedeliste"/>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L’Emprunteur est</w:t>
      </w:r>
      <w:r w:rsidR="00AC3A8E" w:rsidRPr="00332FCD">
        <w:rPr>
          <w:rFonts w:ascii="Andes" w:hAnsi="Andes" w:cs="Arial"/>
          <w:sz w:val="22"/>
          <w:szCs w:val="22"/>
        </w:rPr>
        <w:t xml:space="preserve"> responsable </w:t>
      </w:r>
      <w:r w:rsidRPr="00332FCD">
        <w:rPr>
          <w:rFonts w:ascii="Andes" w:hAnsi="Andes" w:cs="Arial"/>
          <w:sz w:val="22"/>
          <w:szCs w:val="22"/>
        </w:rPr>
        <w:t>de</w:t>
      </w:r>
      <w:r w:rsidR="00AC3A8E" w:rsidRPr="00332FCD">
        <w:rPr>
          <w:rFonts w:ascii="Andes" w:hAnsi="Andes" w:cs="Arial"/>
          <w:sz w:val="22"/>
          <w:szCs w:val="22"/>
        </w:rPr>
        <w:t xml:space="preserve"> la</w:t>
      </w:r>
      <w:r w:rsidRPr="00332FCD">
        <w:rPr>
          <w:rFonts w:ascii="Andes" w:hAnsi="Andes" w:cs="Arial"/>
          <w:sz w:val="22"/>
          <w:szCs w:val="22"/>
        </w:rPr>
        <w:t xml:space="preserve"> </w:t>
      </w:r>
      <w:r w:rsidR="00630F39" w:rsidRPr="00332FCD">
        <w:rPr>
          <w:rFonts w:ascii="Andes" w:hAnsi="Andes" w:cs="Arial"/>
          <w:sz w:val="22"/>
          <w:szCs w:val="22"/>
        </w:rPr>
        <w:t xml:space="preserve">conduite </w:t>
      </w:r>
      <w:r w:rsidR="00AC3A8E" w:rsidRPr="00332FCD">
        <w:rPr>
          <w:rFonts w:ascii="Andes" w:hAnsi="Andes" w:cs="Arial"/>
          <w:sz w:val="22"/>
          <w:szCs w:val="22"/>
        </w:rPr>
        <w:t>d</w:t>
      </w:r>
      <w:r w:rsidRPr="00332FCD">
        <w:rPr>
          <w:rFonts w:ascii="Andes" w:hAnsi="Andes" w:cs="Arial"/>
          <w:sz w:val="22"/>
          <w:szCs w:val="22"/>
        </w:rPr>
        <w:t>es activités de passation des marchés financées par la Banque conformément</w:t>
      </w:r>
      <w:r w:rsidR="00411E3D" w:rsidRPr="00332FCD">
        <w:rPr>
          <w:rFonts w:ascii="Andes" w:hAnsi="Andes" w:cs="Arial"/>
          <w:sz w:val="22"/>
          <w:szCs w:val="22"/>
        </w:rPr>
        <w:t xml:space="preserve"> au présent Règlement de </w:t>
      </w:r>
      <w:r w:rsidR="00AA0D92" w:rsidRPr="00332FCD">
        <w:rPr>
          <w:rFonts w:ascii="Andes" w:hAnsi="Andes" w:cs="Arial"/>
          <w:sz w:val="22"/>
          <w:szCs w:val="22"/>
        </w:rPr>
        <w:t xml:space="preserve">Passation </w:t>
      </w:r>
      <w:r w:rsidRPr="00332FCD">
        <w:rPr>
          <w:rFonts w:ascii="Andes" w:hAnsi="Andes" w:cs="Arial"/>
          <w:sz w:val="22"/>
          <w:szCs w:val="22"/>
        </w:rPr>
        <w:t xml:space="preserve">des </w:t>
      </w:r>
      <w:r w:rsidR="00AA0D92" w:rsidRPr="00332FCD">
        <w:rPr>
          <w:rFonts w:ascii="Andes" w:hAnsi="Andes" w:cs="Arial"/>
          <w:sz w:val="22"/>
          <w:szCs w:val="22"/>
        </w:rPr>
        <w:t>Marchés</w:t>
      </w:r>
      <w:r w:rsidR="00AC3A8E" w:rsidRPr="00332FCD">
        <w:rPr>
          <w:rFonts w:ascii="Andes" w:hAnsi="Andes" w:cs="Arial"/>
          <w:sz w:val="22"/>
          <w:szCs w:val="22"/>
        </w:rPr>
        <w:t>.</w:t>
      </w:r>
      <w:r w:rsidR="00B45899" w:rsidRPr="00332FCD">
        <w:rPr>
          <w:rFonts w:ascii="Andes" w:hAnsi="Andes" w:cs="Arial"/>
          <w:sz w:val="22"/>
          <w:szCs w:val="22"/>
        </w:rPr>
        <w:t xml:space="preserve"> </w:t>
      </w:r>
      <w:r w:rsidR="00630F39" w:rsidRPr="00332FCD">
        <w:rPr>
          <w:rFonts w:ascii="Andes" w:hAnsi="Andes" w:cs="Arial"/>
          <w:sz w:val="22"/>
          <w:szCs w:val="22"/>
        </w:rPr>
        <w:t xml:space="preserve">Cela </w:t>
      </w:r>
      <w:r w:rsidR="00B45899" w:rsidRPr="00332FCD">
        <w:rPr>
          <w:rFonts w:ascii="Andes" w:hAnsi="Andes" w:cs="Arial"/>
          <w:sz w:val="22"/>
          <w:szCs w:val="22"/>
        </w:rPr>
        <w:t xml:space="preserve">consiste notamment à </w:t>
      </w:r>
      <w:r w:rsidR="00B606B3" w:rsidRPr="00882278">
        <w:rPr>
          <w:rFonts w:ascii="Andes" w:hAnsi="Andes" w:cs="Arial"/>
          <w:sz w:val="22"/>
          <w:szCs w:val="22"/>
        </w:rPr>
        <w:t xml:space="preserve">planifier, analyser et d'engager </w:t>
      </w:r>
      <w:r w:rsidR="002952EC">
        <w:rPr>
          <w:rFonts w:ascii="Andes" w:hAnsi="Andes" w:cs="Arial"/>
          <w:sz w:val="22"/>
          <w:szCs w:val="22"/>
        </w:rPr>
        <w:t>l</w:t>
      </w:r>
      <w:r w:rsidR="00B606B3" w:rsidRPr="00882278">
        <w:rPr>
          <w:rFonts w:ascii="Andes" w:hAnsi="Andes" w:cs="Arial"/>
          <w:sz w:val="22"/>
          <w:szCs w:val="22"/>
        </w:rPr>
        <w:t xml:space="preserve">e marché, élaborer </w:t>
      </w:r>
      <w:r w:rsidR="006A5A76">
        <w:rPr>
          <w:rFonts w:ascii="Andes" w:hAnsi="Andes" w:cs="Arial"/>
          <w:sz w:val="22"/>
          <w:szCs w:val="22"/>
        </w:rPr>
        <w:t>une</w:t>
      </w:r>
      <w:r w:rsidR="00B606B3" w:rsidRPr="00882278">
        <w:rPr>
          <w:rFonts w:ascii="Andes" w:hAnsi="Andes" w:cs="Arial"/>
          <w:sz w:val="22"/>
          <w:szCs w:val="22"/>
        </w:rPr>
        <w:t xml:space="preserve"> stratégie</w:t>
      </w:r>
      <w:r w:rsidR="00B45899" w:rsidRPr="00332FCD">
        <w:rPr>
          <w:rFonts w:ascii="Andes" w:hAnsi="Andes" w:cs="Arial"/>
          <w:sz w:val="22"/>
          <w:szCs w:val="22"/>
        </w:rPr>
        <w:t>, solliciter et évaluer les</w:t>
      </w:r>
      <w:r w:rsidR="00AA0D92" w:rsidRPr="00332FCD">
        <w:rPr>
          <w:rFonts w:ascii="Andes" w:hAnsi="Andes" w:cs="Arial"/>
          <w:sz w:val="22"/>
          <w:szCs w:val="22"/>
        </w:rPr>
        <w:t xml:space="preserve"> Candidature</w:t>
      </w:r>
      <w:r w:rsidR="002E3799" w:rsidRPr="00332FCD">
        <w:rPr>
          <w:rFonts w:ascii="Andes" w:hAnsi="Andes" w:cs="Arial"/>
          <w:sz w:val="22"/>
          <w:szCs w:val="22"/>
        </w:rPr>
        <w:t>s</w:t>
      </w:r>
      <w:r w:rsidR="00AA0D92" w:rsidRPr="00332FCD">
        <w:rPr>
          <w:rFonts w:ascii="Andes" w:hAnsi="Andes" w:cs="Arial"/>
          <w:sz w:val="22"/>
          <w:szCs w:val="22"/>
        </w:rPr>
        <w:t>/Prix/Offres/Propositions, et</w:t>
      </w:r>
      <w:r w:rsidR="00B45899" w:rsidRPr="00332FCD">
        <w:rPr>
          <w:rFonts w:ascii="Andes" w:hAnsi="Andes" w:cs="Arial"/>
          <w:sz w:val="22"/>
          <w:szCs w:val="22"/>
        </w:rPr>
        <w:t xml:space="preserve"> à attribuer et gérer les </w:t>
      </w:r>
      <w:r w:rsidR="00AA0D92" w:rsidRPr="00332FCD">
        <w:rPr>
          <w:rFonts w:ascii="Andes" w:hAnsi="Andes" w:cs="Arial"/>
          <w:sz w:val="22"/>
          <w:szCs w:val="22"/>
        </w:rPr>
        <w:t>marchés</w:t>
      </w:r>
      <w:r w:rsidR="00DD0A6C" w:rsidRPr="00332FCD">
        <w:rPr>
          <w:rFonts w:ascii="Andes" w:hAnsi="Andes" w:cs="Arial"/>
          <w:sz w:val="22"/>
          <w:szCs w:val="22"/>
        </w:rPr>
        <w:t xml:space="preserve"> et contrats</w:t>
      </w:r>
      <w:r w:rsidR="00AA0D92" w:rsidRPr="00332FCD">
        <w:rPr>
          <w:rFonts w:ascii="Andes" w:hAnsi="Andes" w:cs="Arial"/>
          <w:sz w:val="22"/>
          <w:szCs w:val="22"/>
        </w:rPr>
        <w:t xml:space="preserve">. L’Emprunteur </w:t>
      </w:r>
      <w:r w:rsidR="00630F39" w:rsidRPr="00332FCD">
        <w:rPr>
          <w:rFonts w:ascii="Andes" w:hAnsi="Andes" w:cs="Arial"/>
          <w:sz w:val="22"/>
          <w:szCs w:val="22"/>
        </w:rPr>
        <w:t xml:space="preserve">doit conserver l’ensemble des documents </w:t>
      </w:r>
      <w:r w:rsidR="00117ECB" w:rsidRPr="00332FCD">
        <w:rPr>
          <w:rFonts w:ascii="Andes" w:hAnsi="Andes" w:cs="Arial"/>
          <w:sz w:val="22"/>
          <w:szCs w:val="22"/>
        </w:rPr>
        <w:t xml:space="preserve">et pièces relatives </w:t>
      </w:r>
      <w:r w:rsidR="00630F39" w:rsidRPr="00332FCD">
        <w:rPr>
          <w:rFonts w:ascii="Andes" w:hAnsi="Andes" w:cs="Arial"/>
          <w:sz w:val="22"/>
          <w:szCs w:val="22"/>
        </w:rPr>
        <w:t xml:space="preserve">à la passation des marchés </w:t>
      </w:r>
      <w:r w:rsidR="00DD0A6C" w:rsidRPr="00332FCD">
        <w:rPr>
          <w:rFonts w:ascii="Andes" w:hAnsi="Andes" w:cs="Arial"/>
          <w:sz w:val="22"/>
          <w:szCs w:val="22"/>
        </w:rPr>
        <w:t xml:space="preserve">et </w:t>
      </w:r>
      <w:r w:rsidR="00630F39" w:rsidRPr="00332FCD">
        <w:rPr>
          <w:rFonts w:ascii="Andes" w:hAnsi="Andes" w:cs="Arial"/>
          <w:sz w:val="22"/>
          <w:szCs w:val="22"/>
        </w:rPr>
        <w:t xml:space="preserve">aux </w:t>
      </w:r>
      <w:r w:rsidR="00DD0A6C" w:rsidRPr="00332FCD">
        <w:rPr>
          <w:rFonts w:ascii="Andes" w:hAnsi="Andes" w:cs="Arial"/>
          <w:sz w:val="22"/>
          <w:szCs w:val="22"/>
        </w:rPr>
        <w:t xml:space="preserve">contrats </w:t>
      </w:r>
      <w:r w:rsidR="00630F39" w:rsidRPr="00332FCD">
        <w:rPr>
          <w:rFonts w:ascii="Andes" w:hAnsi="Andes" w:cs="Arial"/>
          <w:sz w:val="22"/>
          <w:szCs w:val="22"/>
        </w:rPr>
        <w:t>financés par</w:t>
      </w:r>
      <w:r w:rsidR="008C6D2D" w:rsidRPr="00332FCD">
        <w:rPr>
          <w:rFonts w:ascii="Andes" w:hAnsi="Andes" w:cs="Arial"/>
          <w:sz w:val="22"/>
          <w:szCs w:val="22"/>
        </w:rPr>
        <w:t xml:space="preserve"> </w:t>
      </w:r>
      <w:r w:rsidR="00117ECB" w:rsidRPr="00332FCD">
        <w:rPr>
          <w:rFonts w:ascii="Andes" w:hAnsi="Andes" w:cs="Arial"/>
          <w:sz w:val="22"/>
          <w:szCs w:val="22"/>
        </w:rPr>
        <w:t>la Banque,</w:t>
      </w:r>
      <w:r w:rsidR="003518FE" w:rsidRPr="00332FCD">
        <w:rPr>
          <w:rFonts w:ascii="Andes" w:hAnsi="Andes" w:cs="Arial"/>
          <w:sz w:val="22"/>
          <w:szCs w:val="22"/>
        </w:rPr>
        <w:t xml:space="preserve"> conformément aux dispositions de </w:t>
      </w:r>
      <w:r w:rsidR="00117ECB" w:rsidRPr="00332FCD">
        <w:rPr>
          <w:rFonts w:ascii="Andes" w:hAnsi="Andes" w:cs="Arial"/>
          <w:sz w:val="22"/>
          <w:szCs w:val="22"/>
        </w:rPr>
        <w:t xml:space="preserve">l’Accord Juridique. </w:t>
      </w:r>
      <w:r w:rsidR="003C66A7" w:rsidRPr="00332FCD">
        <w:rPr>
          <w:rFonts w:ascii="Andes" w:hAnsi="Andes" w:cs="Arial"/>
          <w:sz w:val="22"/>
          <w:szCs w:val="22"/>
        </w:rPr>
        <w:t xml:space="preserve"> </w:t>
      </w:r>
    </w:p>
    <w:p w14:paraId="5DE83982" w14:textId="26866DA6" w:rsidR="00C77D2C" w:rsidRPr="00332FCD" w:rsidRDefault="00E15BCC" w:rsidP="009C5622">
      <w:pPr>
        <w:pStyle w:val="Paragraphedeliste"/>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L’Emprunteur peut faire appel à des </w:t>
      </w:r>
      <w:r w:rsidR="00510D5A" w:rsidRPr="00332FCD">
        <w:rPr>
          <w:rFonts w:ascii="Andes" w:hAnsi="Andes" w:cs="Arial"/>
          <w:sz w:val="22"/>
          <w:szCs w:val="22"/>
        </w:rPr>
        <w:t>Garant</w:t>
      </w:r>
      <w:r w:rsidRPr="00332FCD">
        <w:rPr>
          <w:rFonts w:ascii="Andes" w:hAnsi="Andes" w:cs="Arial"/>
          <w:sz w:val="22"/>
          <w:szCs w:val="22"/>
        </w:rPr>
        <w:t>s de Probité indépendants à différents stades du Processus de Passation des Marchés, et notamment pendant les phases suivantes</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dialogue/échanges avec les entreprises</w:t>
      </w:r>
      <w:r w:rsidR="00742E4D">
        <w:rPr>
          <w:rFonts w:ascii="Andes" w:hAnsi="Andes" w:cs="Arial"/>
          <w:sz w:val="22"/>
          <w:szCs w:val="22"/>
        </w:rPr>
        <w:t xml:space="preserve"> (y compris l’Engagement précoce du marché)</w:t>
      </w:r>
      <w:r w:rsidRPr="00332FCD">
        <w:rPr>
          <w:rFonts w:ascii="Andes" w:hAnsi="Andes" w:cs="Arial"/>
          <w:sz w:val="22"/>
          <w:szCs w:val="22"/>
        </w:rPr>
        <w:t>,</w:t>
      </w:r>
      <w:r w:rsidR="002A5339" w:rsidRPr="00332FCD">
        <w:rPr>
          <w:rFonts w:ascii="Andes" w:hAnsi="Andes" w:cs="Arial"/>
          <w:sz w:val="22"/>
          <w:szCs w:val="22"/>
        </w:rPr>
        <w:t xml:space="preserve"> ouverture des plis contenant les Offres/Propositions, évaluation, négociations, décisions d’attribution des marchés</w:t>
      </w:r>
      <w:r w:rsidR="00DD0A6C" w:rsidRPr="00332FCD">
        <w:rPr>
          <w:rFonts w:ascii="Andes" w:hAnsi="Andes" w:cs="Arial"/>
          <w:sz w:val="22"/>
          <w:szCs w:val="22"/>
        </w:rPr>
        <w:t xml:space="preserve"> et contrats</w:t>
      </w:r>
      <w:r w:rsidR="002A5339" w:rsidRPr="00332FCD">
        <w:rPr>
          <w:rFonts w:ascii="Andes" w:hAnsi="Andes" w:cs="Arial"/>
          <w:sz w:val="22"/>
          <w:szCs w:val="22"/>
        </w:rPr>
        <w:t>, et/ou exécution des marchés</w:t>
      </w:r>
      <w:r w:rsidR="00DD0A6C" w:rsidRPr="00332FCD">
        <w:rPr>
          <w:rFonts w:ascii="Andes" w:hAnsi="Andes" w:cs="Arial"/>
          <w:sz w:val="22"/>
          <w:szCs w:val="22"/>
        </w:rPr>
        <w:t xml:space="preserve"> et contrats</w:t>
      </w:r>
      <w:r w:rsidRPr="00332FCD">
        <w:rPr>
          <w:rFonts w:ascii="Andes" w:hAnsi="Andes" w:cs="Arial"/>
          <w:sz w:val="22"/>
          <w:szCs w:val="22"/>
        </w:rPr>
        <w:t xml:space="preserve">. </w:t>
      </w:r>
      <w:r w:rsidR="009474FC" w:rsidRPr="00332FCD">
        <w:rPr>
          <w:rFonts w:ascii="Andes" w:hAnsi="Andes" w:cs="Arial"/>
          <w:sz w:val="22"/>
          <w:szCs w:val="22"/>
        </w:rPr>
        <w:t xml:space="preserve">Lorsque la Banque demande à l’Emprunteur de nommer un </w:t>
      </w:r>
      <w:r w:rsidR="00510D5A" w:rsidRPr="00332FCD">
        <w:rPr>
          <w:rFonts w:ascii="Andes" w:hAnsi="Andes" w:cs="Arial"/>
          <w:sz w:val="22"/>
          <w:szCs w:val="22"/>
        </w:rPr>
        <w:t>Garant</w:t>
      </w:r>
      <w:r w:rsidR="009474FC" w:rsidRPr="00332FCD">
        <w:rPr>
          <w:rFonts w:ascii="Andes" w:hAnsi="Andes" w:cs="Arial"/>
          <w:sz w:val="22"/>
          <w:szCs w:val="22"/>
        </w:rPr>
        <w:t xml:space="preserve"> de Probité, l’Emprunteur </w:t>
      </w:r>
      <w:r w:rsidR="009C5622" w:rsidRPr="00332FCD">
        <w:rPr>
          <w:rFonts w:ascii="Andes" w:hAnsi="Andes" w:cs="Arial"/>
          <w:sz w:val="22"/>
          <w:szCs w:val="22"/>
        </w:rPr>
        <w:t xml:space="preserve">soumet la sélection et la nomination dudit </w:t>
      </w:r>
      <w:r w:rsidR="00510D5A" w:rsidRPr="00332FCD">
        <w:rPr>
          <w:rFonts w:ascii="Andes" w:hAnsi="Andes" w:cs="Arial"/>
          <w:sz w:val="22"/>
          <w:szCs w:val="22"/>
        </w:rPr>
        <w:t>Garant</w:t>
      </w:r>
      <w:r w:rsidR="009C5622" w:rsidRPr="00332FCD">
        <w:rPr>
          <w:rFonts w:ascii="Andes" w:hAnsi="Andes" w:cs="Arial"/>
          <w:sz w:val="22"/>
          <w:szCs w:val="22"/>
        </w:rPr>
        <w:t xml:space="preserve"> à l’accord de la Banque</w:t>
      </w:r>
      <w:r w:rsidR="00687669" w:rsidRPr="00332FCD">
        <w:rPr>
          <w:rFonts w:ascii="Andes" w:hAnsi="Andes" w:cs="Arial"/>
          <w:sz w:val="22"/>
          <w:szCs w:val="22"/>
        </w:rPr>
        <w:t xml:space="preserve">.  </w:t>
      </w:r>
    </w:p>
    <w:p w14:paraId="30F30D5D" w14:textId="676825EB" w:rsidR="00C77D2C" w:rsidRPr="00332FCD" w:rsidRDefault="00380C5B" w:rsidP="00F8133F">
      <w:pPr>
        <w:spacing w:before="240" w:line="240" w:lineRule="auto"/>
        <w:contextualSpacing w:val="0"/>
        <w:rPr>
          <w:rFonts w:ascii="Andes" w:hAnsi="Andes" w:cs="Arial"/>
          <w:b/>
          <w:sz w:val="28"/>
          <w:szCs w:val="28"/>
        </w:rPr>
      </w:pPr>
      <w:r w:rsidRPr="00332FCD">
        <w:rPr>
          <w:rFonts w:ascii="Andes" w:hAnsi="Andes" w:cs="Arial"/>
          <w:b/>
          <w:sz w:val="28"/>
          <w:szCs w:val="28"/>
        </w:rPr>
        <w:t xml:space="preserve">Banque </w:t>
      </w:r>
    </w:p>
    <w:p w14:paraId="77547A27" w14:textId="0309F543" w:rsidR="00C77D2C" w:rsidRPr="00332FCD" w:rsidRDefault="00CD453C" w:rsidP="00F8133F">
      <w:pPr>
        <w:pStyle w:val="Paragraphedeliste"/>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Pour s’assurer que</w:t>
      </w:r>
      <w:r w:rsidR="00FD05B2" w:rsidRPr="00332FCD">
        <w:rPr>
          <w:rFonts w:ascii="Andes" w:hAnsi="Andes" w:cs="Arial"/>
          <w:sz w:val="22"/>
          <w:szCs w:val="22"/>
        </w:rPr>
        <w:t xml:space="preserve"> ses </w:t>
      </w:r>
      <w:r w:rsidRPr="00332FCD">
        <w:rPr>
          <w:rFonts w:ascii="Andes" w:hAnsi="Andes" w:cs="Arial"/>
          <w:sz w:val="22"/>
          <w:szCs w:val="22"/>
        </w:rPr>
        <w:t xml:space="preserve">fonds ne sont </w:t>
      </w:r>
      <w:r w:rsidR="008B3F4B" w:rsidRPr="00332FCD">
        <w:rPr>
          <w:rFonts w:ascii="Andes" w:hAnsi="Andes" w:cs="Arial"/>
          <w:sz w:val="22"/>
          <w:szCs w:val="22"/>
        </w:rPr>
        <w:t xml:space="preserve">utilisés </w:t>
      </w:r>
      <w:r w:rsidRPr="00332FCD">
        <w:rPr>
          <w:rFonts w:ascii="Andes" w:hAnsi="Andes" w:cs="Arial"/>
          <w:sz w:val="22"/>
          <w:szCs w:val="22"/>
        </w:rPr>
        <w:t>qu’aux fins prévues par le financement accordé</w:t>
      </w:r>
      <w:r w:rsidR="00FD05B2" w:rsidRPr="00332FCD">
        <w:rPr>
          <w:rFonts w:ascii="Andes" w:hAnsi="Andes" w:cs="Arial"/>
          <w:sz w:val="22"/>
          <w:szCs w:val="22"/>
        </w:rPr>
        <w:t xml:space="preserve">, la Banque s’acquitte de ses fonctions </w:t>
      </w:r>
      <w:r w:rsidR="00C92254" w:rsidRPr="00332FCD">
        <w:rPr>
          <w:rFonts w:ascii="Andes" w:hAnsi="Andes" w:cs="Arial"/>
          <w:sz w:val="22"/>
          <w:szCs w:val="22"/>
        </w:rPr>
        <w:t xml:space="preserve">en matière </w:t>
      </w:r>
      <w:r w:rsidR="00FD05B2" w:rsidRPr="00332FCD">
        <w:rPr>
          <w:rFonts w:ascii="Andes" w:hAnsi="Andes" w:cs="Arial"/>
          <w:sz w:val="22"/>
          <w:szCs w:val="22"/>
        </w:rPr>
        <w:t xml:space="preserve">de passation des marchés, dont l’appui </w:t>
      </w:r>
      <w:proofErr w:type="gramStart"/>
      <w:r w:rsidR="00FD05B2" w:rsidRPr="00332FCD">
        <w:rPr>
          <w:rFonts w:ascii="Andes" w:hAnsi="Andes" w:cs="Arial"/>
          <w:sz w:val="22"/>
          <w:szCs w:val="22"/>
        </w:rPr>
        <w:t>à</w:t>
      </w:r>
      <w:r w:rsidR="00A01357" w:rsidRPr="00332FCD">
        <w:rPr>
          <w:rFonts w:ascii="Andes" w:hAnsi="Andes" w:cs="Arial"/>
          <w:sz w:val="22"/>
          <w:szCs w:val="22"/>
        </w:rPr>
        <w:t xml:space="preserve"> </w:t>
      </w:r>
      <w:r w:rsidR="00C92254" w:rsidRPr="00332FCD">
        <w:rPr>
          <w:rFonts w:ascii="Andes" w:hAnsi="Andes" w:cs="Arial"/>
          <w:sz w:val="22"/>
          <w:szCs w:val="22"/>
        </w:rPr>
        <w:t xml:space="preserve"> la</w:t>
      </w:r>
      <w:proofErr w:type="gramEnd"/>
      <w:r w:rsidR="00C92254" w:rsidRPr="00332FCD">
        <w:rPr>
          <w:rFonts w:ascii="Andes" w:hAnsi="Andes" w:cs="Arial"/>
          <w:sz w:val="22"/>
          <w:szCs w:val="22"/>
        </w:rPr>
        <w:t xml:space="preserve"> mise en œuvre</w:t>
      </w:r>
      <w:r w:rsidR="00FD05B2" w:rsidRPr="00332FCD">
        <w:rPr>
          <w:rFonts w:ascii="Andes" w:hAnsi="Andes" w:cs="Arial"/>
          <w:sz w:val="22"/>
          <w:szCs w:val="22"/>
        </w:rPr>
        <w:t xml:space="preserve">, le suivi et le contrôle de la passation des marchés, </w:t>
      </w:r>
      <w:r w:rsidR="008C6D2D" w:rsidRPr="00332FCD">
        <w:rPr>
          <w:rFonts w:ascii="Andes" w:hAnsi="Andes" w:cs="Arial"/>
          <w:sz w:val="22"/>
          <w:szCs w:val="22"/>
        </w:rPr>
        <w:t>sur la base d’</w:t>
      </w:r>
      <w:r w:rsidR="00FD05B2" w:rsidRPr="00332FCD">
        <w:rPr>
          <w:rFonts w:ascii="Andes" w:hAnsi="Andes" w:cs="Arial"/>
          <w:sz w:val="22"/>
          <w:szCs w:val="22"/>
        </w:rPr>
        <w:t xml:space="preserve">une approche basée sur les risques. </w:t>
      </w:r>
      <w:r w:rsidR="009E6FD5" w:rsidRPr="00332FCD">
        <w:rPr>
          <w:rFonts w:ascii="Andes" w:hAnsi="Andes" w:cs="Arial"/>
          <w:sz w:val="22"/>
          <w:szCs w:val="22"/>
        </w:rPr>
        <w:t xml:space="preserve">Pour plus de détails, voir </w:t>
      </w:r>
      <w:r w:rsidR="007C089A">
        <w:rPr>
          <w:rFonts w:ascii="Andes" w:hAnsi="Andes" w:cs="Arial"/>
          <w:sz w:val="22"/>
          <w:szCs w:val="22"/>
        </w:rPr>
        <w:t>A</w:t>
      </w:r>
      <w:r w:rsidR="00FD05B2" w:rsidRPr="00332FCD">
        <w:rPr>
          <w:rFonts w:ascii="Andes" w:hAnsi="Andes" w:cs="Arial"/>
          <w:sz w:val="22"/>
          <w:szCs w:val="22"/>
        </w:rPr>
        <w:t>nnexe II, Contrôle de la passation des marchés</w:t>
      </w:r>
      <w:r w:rsidR="00C77D2C" w:rsidRPr="00332FCD">
        <w:rPr>
          <w:rFonts w:ascii="Andes" w:hAnsi="Andes" w:cs="Arial"/>
          <w:sz w:val="22"/>
          <w:szCs w:val="22"/>
        </w:rPr>
        <w:t>.</w:t>
      </w:r>
    </w:p>
    <w:p w14:paraId="7EDF3468" w14:textId="5A638097" w:rsidR="00C92912" w:rsidRPr="00332FCD" w:rsidRDefault="00FD05B2" w:rsidP="009E57F0">
      <w:pPr>
        <w:pStyle w:val="Paragraphedeliste"/>
        <w:spacing w:before="240" w:line="240" w:lineRule="auto"/>
        <w:ind w:left="720"/>
        <w:contextualSpacing w:val="0"/>
        <w:rPr>
          <w:rFonts w:ascii="Andes" w:hAnsi="Andes" w:cs="Arial"/>
          <w:color w:val="000000" w:themeColor="text1"/>
          <w:sz w:val="28"/>
          <w:szCs w:val="28"/>
          <w:u w:val="single"/>
        </w:rPr>
      </w:pPr>
      <w:r w:rsidRPr="00332FCD">
        <w:rPr>
          <w:rFonts w:ascii="Andes" w:hAnsi="Andes" w:cs="Arial"/>
          <w:color w:val="000000" w:themeColor="text1"/>
          <w:sz w:val="28"/>
          <w:szCs w:val="28"/>
          <w:u w:val="single"/>
        </w:rPr>
        <w:t>Examen préalable et examen a posteriori</w:t>
      </w:r>
    </w:p>
    <w:p w14:paraId="53EA7EEE" w14:textId="6CA968F3" w:rsidR="00C77D2C" w:rsidRPr="00332FCD" w:rsidRDefault="005B048C" w:rsidP="00F8133F">
      <w:pPr>
        <w:pStyle w:val="Paragraphedeliste"/>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Lorsque les </w:t>
      </w:r>
      <w:r w:rsidR="00FD05B2" w:rsidRPr="00332FCD">
        <w:rPr>
          <w:rFonts w:ascii="Andes" w:hAnsi="Andes" w:cs="Arial"/>
          <w:sz w:val="22"/>
          <w:szCs w:val="22"/>
        </w:rPr>
        <w:t>activités de passation des marchés</w:t>
      </w:r>
      <w:r w:rsidR="00476706" w:rsidRPr="00332FCD">
        <w:rPr>
          <w:rFonts w:ascii="Andes" w:hAnsi="Andes" w:cs="Arial"/>
          <w:sz w:val="22"/>
          <w:szCs w:val="22"/>
        </w:rPr>
        <w:t xml:space="preserve"> </w:t>
      </w:r>
      <w:r w:rsidR="00014587" w:rsidRPr="00332FCD">
        <w:rPr>
          <w:rFonts w:ascii="Andes" w:hAnsi="Andes" w:cs="Arial"/>
          <w:sz w:val="22"/>
          <w:szCs w:val="22"/>
        </w:rPr>
        <w:t xml:space="preserve">sont </w:t>
      </w:r>
      <w:r w:rsidR="00476706" w:rsidRPr="00332FCD">
        <w:rPr>
          <w:rFonts w:ascii="Andes" w:hAnsi="Andes" w:cs="Arial"/>
          <w:sz w:val="22"/>
          <w:szCs w:val="22"/>
        </w:rPr>
        <w:t>d’un montant élevé et/ou à haut risque</w:t>
      </w:r>
      <w:r w:rsidRPr="00332FCD">
        <w:rPr>
          <w:rFonts w:ascii="Andes" w:hAnsi="Andes" w:cs="Arial"/>
          <w:sz w:val="22"/>
          <w:szCs w:val="22"/>
        </w:rPr>
        <w:t>, la Banque réalise un examen préalable</w:t>
      </w:r>
      <w:r w:rsidR="00014587" w:rsidRPr="00332FCD">
        <w:rPr>
          <w:rFonts w:ascii="Andes" w:hAnsi="Andes" w:cs="Arial"/>
          <w:sz w:val="22"/>
          <w:szCs w:val="22"/>
        </w:rPr>
        <w:t xml:space="preserve"> pour déterminer si elles sont exécutées dans les conditions prévues par l’Accord Juridique.</w:t>
      </w:r>
      <w:r w:rsidR="00FD05B2" w:rsidRPr="00332FCD">
        <w:rPr>
          <w:rFonts w:ascii="Andes" w:hAnsi="Andes" w:cs="Arial"/>
          <w:sz w:val="22"/>
          <w:szCs w:val="22"/>
        </w:rPr>
        <w:t xml:space="preserve"> </w:t>
      </w:r>
    </w:p>
    <w:p w14:paraId="661441C2" w14:textId="2B1C5685" w:rsidR="00C77D2C" w:rsidRPr="00332FCD" w:rsidRDefault="00014587" w:rsidP="00F8133F">
      <w:pPr>
        <w:pStyle w:val="Paragraphedeliste"/>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La Banque réalise aussi un examen a posteriori des activités de passation des marchés entreprises par l’Emprunteur pour déterminer si elles sont conformes aux dispositions de l’Accord Juridique. Elle peut </w:t>
      </w:r>
      <w:r w:rsidR="008C6D2D" w:rsidRPr="00332FCD">
        <w:rPr>
          <w:rFonts w:ascii="Andes" w:hAnsi="Andes" w:cs="Arial"/>
          <w:sz w:val="22"/>
          <w:szCs w:val="22"/>
        </w:rPr>
        <w:t xml:space="preserve">aussi </w:t>
      </w:r>
      <w:r w:rsidRPr="00332FCD">
        <w:rPr>
          <w:rFonts w:ascii="Andes" w:hAnsi="Andes" w:cs="Arial"/>
          <w:sz w:val="22"/>
          <w:szCs w:val="22"/>
        </w:rPr>
        <w:t>faire appel à une tierce partie,</w:t>
      </w:r>
      <w:r w:rsidR="00FB7BAE" w:rsidRPr="00332FCD">
        <w:rPr>
          <w:rFonts w:ascii="Andes" w:hAnsi="Andes" w:cs="Arial"/>
          <w:sz w:val="22"/>
          <w:szCs w:val="22"/>
        </w:rPr>
        <w:t xml:space="preserve"> telle </w:t>
      </w:r>
      <w:r w:rsidRPr="00332FCD">
        <w:rPr>
          <w:rFonts w:ascii="Andes" w:hAnsi="Andes" w:cs="Arial"/>
          <w:sz w:val="22"/>
          <w:szCs w:val="22"/>
        </w:rPr>
        <w:t>qu’une institution supérieure de contrôle, qu’elle juge</w:t>
      </w:r>
      <w:r w:rsidR="008C6D2D" w:rsidRPr="00332FCD">
        <w:rPr>
          <w:rFonts w:ascii="Andes" w:hAnsi="Andes" w:cs="Arial"/>
          <w:sz w:val="22"/>
          <w:szCs w:val="22"/>
        </w:rPr>
        <w:t>ra</w:t>
      </w:r>
      <w:r w:rsidRPr="00332FCD">
        <w:rPr>
          <w:rFonts w:ascii="Andes" w:hAnsi="Andes" w:cs="Arial"/>
          <w:sz w:val="22"/>
          <w:szCs w:val="22"/>
        </w:rPr>
        <w:t xml:space="preserve"> acceptable, pour </w:t>
      </w:r>
      <w:r w:rsidR="00FB7BAE" w:rsidRPr="00332FCD">
        <w:rPr>
          <w:rFonts w:ascii="Andes" w:hAnsi="Andes" w:cs="Arial"/>
          <w:sz w:val="22"/>
          <w:szCs w:val="22"/>
        </w:rPr>
        <w:t>réaliser</w:t>
      </w:r>
      <w:r w:rsidR="008C6D2D" w:rsidRPr="00332FCD">
        <w:rPr>
          <w:rFonts w:ascii="Andes" w:hAnsi="Andes" w:cs="Arial"/>
          <w:sz w:val="22"/>
          <w:szCs w:val="22"/>
        </w:rPr>
        <w:t xml:space="preserve"> cet examen</w:t>
      </w:r>
      <w:r w:rsidRPr="00332FCD">
        <w:rPr>
          <w:rFonts w:ascii="Andes" w:hAnsi="Andes" w:cs="Arial"/>
          <w:sz w:val="22"/>
          <w:szCs w:val="22"/>
        </w:rPr>
        <w:t xml:space="preserve">. </w:t>
      </w:r>
      <w:r w:rsidR="00FB7BAE" w:rsidRPr="00332FCD">
        <w:rPr>
          <w:rFonts w:ascii="Andes" w:hAnsi="Andes" w:cs="Arial"/>
          <w:sz w:val="22"/>
          <w:szCs w:val="22"/>
        </w:rPr>
        <w:t>Ladite tierce partie</w:t>
      </w:r>
      <w:r w:rsidR="00B662C3">
        <w:rPr>
          <w:rFonts w:ascii="Andes" w:hAnsi="Andes" w:cs="Arial"/>
          <w:sz w:val="22"/>
          <w:szCs w:val="22"/>
        </w:rPr>
        <w:t xml:space="preserve"> devra</w:t>
      </w:r>
      <w:r w:rsidR="00FB7BAE" w:rsidRPr="00332FCD">
        <w:rPr>
          <w:rFonts w:ascii="Andes" w:hAnsi="Andes" w:cs="Arial"/>
          <w:sz w:val="22"/>
          <w:szCs w:val="22"/>
        </w:rPr>
        <w:t xml:space="preserve"> condui</w:t>
      </w:r>
      <w:r w:rsidR="00B662C3">
        <w:rPr>
          <w:rFonts w:ascii="Andes" w:hAnsi="Andes" w:cs="Arial"/>
          <w:sz w:val="22"/>
          <w:szCs w:val="22"/>
        </w:rPr>
        <w:t>re</w:t>
      </w:r>
      <w:r w:rsidR="00FB7BAE" w:rsidRPr="00332FCD">
        <w:rPr>
          <w:rFonts w:ascii="Andes" w:hAnsi="Andes" w:cs="Arial"/>
          <w:sz w:val="22"/>
          <w:szCs w:val="22"/>
        </w:rPr>
        <w:t xml:space="preserve"> l’examen en se conformant aux </w:t>
      </w:r>
      <w:r w:rsidR="007A4AB3" w:rsidRPr="00332FCD">
        <w:rPr>
          <w:rFonts w:ascii="Andes" w:hAnsi="Andes" w:cs="Arial"/>
          <w:sz w:val="22"/>
          <w:szCs w:val="22"/>
        </w:rPr>
        <w:t>T</w:t>
      </w:r>
      <w:r w:rsidR="00C11AE3" w:rsidRPr="00332FCD">
        <w:rPr>
          <w:rFonts w:ascii="Andes" w:hAnsi="Andes" w:cs="Arial"/>
          <w:sz w:val="22"/>
          <w:szCs w:val="22"/>
        </w:rPr>
        <w:t xml:space="preserve">ermes </w:t>
      </w:r>
      <w:r w:rsidR="00FB7BAE" w:rsidRPr="00332FCD">
        <w:rPr>
          <w:rFonts w:ascii="Andes" w:hAnsi="Andes" w:cs="Arial"/>
          <w:sz w:val="22"/>
          <w:szCs w:val="22"/>
        </w:rPr>
        <w:t xml:space="preserve">de </w:t>
      </w:r>
      <w:r w:rsidR="00C11AE3" w:rsidRPr="00332FCD">
        <w:rPr>
          <w:rFonts w:ascii="Andes" w:hAnsi="Andes" w:cs="Arial"/>
          <w:sz w:val="22"/>
          <w:szCs w:val="22"/>
        </w:rPr>
        <w:t xml:space="preserve">référence </w:t>
      </w:r>
      <w:r w:rsidR="00B662C3">
        <w:rPr>
          <w:rFonts w:ascii="Andes" w:hAnsi="Andes" w:cs="Arial"/>
          <w:sz w:val="22"/>
          <w:szCs w:val="22"/>
        </w:rPr>
        <w:t xml:space="preserve">(TDR) </w:t>
      </w:r>
      <w:r w:rsidR="00FB7BAE" w:rsidRPr="00332FCD">
        <w:rPr>
          <w:rFonts w:ascii="Andes" w:hAnsi="Andes" w:cs="Arial"/>
          <w:sz w:val="22"/>
          <w:szCs w:val="22"/>
        </w:rPr>
        <w:t>que lui fournit la Banque</w:t>
      </w:r>
      <w:r w:rsidR="00687669" w:rsidRPr="00332FCD">
        <w:rPr>
          <w:rFonts w:ascii="Andes" w:hAnsi="Andes" w:cs="Arial"/>
          <w:sz w:val="22"/>
          <w:szCs w:val="22"/>
        </w:rPr>
        <w:t xml:space="preserve">.  </w:t>
      </w:r>
    </w:p>
    <w:p w14:paraId="322B8C64" w14:textId="617F2987" w:rsidR="00C77D2C" w:rsidRPr="00332FCD" w:rsidRDefault="005B048C" w:rsidP="00F8133F">
      <w:pPr>
        <w:pStyle w:val="Paragraphedeliste"/>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La décision de soumettre un marché à un examen préalable ou à un examen a posteriori est </w:t>
      </w:r>
      <w:r w:rsidR="00730BDF" w:rsidRPr="00332FCD">
        <w:rPr>
          <w:rFonts w:ascii="Andes" w:hAnsi="Andes" w:cs="Arial"/>
          <w:sz w:val="22"/>
          <w:szCs w:val="22"/>
        </w:rPr>
        <w:t>fonction</w:t>
      </w:r>
      <w:r w:rsidRPr="00332FCD">
        <w:rPr>
          <w:rFonts w:ascii="Andes" w:hAnsi="Andes" w:cs="Arial"/>
          <w:sz w:val="22"/>
          <w:szCs w:val="22"/>
        </w:rPr>
        <w:t xml:space="preserve"> des </w:t>
      </w:r>
      <w:r w:rsidR="00C11AE3" w:rsidRPr="00332FCD">
        <w:rPr>
          <w:rFonts w:ascii="Andes" w:hAnsi="Andes" w:cs="Arial"/>
          <w:sz w:val="22"/>
          <w:szCs w:val="22"/>
        </w:rPr>
        <w:t xml:space="preserve">risques de passation des marchés qui sont propres au projet et au </w:t>
      </w:r>
      <w:r w:rsidR="00784239" w:rsidRPr="00332FCD">
        <w:rPr>
          <w:rFonts w:ascii="Andes" w:hAnsi="Andes" w:cs="Arial"/>
          <w:sz w:val="22"/>
          <w:szCs w:val="22"/>
        </w:rPr>
        <w:t>marché</w:t>
      </w:r>
      <w:r w:rsidR="00C11AE3" w:rsidRPr="00332FCD">
        <w:rPr>
          <w:rFonts w:ascii="Andes" w:hAnsi="Andes" w:cs="Arial"/>
          <w:sz w:val="22"/>
          <w:szCs w:val="22"/>
        </w:rPr>
        <w:t xml:space="preserve"> considérés</w:t>
      </w:r>
      <w:r w:rsidR="007E520C" w:rsidRPr="00332FCD">
        <w:rPr>
          <w:rFonts w:ascii="Andes" w:hAnsi="Andes" w:cs="Arial"/>
          <w:sz w:val="22"/>
          <w:szCs w:val="22"/>
        </w:rPr>
        <w:t xml:space="preserve">. </w:t>
      </w:r>
      <w:r w:rsidR="007E520C" w:rsidRPr="00332FCD">
        <w:rPr>
          <w:rFonts w:ascii="Andes" w:hAnsi="Andes" w:cs="Arial"/>
          <w:sz w:val="22"/>
          <w:szCs w:val="22"/>
        </w:rPr>
        <w:lastRenderedPageBreak/>
        <w:t xml:space="preserve">Ces risques sont évalués par la Banque pendant la préparation du projet, puis </w:t>
      </w:r>
      <w:r w:rsidR="00730BDF" w:rsidRPr="00332FCD">
        <w:rPr>
          <w:rFonts w:ascii="Andes" w:hAnsi="Andes" w:cs="Arial"/>
          <w:sz w:val="22"/>
          <w:szCs w:val="22"/>
        </w:rPr>
        <w:t>réévalués</w:t>
      </w:r>
      <w:r w:rsidR="007E520C" w:rsidRPr="00332FCD">
        <w:rPr>
          <w:rFonts w:ascii="Andes" w:hAnsi="Andes" w:cs="Arial"/>
          <w:sz w:val="22"/>
          <w:szCs w:val="22"/>
        </w:rPr>
        <w:t xml:space="preserve"> et actualisés pendant son exécution. </w:t>
      </w:r>
    </w:p>
    <w:p w14:paraId="4BB594CB" w14:textId="5784A5C1" w:rsidR="00C77D2C" w:rsidRPr="00332FCD" w:rsidRDefault="005B048C" w:rsidP="00F8133F">
      <w:pPr>
        <w:pStyle w:val="Paragraphedeliste"/>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L’obligation de réaliser un examen préalable ou un examen a posteriori figure dans le </w:t>
      </w:r>
      <w:r w:rsidR="007E520C" w:rsidRPr="00332FCD">
        <w:rPr>
          <w:rFonts w:ascii="Andes" w:hAnsi="Andes" w:cs="Arial"/>
          <w:sz w:val="22"/>
          <w:szCs w:val="22"/>
        </w:rPr>
        <w:t>Plan de Passation des Marchés. Pendant l’exécution du projet, la Banque</w:t>
      </w:r>
      <w:r w:rsidR="00951B36" w:rsidRPr="00332FCD">
        <w:rPr>
          <w:rFonts w:ascii="Andes" w:hAnsi="Andes" w:cs="Arial"/>
          <w:sz w:val="22"/>
          <w:szCs w:val="22"/>
        </w:rPr>
        <w:t xml:space="preserve"> suit </w:t>
      </w:r>
      <w:r w:rsidR="00F34F56" w:rsidRPr="00332FCD">
        <w:rPr>
          <w:rFonts w:ascii="Andes" w:hAnsi="Andes" w:cs="Arial"/>
          <w:sz w:val="22"/>
          <w:szCs w:val="22"/>
        </w:rPr>
        <w:t>l’évolution du</w:t>
      </w:r>
      <w:r w:rsidR="007E520C" w:rsidRPr="00332FCD">
        <w:rPr>
          <w:rFonts w:ascii="Andes" w:hAnsi="Andes" w:cs="Arial"/>
          <w:sz w:val="22"/>
          <w:szCs w:val="22"/>
        </w:rPr>
        <w:t xml:space="preserve"> risque </w:t>
      </w:r>
      <w:r w:rsidR="00951B36" w:rsidRPr="00332FCD">
        <w:rPr>
          <w:rFonts w:ascii="Andes" w:hAnsi="Andes" w:cs="Arial"/>
          <w:sz w:val="22"/>
          <w:szCs w:val="22"/>
        </w:rPr>
        <w:t xml:space="preserve">et </w:t>
      </w:r>
      <w:r w:rsidR="008C6D2D" w:rsidRPr="00332FCD">
        <w:rPr>
          <w:rFonts w:ascii="Andes" w:hAnsi="Andes" w:cs="Arial"/>
          <w:sz w:val="22"/>
          <w:szCs w:val="22"/>
        </w:rPr>
        <w:t xml:space="preserve">les </w:t>
      </w:r>
      <w:r w:rsidR="00951B36" w:rsidRPr="00332FCD">
        <w:rPr>
          <w:rFonts w:ascii="Andes" w:hAnsi="Andes" w:cs="Arial"/>
          <w:sz w:val="22"/>
          <w:szCs w:val="22"/>
        </w:rPr>
        <w:t>mesures</w:t>
      </w:r>
      <w:r w:rsidR="00F34F56" w:rsidRPr="00332FCD">
        <w:rPr>
          <w:rFonts w:ascii="Andes" w:hAnsi="Andes" w:cs="Arial"/>
          <w:sz w:val="22"/>
          <w:szCs w:val="22"/>
        </w:rPr>
        <w:t xml:space="preserve"> d’atténuation de ce risque, et le</w:t>
      </w:r>
      <w:r w:rsidR="008C6D2D" w:rsidRPr="00332FCD">
        <w:rPr>
          <w:rFonts w:ascii="Andes" w:hAnsi="Andes" w:cs="Arial"/>
          <w:sz w:val="22"/>
          <w:szCs w:val="22"/>
        </w:rPr>
        <w:t>s</w:t>
      </w:r>
      <w:r w:rsidR="00F34F56" w:rsidRPr="00332FCD">
        <w:rPr>
          <w:rFonts w:ascii="Andes" w:hAnsi="Andes" w:cs="Arial"/>
          <w:sz w:val="22"/>
          <w:szCs w:val="22"/>
        </w:rPr>
        <w:t xml:space="preserve"> réévalue</w:t>
      </w:r>
      <w:r w:rsidR="00951B36" w:rsidRPr="00332FCD">
        <w:rPr>
          <w:rFonts w:ascii="Andes" w:hAnsi="Andes" w:cs="Arial"/>
          <w:sz w:val="22"/>
          <w:szCs w:val="22"/>
        </w:rPr>
        <w:t xml:space="preserve">. Si elle le juge nécessaire et </w:t>
      </w:r>
      <w:r w:rsidR="00730BDF" w:rsidRPr="00332FCD">
        <w:rPr>
          <w:rFonts w:ascii="Andes" w:hAnsi="Andes" w:cs="Arial"/>
          <w:sz w:val="22"/>
          <w:szCs w:val="22"/>
        </w:rPr>
        <w:t>approprié</w:t>
      </w:r>
      <w:r w:rsidR="00951B36" w:rsidRPr="00332FCD">
        <w:rPr>
          <w:rFonts w:ascii="Andes" w:hAnsi="Andes" w:cs="Arial"/>
          <w:sz w:val="22"/>
          <w:szCs w:val="22"/>
        </w:rPr>
        <w:t>,</w:t>
      </w:r>
      <w:r w:rsidRPr="00332FCD">
        <w:rPr>
          <w:rFonts w:ascii="Andes" w:hAnsi="Andes" w:cs="Arial"/>
          <w:sz w:val="22"/>
          <w:szCs w:val="22"/>
        </w:rPr>
        <w:t xml:space="preserve"> elle </w:t>
      </w:r>
      <w:r w:rsidR="00951B36" w:rsidRPr="00332FCD">
        <w:rPr>
          <w:rFonts w:ascii="Andes" w:hAnsi="Andes" w:cs="Arial"/>
          <w:sz w:val="22"/>
          <w:szCs w:val="22"/>
        </w:rPr>
        <w:t>peut demander à l’</w:t>
      </w:r>
      <w:r w:rsidRPr="00332FCD">
        <w:rPr>
          <w:rFonts w:ascii="Andes" w:hAnsi="Andes" w:cs="Arial"/>
          <w:sz w:val="22"/>
          <w:szCs w:val="22"/>
        </w:rPr>
        <w:t xml:space="preserve">Emprunteur </w:t>
      </w:r>
      <w:r w:rsidR="00951B36" w:rsidRPr="00332FCD">
        <w:rPr>
          <w:rFonts w:ascii="Andes" w:hAnsi="Andes" w:cs="Arial"/>
          <w:sz w:val="22"/>
          <w:szCs w:val="22"/>
        </w:rPr>
        <w:t xml:space="preserve">de réviser </w:t>
      </w:r>
      <w:r w:rsidR="008C6D2D" w:rsidRPr="00332FCD">
        <w:rPr>
          <w:rFonts w:ascii="Andes" w:hAnsi="Andes" w:cs="Arial"/>
          <w:sz w:val="22"/>
          <w:szCs w:val="22"/>
        </w:rPr>
        <w:t xml:space="preserve">les conditions </w:t>
      </w:r>
      <w:r w:rsidR="00D40351" w:rsidRPr="00332FCD">
        <w:rPr>
          <w:rFonts w:ascii="Andes" w:hAnsi="Andes" w:cs="Arial"/>
          <w:sz w:val="22"/>
          <w:szCs w:val="22"/>
        </w:rPr>
        <w:t xml:space="preserve">d’examen préalable et/ou d’examen a posteriori </w:t>
      </w:r>
      <w:r w:rsidR="008C6D2D" w:rsidRPr="00332FCD">
        <w:rPr>
          <w:rFonts w:ascii="Andes" w:hAnsi="Andes" w:cs="Arial"/>
          <w:sz w:val="22"/>
          <w:szCs w:val="22"/>
        </w:rPr>
        <w:t xml:space="preserve">telles que prévues </w:t>
      </w:r>
      <w:r w:rsidR="00D40351" w:rsidRPr="00332FCD">
        <w:rPr>
          <w:rFonts w:ascii="Andes" w:hAnsi="Andes" w:cs="Arial"/>
          <w:sz w:val="22"/>
          <w:szCs w:val="22"/>
        </w:rPr>
        <w:t xml:space="preserve">dans le Plan de Passation des Marchés. </w:t>
      </w:r>
    </w:p>
    <w:p w14:paraId="101A1FFE" w14:textId="1045F17F" w:rsidR="00C77D2C" w:rsidRPr="00332FCD" w:rsidRDefault="008E1B9F" w:rsidP="000A68E8">
      <w:pPr>
        <w:pStyle w:val="Paragraphedeliste"/>
        <w:spacing w:before="240" w:line="240" w:lineRule="auto"/>
        <w:contextualSpacing w:val="0"/>
        <w:rPr>
          <w:rFonts w:ascii="Andes" w:hAnsi="Andes" w:cs="Arial"/>
          <w:color w:val="000000" w:themeColor="text1"/>
          <w:sz w:val="28"/>
          <w:szCs w:val="28"/>
          <w:u w:val="single"/>
        </w:rPr>
      </w:pPr>
      <w:bookmarkStart w:id="14" w:name="_Toc451889990"/>
      <w:r w:rsidRPr="00332FCD">
        <w:rPr>
          <w:rFonts w:ascii="Andes" w:hAnsi="Andes" w:cs="Arial"/>
          <w:color w:val="000000" w:themeColor="text1"/>
          <w:sz w:val="28"/>
          <w:szCs w:val="28"/>
        </w:rPr>
        <w:t xml:space="preserve">          </w:t>
      </w:r>
      <w:r w:rsidR="002C3764" w:rsidRPr="00332FCD">
        <w:rPr>
          <w:rFonts w:ascii="Andes" w:hAnsi="Andes" w:cs="Arial"/>
          <w:color w:val="000000" w:themeColor="text1"/>
          <w:sz w:val="28"/>
          <w:szCs w:val="28"/>
          <w:u w:val="single"/>
        </w:rPr>
        <w:t xml:space="preserve">Examens indépendants de la passation des marchés </w:t>
      </w:r>
      <w:bookmarkEnd w:id="14"/>
    </w:p>
    <w:p w14:paraId="554A0A7F" w14:textId="5038176A" w:rsidR="00C77D2C" w:rsidRPr="00332FCD" w:rsidRDefault="002C3764" w:rsidP="00F8133F">
      <w:pPr>
        <w:pStyle w:val="Paragraphedeliste"/>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Les examens indépendants de la passation des marchés sont des audits réalisés par des tierces parties indépendantes nommées par la Banque</w:t>
      </w:r>
      <w:r w:rsidR="00A01357" w:rsidRPr="00332FCD">
        <w:rPr>
          <w:rFonts w:ascii="Andes" w:hAnsi="Andes" w:cs="Arial"/>
          <w:sz w:val="22"/>
          <w:szCs w:val="22"/>
        </w:rPr>
        <w:t xml:space="preserve"> lorsque celle-ci détermine qu’un tel examen est nécessaire, à la lumière de son évaluation </w:t>
      </w:r>
      <w:r w:rsidR="005B048C" w:rsidRPr="00332FCD">
        <w:rPr>
          <w:rFonts w:ascii="Andes" w:hAnsi="Andes" w:cs="Arial"/>
          <w:sz w:val="22"/>
          <w:szCs w:val="22"/>
        </w:rPr>
        <w:t>des risques</w:t>
      </w:r>
      <w:r w:rsidR="00A01357" w:rsidRPr="00332FCD">
        <w:rPr>
          <w:rFonts w:ascii="Andes" w:hAnsi="Andes" w:cs="Arial"/>
          <w:sz w:val="22"/>
          <w:szCs w:val="22"/>
        </w:rPr>
        <w:t xml:space="preserve">. L’Emprunteur </w:t>
      </w:r>
      <w:r w:rsidR="00E04EEB" w:rsidRPr="00332FCD">
        <w:rPr>
          <w:rFonts w:ascii="Andes" w:hAnsi="Andes" w:cs="Arial"/>
          <w:sz w:val="22"/>
          <w:szCs w:val="22"/>
        </w:rPr>
        <w:t xml:space="preserve">doit </w:t>
      </w:r>
      <w:r w:rsidR="00A01357" w:rsidRPr="00332FCD">
        <w:rPr>
          <w:rFonts w:ascii="Andes" w:hAnsi="Andes" w:cs="Arial"/>
          <w:sz w:val="22"/>
          <w:szCs w:val="22"/>
        </w:rPr>
        <w:t>coop</w:t>
      </w:r>
      <w:r w:rsidR="00E04EEB" w:rsidRPr="00332FCD">
        <w:rPr>
          <w:rFonts w:ascii="Andes" w:hAnsi="Andes" w:cs="Arial"/>
          <w:sz w:val="22"/>
          <w:szCs w:val="22"/>
        </w:rPr>
        <w:t>é</w:t>
      </w:r>
      <w:r w:rsidR="00A01357" w:rsidRPr="00332FCD">
        <w:rPr>
          <w:rFonts w:ascii="Andes" w:hAnsi="Andes" w:cs="Arial"/>
          <w:sz w:val="22"/>
          <w:szCs w:val="22"/>
        </w:rPr>
        <w:t>re</w:t>
      </w:r>
      <w:r w:rsidR="00E04EEB" w:rsidRPr="00332FCD">
        <w:rPr>
          <w:rFonts w:ascii="Andes" w:hAnsi="Andes" w:cs="Arial"/>
          <w:sz w:val="22"/>
          <w:szCs w:val="22"/>
        </w:rPr>
        <w:t>r</w:t>
      </w:r>
      <w:r w:rsidR="00A01357" w:rsidRPr="00332FCD">
        <w:rPr>
          <w:rFonts w:ascii="Andes" w:hAnsi="Andes" w:cs="Arial"/>
          <w:sz w:val="22"/>
          <w:szCs w:val="22"/>
        </w:rPr>
        <w:t xml:space="preserve"> avec</w:t>
      </w:r>
      <w:r w:rsidR="005B048C" w:rsidRPr="00332FCD">
        <w:rPr>
          <w:rFonts w:ascii="Andes" w:hAnsi="Andes" w:cs="Arial"/>
          <w:sz w:val="22"/>
          <w:szCs w:val="22"/>
        </w:rPr>
        <w:t xml:space="preserve"> ces </w:t>
      </w:r>
      <w:r w:rsidR="00A01357" w:rsidRPr="00332FCD">
        <w:rPr>
          <w:rFonts w:ascii="Andes" w:hAnsi="Andes" w:cs="Arial"/>
          <w:sz w:val="22"/>
          <w:szCs w:val="22"/>
        </w:rPr>
        <w:t>tierces parties et leur donne</w:t>
      </w:r>
      <w:r w:rsidR="00E04EEB" w:rsidRPr="00332FCD">
        <w:rPr>
          <w:rFonts w:ascii="Andes" w:hAnsi="Andes" w:cs="Arial"/>
          <w:sz w:val="22"/>
          <w:szCs w:val="22"/>
        </w:rPr>
        <w:t>r</w:t>
      </w:r>
      <w:r w:rsidR="00A01357" w:rsidRPr="00332FCD">
        <w:rPr>
          <w:rFonts w:ascii="Andes" w:hAnsi="Andes" w:cs="Arial"/>
          <w:sz w:val="22"/>
          <w:szCs w:val="22"/>
        </w:rPr>
        <w:t xml:space="preserve"> accès à tous les éléments nécessaires</w:t>
      </w:r>
      <w:r w:rsidR="00687669" w:rsidRPr="00332FCD">
        <w:rPr>
          <w:rFonts w:ascii="Andes" w:hAnsi="Andes" w:cs="Arial"/>
          <w:sz w:val="22"/>
          <w:szCs w:val="22"/>
        </w:rPr>
        <w:t xml:space="preserve">.  </w:t>
      </w:r>
    </w:p>
    <w:p w14:paraId="14817EF5" w14:textId="7FC8DC99" w:rsidR="00C77D2C" w:rsidRPr="00332FCD" w:rsidRDefault="008E1B9F" w:rsidP="000A68E8">
      <w:pPr>
        <w:pStyle w:val="Paragraphedeliste"/>
        <w:spacing w:before="240" w:line="240" w:lineRule="auto"/>
        <w:contextualSpacing w:val="0"/>
        <w:rPr>
          <w:rFonts w:ascii="Andes" w:hAnsi="Andes" w:cs="Arial"/>
          <w:color w:val="000000" w:themeColor="text1"/>
          <w:sz w:val="28"/>
          <w:szCs w:val="28"/>
          <w:u w:val="single"/>
        </w:rPr>
      </w:pPr>
      <w:bookmarkStart w:id="15" w:name="_Toc451889991"/>
      <w:r w:rsidRPr="00332FCD">
        <w:rPr>
          <w:rFonts w:ascii="Andes" w:hAnsi="Andes" w:cs="Arial"/>
          <w:color w:val="000000" w:themeColor="text1"/>
          <w:sz w:val="28"/>
          <w:szCs w:val="28"/>
        </w:rPr>
        <w:t xml:space="preserve">          </w:t>
      </w:r>
      <w:bookmarkEnd w:id="15"/>
      <w:r w:rsidR="00CF26D4" w:rsidRPr="00332FCD">
        <w:rPr>
          <w:rFonts w:ascii="Andes" w:hAnsi="Andes" w:cs="Arial"/>
          <w:color w:val="000000" w:themeColor="text1"/>
          <w:sz w:val="28"/>
          <w:szCs w:val="28"/>
          <w:u w:val="single"/>
        </w:rPr>
        <w:t>Assistance Directe à la Mise en Œuvre</w:t>
      </w:r>
    </w:p>
    <w:p w14:paraId="2A524614" w14:textId="65F7533A" w:rsidR="00C77D2C" w:rsidRPr="00BF6039" w:rsidRDefault="00BF4241" w:rsidP="00BF6039">
      <w:pPr>
        <w:pStyle w:val="Paragraphedeliste"/>
        <w:numPr>
          <w:ilvl w:val="1"/>
          <w:numId w:val="138"/>
        </w:numPr>
        <w:spacing w:before="0" w:line="240" w:lineRule="auto"/>
        <w:ind w:left="634" w:hanging="634"/>
        <w:contextualSpacing w:val="0"/>
        <w:rPr>
          <w:rFonts w:ascii="Andes" w:hAnsi="Andes" w:cs="Arial"/>
          <w:sz w:val="22"/>
          <w:szCs w:val="22"/>
        </w:rPr>
      </w:pPr>
      <w:r w:rsidRPr="00BF6039">
        <w:rPr>
          <w:rFonts w:ascii="Andes" w:hAnsi="Andes" w:cs="Arial"/>
          <w:sz w:val="22"/>
          <w:szCs w:val="22"/>
        </w:rPr>
        <w:t>La Banque peut accepter d’apporter un</w:t>
      </w:r>
      <w:r w:rsidR="00CF26D4" w:rsidRPr="00BF6039">
        <w:rPr>
          <w:rFonts w:ascii="Andes" w:hAnsi="Andes" w:cs="Arial"/>
          <w:sz w:val="22"/>
          <w:szCs w:val="22"/>
        </w:rPr>
        <w:t>e</w:t>
      </w:r>
      <w:r w:rsidRPr="00BF6039">
        <w:rPr>
          <w:rFonts w:ascii="Andes" w:hAnsi="Andes" w:cs="Arial"/>
          <w:sz w:val="22"/>
          <w:szCs w:val="22"/>
        </w:rPr>
        <w:t xml:space="preserve"> </w:t>
      </w:r>
      <w:r w:rsidR="00CF26D4" w:rsidRPr="00BF6039">
        <w:rPr>
          <w:rFonts w:ascii="Andes" w:hAnsi="Andes" w:cs="Arial"/>
          <w:sz w:val="22"/>
          <w:szCs w:val="22"/>
        </w:rPr>
        <w:t>assistance directe à la mise œuvre</w:t>
      </w:r>
      <w:r w:rsidRPr="00BF6039">
        <w:rPr>
          <w:rFonts w:ascii="Andes" w:hAnsi="Andes" w:cs="Arial"/>
          <w:sz w:val="22"/>
          <w:szCs w:val="22"/>
        </w:rPr>
        <w:t xml:space="preserve"> des activités de passation des marchés lorsqu</w:t>
      </w:r>
      <w:r w:rsidR="00B662C3" w:rsidRPr="00BF6039">
        <w:rPr>
          <w:rFonts w:ascii="Andes" w:hAnsi="Andes" w:cs="Arial"/>
          <w:sz w:val="22"/>
          <w:szCs w:val="22"/>
        </w:rPr>
        <w:t xml:space="preserve">e la Banque détermine que ce support est nécessaire pour assister l’Emprunteur à atteindre les objectifs de développement et les </w:t>
      </w:r>
      <w:r w:rsidR="00EA107D" w:rsidRPr="00BF6039">
        <w:rPr>
          <w:rFonts w:ascii="Andes" w:hAnsi="Andes" w:cs="Arial"/>
          <w:sz w:val="22"/>
          <w:szCs w:val="22"/>
        </w:rPr>
        <w:t xml:space="preserve">résultats du projet. </w:t>
      </w:r>
      <w:r w:rsidR="0039158C" w:rsidRPr="00BF6039">
        <w:rPr>
          <w:rFonts w:ascii="Andes" w:hAnsi="Andes" w:cs="Arial"/>
          <w:sz w:val="22"/>
          <w:szCs w:val="22"/>
        </w:rPr>
        <w:t xml:space="preserve"> </w:t>
      </w:r>
      <w:r w:rsidR="00437E0A" w:rsidRPr="00BF6039">
        <w:rPr>
          <w:rFonts w:ascii="Andes" w:hAnsi="Andes" w:cs="Arial"/>
          <w:sz w:val="22"/>
          <w:szCs w:val="22"/>
        </w:rPr>
        <w:t>La Banque détermine</w:t>
      </w:r>
      <w:r w:rsidR="00E04EEB" w:rsidRPr="00BF6039">
        <w:rPr>
          <w:rFonts w:ascii="Andes" w:hAnsi="Andes" w:cs="Arial"/>
          <w:sz w:val="22"/>
          <w:szCs w:val="22"/>
        </w:rPr>
        <w:t>,</w:t>
      </w:r>
      <w:r w:rsidR="00437E0A" w:rsidRPr="00BF6039">
        <w:rPr>
          <w:rFonts w:ascii="Andes" w:hAnsi="Andes" w:cs="Arial"/>
          <w:sz w:val="22"/>
          <w:szCs w:val="22"/>
        </w:rPr>
        <w:t xml:space="preserve"> au cas par cas</w:t>
      </w:r>
      <w:r w:rsidR="00E04EEB" w:rsidRPr="00BF6039">
        <w:rPr>
          <w:rFonts w:ascii="Andes" w:hAnsi="Andes" w:cs="Arial"/>
          <w:sz w:val="22"/>
          <w:szCs w:val="22"/>
        </w:rPr>
        <w:t>,</w:t>
      </w:r>
      <w:r w:rsidR="00437E0A" w:rsidRPr="00BF6039">
        <w:rPr>
          <w:rFonts w:ascii="Andes" w:hAnsi="Andes" w:cs="Arial"/>
          <w:sz w:val="22"/>
          <w:szCs w:val="22"/>
        </w:rPr>
        <w:t xml:space="preserve"> le champ et la nature de cet appui. Celui-ci ne l’amène pas à exécuter les opérations de passation des marchés en lieu et place de l’Emprunteur, qui reste responsable de l’exécution du projet. </w:t>
      </w:r>
    </w:p>
    <w:p w14:paraId="315738B8" w14:textId="6F7BE7B6" w:rsidR="00C77D2C" w:rsidRPr="00332FCD" w:rsidRDefault="0077361E" w:rsidP="007D1060">
      <w:pPr>
        <w:spacing w:before="240" w:line="240" w:lineRule="auto"/>
        <w:contextualSpacing w:val="0"/>
        <w:rPr>
          <w:rFonts w:ascii="Andes" w:hAnsi="Andes" w:cs="Arial"/>
          <w:b/>
          <w:sz w:val="28"/>
          <w:szCs w:val="28"/>
        </w:rPr>
      </w:pPr>
      <w:r w:rsidRPr="00332FCD">
        <w:rPr>
          <w:rFonts w:ascii="Andes" w:hAnsi="Andes" w:cs="Arial"/>
          <w:b/>
          <w:sz w:val="28"/>
          <w:szCs w:val="28"/>
        </w:rPr>
        <w:t>Entreprises et personnes physiques</w:t>
      </w:r>
    </w:p>
    <w:p w14:paraId="7A27C14F" w14:textId="6D16BA5C" w:rsidR="00C77D2C" w:rsidRPr="00332FCD" w:rsidRDefault="008D698C" w:rsidP="007D1060">
      <w:pPr>
        <w:pStyle w:val="Paragraphedeliste"/>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 </w:t>
      </w:r>
      <w:r w:rsidR="00BA03B5" w:rsidRPr="00332FCD">
        <w:rPr>
          <w:rFonts w:ascii="Andes" w:hAnsi="Andes" w:cs="Arial"/>
          <w:sz w:val="22"/>
          <w:szCs w:val="22"/>
        </w:rPr>
        <w:t xml:space="preserve">La </w:t>
      </w:r>
      <w:r w:rsidRPr="00332FCD">
        <w:rPr>
          <w:rFonts w:ascii="Andes" w:hAnsi="Andes" w:cs="Arial"/>
          <w:sz w:val="22"/>
          <w:szCs w:val="22"/>
        </w:rPr>
        <w:t>participation et</w:t>
      </w:r>
      <w:r w:rsidR="00BA03B5" w:rsidRPr="00332FCD">
        <w:rPr>
          <w:rFonts w:ascii="Andes" w:hAnsi="Andes" w:cs="Arial"/>
          <w:sz w:val="22"/>
          <w:szCs w:val="22"/>
        </w:rPr>
        <w:t xml:space="preserve"> la </w:t>
      </w:r>
      <w:r w:rsidRPr="00332FCD">
        <w:rPr>
          <w:rFonts w:ascii="Andes" w:hAnsi="Andes" w:cs="Arial"/>
          <w:sz w:val="22"/>
          <w:szCs w:val="22"/>
        </w:rPr>
        <w:t xml:space="preserve">performance </w:t>
      </w:r>
      <w:r w:rsidR="00731B4B" w:rsidRPr="00332FCD">
        <w:rPr>
          <w:rFonts w:ascii="Andes" w:hAnsi="Andes" w:cs="Arial"/>
          <w:sz w:val="22"/>
          <w:szCs w:val="22"/>
        </w:rPr>
        <w:t xml:space="preserve">effectives </w:t>
      </w:r>
      <w:r w:rsidRPr="00332FCD">
        <w:rPr>
          <w:rFonts w:ascii="Andes" w:hAnsi="Andes" w:cs="Arial"/>
          <w:sz w:val="22"/>
          <w:szCs w:val="22"/>
        </w:rPr>
        <w:t>d’entreprise</w:t>
      </w:r>
      <w:r w:rsidR="00BA03B5" w:rsidRPr="00332FCD">
        <w:rPr>
          <w:rFonts w:ascii="Andes" w:hAnsi="Andes" w:cs="Arial"/>
          <w:sz w:val="22"/>
          <w:szCs w:val="22"/>
        </w:rPr>
        <w:t>s</w:t>
      </w:r>
      <w:r w:rsidRPr="00332FCD">
        <w:rPr>
          <w:rFonts w:ascii="Andes" w:hAnsi="Andes" w:cs="Arial"/>
          <w:sz w:val="22"/>
          <w:szCs w:val="22"/>
        </w:rPr>
        <w:t xml:space="preserve"> et de personnes physiques </w:t>
      </w:r>
      <w:r w:rsidR="00BA03B5" w:rsidRPr="00332FCD">
        <w:rPr>
          <w:rFonts w:ascii="Andes" w:hAnsi="Andes" w:cs="Arial"/>
          <w:sz w:val="22"/>
          <w:szCs w:val="22"/>
        </w:rPr>
        <w:t xml:space="preserve">de grande qualité sont </w:t>
      </w:r>
      <w:r w:rsidR="00731B4B" w:rsidRPr="00332FCD">
        <w:rPr>
          <w:rFonts w:ascii="Andes" w:hAnsi="Andes" w:cs="Arial"/>
          <w:sz w:val="22"/>
          <w:szCs w:val="22"/>
        </w:rPr>
        <w:t xml:space="preserve">critiques </w:t>
      </w:r>
      <w:r w:rsidR="00BA03B5" w:rsidRPr="00332FCD">
        <w:rPr>
          <w:rFonts w:ascii="Andes" w:hAnsi="Andes" w:cs="Arial"/>
          <w:sz w:val="22"/>
          <w:szCs w:val="22"/>
        </w:rPr>
        <w:t>pour assurer une concurrence réelle et apporter une véritable</w:t>
      </w:r>
      <w:r w:rsidR="00731B4B" w:rsidRPr="00332FCD">
        <w:rPr>
          <w:rFonts w:ascii="Andes" w:hAnsi="Andes" w:cs="Arial"/>
          <w:sz w:val="22"/>
          <w:szCs w:val="22"/>
        </w:rPr>
        <w:t xml:space="preserve"> optimisation des ressou</w:t>
      </w:r>
      <w:r w:rsidR="00CC1B96" w:rsidRPr="00332FCD">
        <w:rPr>
          <w:rFonts w:ascii="Andes" w:hAnsi="Andes" w:cs="Arial"/>
          <w:sz w:val="22"/>
          <w:szCs w:val="22"/>
        </w:rPr>
        <w:t>r</w:t>
      </w:r>
      <w:r w:rsidR="00731B4B" w:rsidRPr="00332FCD">
        <w:rPr>
          <w:rFonts w:ascii="Andes" w:hAnsi="Andes" w:cs="Arial"/>
          <w:sz w:val="22"/>
          <w:szCs w:val="22"/>
        </w:rPr>
        <w:t>ces</w:t>
      </w:r>
      <w:r w:rsidR="00BA03B5" w:rsidRPr="00332FCD">
        <w:rPr>
          <w:rFonts w:ascii="Andes" w:hAnsi="Andes" w:cs="Arial"/>
          <w:sz w:val="22"/>
          <w:szCs w:val="22"/>
        </w:rPr>
        <w:t xml:space="preserve"> </w:t>
      </w:r>
      <w:r w:rsidR="00332C81" w:rsidRPr="00332FCD">
        <w:rPr>
          <w:rFonts w:ascii="Andes" w:hAnsi="Andes" w:cs="Arial"/>
          <w:sz w:val="22"/>
          <w:szCs w:val="22"/>
        </w:rPr>
        <w:t xml:space="preserve">tout au long du Processus de Passation des Marchés. </w:t>
      </w:r>
    </w:p>
    <w:p w14:paraId="622FE510" w14:textId="056DE2B1" w:rsidR="00C77D2C" w:rsidRPr="00332FCD" w:rsidRDefault="00332C81" w:rsidP="007D1060">
      <w:pPr>
        <w:pStyle w:val="Paragraphedeliste"/>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Les entreprises et </w:t>
      </w:r>
      <w:r w:rsidR="007926CD" w:rsidRPr="00332FCD">
        <w:rPr>
          <w:rFonts w:ascii="Andes" w:hAnsi="Andes" w:cs="Arial"/>
          <w:sz w:val="22"/>
          <w:szCs w:val="22"/>
        </w:rPr>
        <w:t xml:space="preserve">les </w:t>
      </w:r>
      <w:r w:rsidRPr="00332FCD">
        <w:rPr>
          <w:rFonts w:ascii="Andes" w:hAnsi="Andes" w:cs="Arial"/>
          <w:sz w:val="22"/>
          <w:szCs w:val="22"/>
        </w:rPr>
        <w:t>personnes physiques qui participent à la passation des marchés dans</w:t>
      </w:r>
      <w:r w:rsidR="007926CD" w:rsidRPr="00332FCD">
        <w:rPr>
          <w:rFonts w:ascii="Andes" w:hAnsi="Andes" w:cs="Arial"/>
          <w:sz w:val="22"/>
          <w:szCs w:val="22"/>
        </w:rPr>
        <w:t xml:space="preserve"> des </w:t>
      </w:r>
      <w:r w:rsidRPr="00332FCD">
        <w:rPr>
          <w:rFonts w:ascii="Andes" w:hAnsi="Andes" w:cs="Arial"/>
          <w:sz w:val="22"/>
          <w:szCs w:val="22"/>
        </w:rPr>
        <w:t xml:space="preserve">opérations de FPI de la Banque ont la </w:t>
      </w:r>
      <w:r w:rsidR="00731B4B" w:rsidRPr="00332FCD">
        <w:rPr>
          <w:rFonts w:ascii="Andes" w:hAnsi="Andes" w:cs="Arial"/>
          <w:sz w:val="22"/>
          <w:szCs w:val="22"/>
        </w:rPr>
        <w:t xml:space="preserve">responsabilité </w:t>
      </w:r>
      <w:r w:rsidRPr="00332FCD">
        <w:rPr>
          <w:rFonts w:ascii="Andes" w:hAnsi="Andes" w:cs="Arial"/>
          <w:sz w:val="22"/>
          <w:szCs w:val="22"/>
        </w:rPr>
        <w:t>de respecter les dispositions des Do</w:t>
      </w:r>
      <w:r w:rsidR="003A07A0" w:rsidRPr="00332FCD">
        <w:rPr>
          <w:rFonts w:ascii="Andes" w:hAnsi="Andes" w:cs="Arial"/>
          <w:sz w:val="22"/>
          <w:szCs w:val="22"/>
        </w:rPr>
        <w:t xml:space="preserve">ssiers </w:t>
      </w:r>
      <w:r w:rsidRPr="00332FCD">
        <w:rPr>
          <w:rFonts w:ascii="Andes" w:hAnsi="Andes" w:cs="Arial"/>
          <w:sz w:val="22"/>
          <w:szCs w:val="22"/>
        </w:rPr>
        <w:t>de Passation des Marchés</w:t>
      </w:r>
      <w:r w:rsidR="00482DD1" w:rsidRPr="00332FCD">
        <w:rPr>
          <w:rFonts w:ascii="Andes" w:hAnsi="Andes" w:cs="Arial"/>
          <w:sz w:val="22"/>
          <w:szCs w:val="22"/>
        </w:rPr>
        <w:t>,</w:t>
      </w:r>
      <w:r w:rsidRPr="00332FCD">
        <w:rPr>
          <w:rFonts w:ascii="Andes" w:hAnsi="Andes" w:cs="Arial"/>
          <w:sz w:val="22"/>
          <w:szCs w:val="22"/>
        </w:rPr>
        <w:t xml:space="preserve"> </w:t>
      </w:r>
      <w:r w:rsidR="007926CD" w:rsidRPr="00332FCD">
        <w:rPr>
          <w:rFonts w:ascii="Andes" w:hAnsi="Andes" w:cs="Arial"/>
          <w:sz w:val="22"/>
          <w:szCs w:val="22"/>
        </w:rPr>
        <w:t>et des marchés et contrats qu’elles peuvent passer avec l’Emprunteur</w:t>
      </w:r>
      <w:r w:rsidR="00687669" w:rsidRPr="00332FCD">
        <w:rPr>
          <w:rFonts w:ascii="Andes" w:hAnsi="Andes" w:cs="Arial"/>
          <w:sz w:val="22"/>
          <w:szCs w:val="22"/>
        </w:rPr>
        <w:t xml:space="preserve">.  </w:t>
      </w:r>
    </w:p>
    <w:p w14:paraId="62739045" w14:textId="7044EF59" w:rsidR="002940FB" w:rsidRPr="00332FCD" w:rsidRDefault="007926CD" w:rsidP="007D1060">
      <w:pPr>
        <w:pStyle w:val="Style2"/>
        <w:keepNext/>
        <w:keepLines/>
        <w:widowControl/>
        <w:tabs>
          <w:tab w:val="left" w:pos="1710"/>
        </w:tabs>
        <w:autoSpaceDE/>
        <w:autoSpaceDN/>
        <w:adjustRightInd/>
        <w:spacing w:before="240" w:after="120"/>
        <w:contextualSpacing w:val="0"/>
        <w:outlineLvl w:val="0"/>
        <w:rPr>
          <w:rFonts w:ascii="Andes" w:eastAsiaTheme="majorEastAsia" w:hAnsi="Andes" w:cstheme="majorBidi"/>
          <w:bCs w:val="0"/>
          <w:color w:val="C45911"/>
          <w:sz w:val="32"/>
          <w:szCs w:val="32"/>
        </w:rPr>
      </w:pPr>
      <w:bookmarkStart w:id="16" w:name="_Toc404234486"/>
      <w:bookmarkStart w:id="17" w:name="_Toc404234688"/>
      <w:bookmarkStart w:id="18" w:name="_Toc404235220"/>
      <w:bookmarkStart w:id="19" w:name="_Toc404235510"/>
      <w:bookmarkStart w:id="20" w:name="_Toc404235687"/>
      <w:bookmarkStart w:id="21" w:name="_Toc404235951"/>
      <w:bookmarkStart w:id="22" w:name="_Toc404236121"/>
      <w:bookmarkStart w:id="23" w:name="_Toc404236291"/>
      <w:bookmarkStart w:id="24" w:name="_Toc404236461"/>
      <w:bookmarkStart w:id="25" w:name="_Toc404236630"/>
      <w:bookmarkStart w:id="26" w:name="_Toc404236798"/>
      <w:bookmarkStart w:id="27" w:name="_Toc404236966"/>
      <w:bookmarkStart w:id="28" w:name="_Toc404755595"/>
      <w:bookmarkStart w:id="29" w:name="_Toc405205386"/>
      <w:bookmarkStart w:id="30" w:name="_Toc408418389"/>
      <w:bookmarkStart w:id="31" w:name="_Toc409085618"/>
      <w:bookmarkStart w:id="32" w:name="_Toc409085895"/>
      <w:bookmarkStart w:id="33" w:name="_Toc409086172"/>
      <w:bookmarkStart w:id="34" w:name="_Toc409248782"/>
      <w:bookmarkStart w:id="35" w:name="_Toc409255362"/>
      <w:bookmarkStart w:id="36" w:name="_Toc409255642"/>
      <w:bookmarkStart w:id="37" w:name="_Toc409255922"/>
      <w:bookmarkStart w:id="38" w:name="_Toc409256202"/>
      <w:bookmarkStart w:id="39" w:name="_Toc409256482"/>
      <w:bookmarkStart w:id="40" w:name="_Toc409270177"/>
      <w:bookmarkStart w:id="41" w:name="_Toc409270457"/>
      <w:bookmarkStart w:id="42" w:name="_Toc409509065"/>
      <w:bookmarkStart w:id="43" w:name="_Toc409509347"/>
      <w:bookmarkStart w:id="44" w:name="_Toc409509630"/>
      <w:bookmarkStart w:id="45" w:name="_Toc409509913"/>
      <w:bookmarkStart w:id="46" w:name="_Toc409510196"/>
      <w:bookmarkStart w:id="47" w:name="_Toc409595675"/>
      <w:bookmarkStart w:id="48" w:name="_Toc409606850"/>
      <w:bookmarkStart w:id="49" w:name="_Toc408418390"/>
      <w:bookmarkStart w:id="50" w:name="_Toc409085619"/>
      <w:bookmarkStart w:id="51" w:name="_Toc409085896"/>
      <w:bookmarkStart w:id="52" w:name="_Toc409086173"/>
      <w:bookmarkStart w:id="53" w:name="_Toc409248783"/>
      <w:bookmarkStart w:id="54" w:name="_Toc409255363"/>
      <w:bookmarkStart w:id="55" w:name="_Toc409255643"/>
      <w:bookmarkStart w:id="56" w:name="_Toc409255923"/>
      <w:bookmarkStart w:id="57" w:name="_Toc409256203"/>
      <w:bookmarkStart w:id="58" w:name="_Toc409256483"/>
      <w:bookmarkStart w:id="59" w:name="_Toc409270178"/>
      <w:bookmarkStart w:id="60" w:name="_Toc409270458"/>
      <w:bookmarkStart w:id="61" w:name="_Toc409509066"/>
      <w:bookmarkStart w:id="62" w:name="_Toc409509348"/>
      <w:bookmarkStart w:id="63" w:name="_Toc409509631"/>
      <w:bookmarkStart w:id="64" w:name="_Toc409509914"/>
      <w:bookmarkStart w:id="65" w:name="_Toc409510197"/>
      <w:bookmarkStart w:id="66" w:name="_Toc409595676"/>
      <w:bookmarkStart w:id="67" w:name="_Toc409606851"/>
      <w:bookmarkStart w:id="68" w:name="_Toc408418391"/>
      <w:bookmarkStart w:id="69" w:name="_Toc409085620"/>
      <w:bookmarkStart w:id="70" w:name="_Toc409085897"/>
      <w:bookmarkStart w:id="71" w:name="_Toc409086174"/>
      <w:bookmarkStart w:id="72" w:name="_Toc409248784"/>
      <w:bookmarkStart w:id="73" w:name="_Toc409255364"/>
      <w:bookmarkStart w:id="74" w:name="_Toc409255644"/>
      <w:bookmarkStart w:id="75" w:name="_Toc409255924"/>
      <w:bookmarkStart w:id="76" w:name="_Toc409256204"/>
      <w:bookmarkStart w:id="77" w:name="_Toc409256484"/>
      <w:bookmarkStart w:id="78" w:name="_Toc409270179"/>
      <w:bookmarkStart w:id="79" w:name="_Toc409270459"/>
      <w:bookmarkStart w:id="80" w:name="_Toc409509067"/>
      <w:bookmarkStart w:id="81" w:name="_Toc409509349"/>
      <w:bookmarkStart w:id="82" w:name="_Toc409509632"/>
      <w:bookmarkStart w:id="83" w:name="_Toc409509915"/>
      <w:bookmarkStart w:id="84" w:name="_Toc409510198"/>
      <w:bookmarkStart w:id="85" w:name="_Toc409595677"/>
      <w:bookmarkStart w:id="86" w:name="_Toc409606852"/>
      <w:bookmarkStart w:id="87" w:name="_Toc408418392"/>
      <w:bookmarkStart w:id="88" w:name="_Toc409085621"/>
      <w:bookmarkStart w:id="89" w:name="_Toc409085898"/>
      <w:bookmarkStart w:id="90" w:name="_Toc409086175"/>
      <w:bookmarkStart w:id="91" w:name="_Toc409248785"/>
      <w:bookmarkStart w:id="92" w:name="_Toc409255365"/>
      <w:bookmarkStart w:id="93" w:name="_Toc409255645"/>
      <w:bookmarkStart w:id="94" w:name="_Toc409255925"/>
      <w:bookmarkStart w:id="95" w:name="_Toc409256205"/>
      <w:bookmarkStart w:id="96" w:name="_Toc409256485"/>
      <w:bookmarkStart w:id="97" w:name="_Toc409270180"/>
      <w:bookmarkStart w:id="98" w:name="_Toc409270460"/>
      <w:bookmarkStart w:id="99" w:name="_Toc409509068"/>
      <w:bookmarkStart w:id="100" w:name="_Toc409509350"/>
      <w:bookmarkStart w:id="101" w:name="_Toc409509633"/>
      <w:bookmarkStart w:id="102" w:name="_Toc409509916"/>
      <w:bookmarkStart w:id="103" w:name="_Toc409510199"/>
      <w:bookmarkStart w:id="104" w:name="_Toc409595678"/>
      <w:bookmarkStart w:id="105" w:name="_Toc409606853"/>
      <w:bookmarkStart w:id="106" w:name="_Toc408418393"/>
      <w:bookmarkStart w:id="107" w:name="_Toc409085622"/>
      <w:bookmarkStart w:id="108" w:name="_Toc409085899"/>
      <w:bookmarkStart w:id="109" w:name="_Toc409086176"/>
      <w:bookmarkStart w:id="110" w:name="_Toc409248786"/>
      <w:bookmarkStart w:id="111" w:name="_Toc409255366"/>
      <w:bookmarkStart w:id="112" w:name="_Toc409255646"/>
      <w:bookmarkStart w:id="113" w:name="_Toc409255926"/>
      <w:bookmarkStart w:id="114" w:name="_Toc409256206"/>
      <w:bookmarkStart w:id="115" w:name="_Toc409256486"/>
      <w:bookmarkStart w:id="116" w:name="_Toc409270181"/>
      <w:bookmarkStart w:id="117" w:name="_Toc409270461"/>
      <w:bookmarkStart w:id="118" w:name="_Toc409509069"/>
      <w:bookmarkStart w:id="119" w:name="_Toc409509351"/>
      <w:bookmarkStart w:id="120" w:name="_Toc409509634"/>
      <w:bookmarkStart w:id="121" w:name="_Toc409509917"/>
      <w:bookmarkStart w:id="122" w:name="_Toc409510200"/>
      <w:bookmarkStart w:id="123" w:name="_Toc409595679"/>
      <w:bookmarkStart w:id="124" w:name="_Toc409606854"/>
      <w:bookmarkStart w:id="125" w:name="_Toc408418394"/>
      <w:bookmarkStart w:id="126" w:name="_Toc409085623"/>
      <w:bookmarkStart w:id="127" w:name="_Toc409085900"/>
      <w:bookmarkStart w:id="128" w:name="_Toc409086177"/>
      <w:bookmarkStart w:id="129" w:name="_Toc409248787"/>
      <w:bookmarkStart w:id="130" w:name="_Toc409255367"/>
      <w:bookmarkStart w:id="131" w:name="_Toc409255647"/>
      <w:bookmarkStart w:id="132" w:name="_Toc409255927"/>
      <w:bookmarkStart w:id="133" w:name="_Toc409256207"/>
      <w:bookmarkStart w:id="134" w:name="_Toc409256487"/>
      <w:bookmarkStart w:id="135" w:name="_Toc409270182"/>
      <w:bookmarkStart w:id="136" w:name="_Toc409270462"/>
      <w:bookmarkStart w:id="137" w:name="_Toc409509070"/>
      <w:bookmarkStart w:id="138" w:name="_Toc409509352"/>
      <w:bookmarkStart w:id="139" w:name="_Toc409509635"/>
      <w:bookmarkStart w:id="140" w:name="_Toc409509918"/>
      <w:bookmarkStart w:id="141" w:name="_Toc409510201"/>
      <w:bookmarkStart w:id="142" w:name="_Toc409595680"/>
      <w:bookmarkStart w:id="143" w:name="_Toc409606855"/>
      <w:bookmarkStart w:id="144" w:name="_Toc408418395"/>
      <w:bookmarkStart w:id="145" w:name="_Toc409085624"/>
      <w:bookmarkStart w:id="146" w:name="_Toc409085901"/>
      <w:bookmarkStart w:id="147" w:name="_Toc409086178"/>
      <w:bookmarkStart w:id="148" w:name="_Toc409248788"/>
      <w:bookmarkStart w:id="149" w:name="_Toc409255368"/>
      <w:bookmarkStart w:id="150" w:name="_Toc409255648"/>
      <w:bookmarkStart w:id="151" w:name="_Toc409255928"/>
      <w:bookmarkStart w:id="152" w:name="_Toc409256208"/>
      <w:bookmarkStart w:id="153" w:name="_Toc409256488"/>
      <w:bookmarkStart w:id="154" w:name="_Toc409270183"/>
      <w:bookmarkStart w:id="155" w:name="_Toc409270463"/>
      <w:bookmarkStart w:id="156" w:name="_Toc409509071"/>
      <w:bookmarkStart w:id="157" w:name="_Toc409509353"/>
      <w:bookmarkStart w:id="158" w:name="_Toc409509636"/>
      <w:bookmarkStart w:id="159" w:name="_Toc409509919"/>
      <w:bookmarkStart w:id="160" w:name="_Toc409510202"/>
      <w:bookmarkStart w:id="161" w:name="_Toc409595681"/>
      <w:bookmarkStart w:id="162" w:name="_Toc409606856"/>
      <w:bookmarkStart w:id="163" w:name="_Toc408418396"/>
      <w:bookmarkStart w:id="164" w:name="_Toc409085625"/>
      <w:bookmarkStart w:id="165" w:name="_Toc409085902"/>
      <w:bookmarkStart w:id="166" w:name="_Toc409086179"/>
      <w:bookmarkStart w:id="167" w:name="_Toc409248789"/>
      <w:bookmarkStart w:id="168" w:name="_Toc409255369"/>
      <w:bookmarkStart w:id="169" w:name="_Toc409255649"/>
      <w:bookmarkStart w:id="170" w:name="_Toc409255929"/>
      <w:bookmarkStart w:id="171" w:name="_Toc409256209"/>
      <w:bookmarkStart w:id="172" w:name="_Toc409256489"/>
      <w:bookmarkStart w:id="173" w:name="_Toc409270184"/>
      <w:bookmarkStart w:id="174" w:name="_Toc409270464"/>
      <w:bookmarkStart w:id="175" w:name="_Toc409509072"/>
      <w:bookmarkStart w:id="176" w:name="_Toc409509354"/>
      <w:bookmarkStart w:id="177" w:name="_Toc409509637"/>
      <w:bookmarkStart w:id="178" w:name="_Toc409509920"/>
      <w:bookmarkStart w:id="179" w:name="_Toc409510203"/>
      <w:bookmarkStart w:id="180" w:name="_Toc409595682"/>
      <w:bookmarkStart w:id="181" w:name="_Toc409606857"/>
      <w:bookmarkStart w:id="182" w:name="_Toc408418397"/>
      <w:bookmarkStart w:id="183" w:name="_Toc409085626"/>
      <w:bookmarkStart w:id="184" w:name="_Toc409085903"/>
      <w:bookmarkStart w:id="185" w:name="_Toc409086180"/>
      <w:bookmarkStart w:id="186" w:name="_Toc409248790"/>
      <w:bookmarkStart w:id="187" w:name="_Toc409255370"/>
      <w:bookmarkStart w:id="188" w:name="_Toc409255650"/>
      <w:bookmarkStart w:id="189" w:name="_Toc409255930"/>
      <w:bookmarkStart w:id="190" w:name="_Toc409256210"/>
      <w:bookmarkStart w:id="191" w:name="_Toc409256490"/>
      <w:bookmarkStart w:id="192" w:name="_Toc409270185"/>
      <w:bookmarkStart w:id="193" w:name="_Toc409270465"/>
      <w:bookmarkStart w:id="194" w:name="_Toc409509073"/>
      <w:bookmarkStart w:id="195" w:name="_Toc409509355"/>
      <w:bookmarkStart w:id="196" w:name="_Toc409509638"/>
      <w:bookmarkStart w:id="197" w:name="_Toc409509921"/>
      <w:bookmarkStart w:id="198" w:name="_Toc409510204"/>
      <w:bookmarkStart w:id="199" w:name="_Toc409595683"/>
      <w:bookmarkStart w:id="200" w:name="_Toc409606858"/>
      <w:bookmarkStart w:id="201" w:name="_Toc408418398"/>
      <w:bookmarkStart w:id="202" w:name="_Toc409085627"/>
      <w:bookmarkStart w:id="203" w:name="_Toc409085904"/>
      <w:bookmarkStart w:id="204" w:name="_Toc409086181"/>
      <w:bookmarkStart w:id="205" w:name="_Toc409248791"/>
      <w:bookmarkStart w:id="206" w:name="_Toc409255371"/>
      <w:bookmarkStart w:id="207" w:name="_Toc409255651"/>
      <w:bookmarkStart w:id="208" w:name="_Toc409255931"/>
      <w:bookmarkStart w:id="209" w:name="_Toc409256211"/>
      <w:bookmarkStart w:id="210" w:name="_Toc409256491"/>
      <w:bookmarkStart w:id="211" w:name="_Toc409270186"/>
      <w:bookmarkStart w:id="212" w:name="_Toc409270466"/>
      <w:bookmarkStart w:id="213" w:name="_Toc409509074"/>
      <w:bookmarkStart w:id="214" w:name="_Toc409509356"/>
      <w:bookmarkStart w:id="215" w:name="_Toc409509639"/>
      <w:bookmarkStart w:id="216" w:name="_Toc409509922"/>
      <w:bookmarkStart w:id="217" w:name="_Toc409510205"/>
      <w:bookmarkStart w:id="218" w:name="_Toc409595684"/>
      <w:bookmarkStart w:id="219" w:name="_Toc409606859"/>
      <w:bookmarkStart w:id="220" w:name="_Toc408418399"/>
      <w:bookmarkStart w:id="221" w:name="_Toc409085628"/>
      <w:bookmarkStart w:id="222" w:name="_Toc409085905"/>
      <w:bookmarkStart w:id="223" w:name="_Toc409086182"/>
      <w:bookmarkStart w:id="224" w:name="_Toc409248792"/>
      <w:bookmarkStart w:id="225" w:name="_Toc409255372"/>
      <w:bookmarkStart w:id="226" w:name="_Toc409255652"/>
      <w:bookmarkStart w:id="227" w:name="_Toc409255932"/>
      <w:bookmarkStart w:id="228" w:name="_Toc409256212"/>
      <w:bookmarkStart w:id="229" w:name="_Toc409256492"/>
      <w:bookmarkStart w:id="230" w:name="_Toc409270187"/>
      <w:bookmarkStart w:id="231" w:name="_Toc409270467"/>
      <w:bookmarkStart w:id="232" w:name="_Toc409509075"/>
      <w:bookmarkStart w:id="233" w:name="_Toc409509357"/>
      <w:bookmarkStart w:id="234" w:name="_Toc409509640"/>
      <w:bookmarkStart w:id="235" w:name="_Toc409509923"/>
      <w:bookmarkStart w:id="236" w:name="_Toc409510206"/>
      <w:bookmarkStart w:id="237" w:name="_Toc409595685"/>
      <w:bookmarkStart w:id="238" w:name="_Toc409606860"/>
      <w:bookmarkStart w:id="239" w:name="_Toc408418400"/>
      <w:bookmarkStart w:id="240" w:name="_Toc409085629"/>
      <w:bookmarkStart w:id="241" w:name="_Toc409085906"/>
      <w:bookmarkStart w:id="242" w:name="_Toc409086183"/>
      <w:bookmarkStart w:id="243" w:name="_Toc409248793"/>
      <w:bookmarkStart w:id="244" w:name="_Toc409255373"/>
      <w:bookmarkStart w:id="245" w:name="_Toc409255653"/>
      <w:bookmarkStart w:id="246" w:name="_Toc409255933"/>
      <w:bookmarkStart w:id="247" w:name="_Toc409256213"/>
      <w:bookmarkStart w:id="248" w:name="_Toc409256493"/>
      <w:bookmarkStart w:id="249" w:name="_Toc409270188"/>
      <w:bookmarkStart w:id="250" w:name="_Toc409270468"/>
      <w:bookmarkStart w:id="251" w:name="_Toc409509076"/>
      <w:bookmarkStart w:id="252" w:name="_Toc409509358"/>
      <w:bookmarkStart w:id="253" w:name="_Toc409509641"/>
      <w:bookmarkStart w:id="254" w:name="_Toc409509924"/>
      <w:bookmarkStart w:id="255" w:name="_Toc409510207"/>
      <w:bookmarkStart w:id="256" w:name="_Toc409595686"/>
      <w:bookmarkStart w:id="257" w:name="_Toc409606861"/>
      <w:bookmarkStart w:id="258" w:name="_Toc408418401"/>
      <w:bookmarkStart w:id="259" w:name="_Toc409085630"/>
      <w:bookmarkStart w:id="260" w:name="_Toc409085907"/>
      <w:bookmarkStart w:id="261" w:name="_Toc409086184"/>
      <w:bookmarkStart w:id="262" w:name="_Toc409248794"/>
      <w:bookmarkStart w:id="263" w:name="_Toc409255374"/>
      <w:bookmarkStart w:id="264" w:name="_Toc409255654"/>
      <w:bookmarkStart w:id="265" w:name="_Toc409255934"/>
      <w:bookmarkStart w:id="266" w:name="_Toc409256214"/>
      <w:bookmarkStart w:id="267" w:name="_Toc409256494"/>
      <w:bookmarkStart w:id="268" w:name="_Toc409270189"/>
      <w:bookmarkStart w:id="269" w:name="_Toc409270469"/>
      <w:bookmarkStart w:id="270" w:name="_Toc409509077"/>
      <w:bookmarkStart w:id="271" w:name="_Toc409509359"/>
      <w:bookmarkStart w:id="272" w:name="_Toc409509642"/>
      <w:bookmarkStart w:id="273" w:name="_Toc409509925"/>
      <w:bookmarkStart w:id="274" w:name="_Toc409510208"/>
      <w:bookmarkStart w:id="275" w:name="_Toc409595687"/>
      <w:bookmarkStart w:id="276" w:name="_Toc409606862"/>
      <w:bookmarkStart w:id="277" w:name="_Toc404234694"/>
      <w:bookmarkStart w:id="278" w:name="_Toc387233239"/>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sidRPr="00332FCD">
        <w:rPr>
          <w:rFonts w:ascii="Andes" w:eastAsiaTheme="majorEastAsia" w:hAnsi="Andes" w:cstheme="majorBidi"/>
          <w:bCs w:val="0"/>
          <w:color w:val="C45911"/>
          <w:sz w:val="32"/>
          <w:szCs w:val="32"/>
        </w:rPr>
        <w:t>Conflits d’intérêts</w:t>
      </w:r>
    </w:p>
    <w:p w14:paraId="067291C5" w14:textId="51254DA5" w:rsidR="001876DF" w:rsidRPr="00332FCD" w:rsidRDefault="007926CD" w:rsidP="007D1060">
      <w:pPr>
        <w:pStyle w:val="Paragraphedeliste"/>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La Banque exige que les entreprises et les personnes physiques qui participent à la passation des marchés dans ses opérations de FPI n’aient pas de conflit d’intérêts. </w:t>
      </w:r>
    </w:p>
    <w:p w14:paraId="744ED8DA" w14:textId="689B1D24" w:rsidR="002550A8" w:rsidRPr="00332FCD" w:rsidRDefault="007926CD" w:rsidP="007D1060">
      <w:pPr>
        <w:spacing w:before="240" w:line="240" w:lineRule="auto"/>
        <w:contextualSpacing w:val="0"/>
        <w:rPr>
          <w:rFonts w:ascii="Andes" w:hAnsi="Andes" w:cs="Arial"/>
          <w:b/>
          <w:sz w:val="28"/>
          <w:szCs w:val="28"/>
        </w:rPr>
      </w:pPr>
      <w:r w:rsidRPr="00332FCD">
        <w:rPr>
          <w:rFonts w:ascii="Andes" w:hAnsi="Andes" w:cs="Arial"/>
          <w:b/>
          <w:sz w:val="28"/>
          <w:szCs w:val="28"/>
        </w:rPr>
        <w:t xml:space="preserve">Fourniture, Travaux et Services Autres que </w:t>
      </w:r>
      <w:r w:rsidR="00A40A78" w:rsidRPr="00332FCD">
        <w:rPr>
          <w:rFonts w:ascii="Andes" w:hAnsi="Andes" w:cs="Arial"/>
          <w:b/>
          <w:sz w:val="28"/>
          <w:szCs w:val="28"/>
        </w:rPr>
        <w:t xml:space="preserve">les </w:t>
      </w:r>
      <w:r w:rsidRPr="00332FCD">
        <w:rPr>
          <w:rFonts w:ascii="Andes" w:hAnsi="Andes" w:cs="Arial"/>
          <w:b/>
          <w:sz w:val="28"/>
          <w:szCs w:val="28"/>
        </w:rPr>
        <w:t>Services de Consultants</w:t>
      </w:r>
    </w:p>
    <w:p w14:paraId="0FE21C6F" w14:textId="05ABEAC4" w:rsidR="002550A8" w:rsidRPr="00332FCD" w:rsidRDefault="00A234A5" w:rsidP="007D1060">
      <w:pPr>
        <w:pStyle w:val="Paragraphedeliste"/>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Est réputée avoir un conflit d’intérêts toute entreprise qui</w:t>
      </w:r>
      <w:r w:rsidR="00730BDF" w:rsidRPr="00332FCD">
        <w:rPr>
          <w:rFonts w:ascii="Calibri" w:hAnsi="Calibri" w:cs="Calibri"/>
          <w:sz w:val="22"/>
          <w:szCs w:val="22"/>
        </w:rPr>
        <w:t> </w:t>
      </w:r>
      <w:r w:rsidR="00730BDF" w:rsidRPr="00332FCD">
        <w:rPr>
          <w:rFonts w:ascii="Andes" w:hAnsi="Andes" w:cs="Arial"/>
          <w:sz w:val="22"/>
          <w:szCs w:val="22"/>
        </w:rPr>
        <w:t>:</w:t>
      </w:r>
      <w:r w:rsidR="002550A8" w:rsidRPr="00332FCD">
        <w:rPr>
          <w:rFonts w:ascii="Andes" w:hAnsi="Andes" w:cs="Arial"/>
          <w:sz w:val="22"/>
          <w:szCs w:val="22"/>
        </w:rPr>
        <w:t xml:space="preserve"> </w:t>
      </w:r>
    </w:p>
    <w:p w14:paraId="70697DE7" w14:textId="639E49BC" w:rsidR="002550A8" w:rsidRPr="00332FCD" w:rsidRDefault="00985556" w:rsidP="007D1060">
      <w:pPr>
        <w:pStyle w:val="Paragraphedeliste"/>
        <w:numPr>
          <w:ilvl w:val="0"/>
          <w:numId w:val="144"/>
        </w:numPr>
        <w:spacing w:before="0" w:line="240" w:lineRule="auto"/>
        <w:contextualSpacing w:val="0"/>
        <w:rPr>
          <w:rFonts w:ascii="Andes" w:hAnsi="Andes" w:cs="Arial"/>
          <w:sz w:val="22"/>
          <w:szCs w:val="22"/>
        </w:rPr>
      </w:pPr>
      <w:r w:rsidRPr="00332FCD">
        <w:rPr>
          <w:rFonts w:ascii="Andes" w:hAnsi="Andes" w:cs="Arial"/>
          <w:sz w:val="22"/>
          <w:szCs w:val="22"/>
        </w:rPr>
        <w:t xml:space="preserve">livre </w:t>
      </w:r>
      <w:r w:rsidR="00A234A5" w:rsidRPr="00332FCD">
        <w:rPr>
          <w:rFonts w:ascii="Andes" w:hAnsi="Andes" w:cs="Arial"/>
          <w:sz w:val="22"/>
          <w:szCs w:val="22"/>
        </w:rPr>
        <w:t>des Fournitures, réalise des Travaux ou fournit des Services Autres</w:t>
      </w:r>
      <w:r w:rsidR="002C4C38" w:rsidRPr="00332FCD">
        <w:rPr>
          <w:rFonts w:ascii="Andes" w:hAnsi="Andes" w:cs="Arial"/>
          <w:sz w:val="22"/>
          <w:szCs w:val="22"/>
        </w:rPr>
        <w:t xml:space="preserve"> que</w:t>
      </w:r>
      <w:r w:rsidR="00A234A5" w:rsidRPr="00332FCD">
        <w:rPr>
          <w:rFonts w:ascii="Andes" w:hAnsi="Andes" w:cs="Arial"/>
          <w:sz w:val="22"/>
          <w:szCs w:val="22"/>
        </w:rPr>
        <w:t xml:space="preserve"> </w:t>
      </w:r>
      <w:r w:rsidR="00A40A78" w:rsidRPr="00332FCD">
        <w:rPr>
          <w:rFonts w:ascii="Andes" w:hAnsi="Andes" w:cs="Arial"/>
          <w:sz w:val="22"/>
          <w:szCs w:val="22"/>
        </w:rPr>
        <w:t>l</w:t>
      </w:r>
      <w:r w:rsidR="002C4C38" w:rsidRPr="00332FCD">
        <w:rPr>
          <w:rFonts w:ascii="Andes" w:hAnsi="Andes" w:cs="Arial"/>
          <w:sz w:val="22"/>
          <w:szCs w:val="22"/>
        </w:rPr>
        <w:t>es Services de Consultants</w:t>
      </w:r>
      <w:r w:rsidR="00482DD1" w:rsidRPr="00332FCD">
        <w:rPr>
          <w:rFonts w:ascii="Andes" w:hAnsi="Andes" w:cs="Arial"/>
          <w:sz w:val="22"/>
          <w:szCs w:val="22"/>
        </w:rPr>
        <w:t xml:space="preserve"> consécutifs </w:t>
      </w:r>
      <w:r w:rsidR="002C4C38" w:rsidRPr="00332FCD">
        <w:rPr>
          <w:rFonts w:ascii="Andes" w:hAnsi="Andes" w:cs="Arial"/>
          <w:sz w:val="22"/>
          <w:szCs w:val="22"/>
        </w:rPr>
        <w:t xml:space="preserve">ou directement liés à </w:t>
      </w:r>
      <w:r w:rsidR="00A234A5" w:rsidRPr="00332FCD">
        <w:rPr>
          <w:rFonts w:ascii="Andes" w:hAnsi="Andes" w:cs="Arial"/>
          <w:sz w:val="22"/>
          <w:szCs w:val="22"/>
        </w:rPr>
        <w:t xml:space="preserve">des Services de Consultants </w:t>
      </w:r>
      <w:r w:rsidR="002C4C38" w:rsidRPr="00332FCD">
        <w:rPr>
          <w:rFonts w:ascii="Andes" w:hAnsi="Andes" w:cs="Arial"/>
          <w:sz w:val="22"/>
          <w:szCs w:val="22"/>
        </w:rPr>
        <w:t>qu’elle</w:t>
      </w:r>
      <w:r w:rsidR="00482DD1" w:rsidRPr="00332FCD">
        <w:rPr>
          <w:rFonts w:ascii="Andes" w:hAnsi="Andes" w:cs="Arial"/>
          <w:sz w:val="22"/>
          <w:szCs w:val="22"/>
        </w:rPr>
        <w:t xml:space="preserve"> a assurés </w:t>
      </w:r>
      <w:r w:rsidR="002C4C38" w:rsidRPr="00332FCD">
        <w:rPr>
          <w:rFonts w:ascii="Andes" w:hAnsi="Andes" w:cs="Arial"/>
          <w:sz w:val="22"/>
          <w:szCs w:val="22"/>
        </w:rPr>
        <w:t>pour la préparation ou l’exécution d’un projet</w:t>
      </w:r>
      <w:r w:rsidR="002C10E9" w:rsidRPr="00332FCD">
        <w:rPr>
          <w:rFonts w:ascii="Andes" w:hAnsi="Andes" w:cs="Arial"/>
          <w:sz w:val="22"/>
          <w:szCs w:val="22"/>
        </w:rPr>
        <w:t>,</w:t>
      </w:r>
      <w:r w:rsidR="002C4C38" w:rsidRPr="00332FCD">
        <w:rPr>
          <w:rFonts w:ascii="Andes" w:hAnsi="Andes" w:cs="Arial"/>
          <w:sz w:val="22"/>
          <w:szCs w:val="22"/>
        </w:rPr>
        <w:t xml:space="preserve"> </w:t>
      </w:r>
      <w:r w:rsidR="002C10E9" w:rsidRPr="00332FCD">
        <w:rPr>
          <w:rFonts w:ascii="Andes" w:hAnsi="Andes" w:cs="Arial"/>
          <w:sz w:val="22"/>
          <w:szCs w:val="22"/>
        </w:rPr>
        <w:t>ou qui</w:t>
      </w:r>
      <w:r w:rsidR="00482DD1" w:rsidRPr="00332FCD">
        <w:rPr>
          <w:rFonts w:ascii="Andes" w:hAnsi="Andes" w:cs="Arial"/>
          <w:sz w:val="22"/>
          <w:szCs w:val="22"/>
        </w:rPr>
        <w:t xml:space="preserve"> ont été </w:t>
      </w:r>
      <w:r w:rsidR="002C10E9" w:rsidRPr="00332FCD">
        <w:rPr>
          <w:rFonts w:ascii="Andes" w:hAnsi="Andes" w:cs="Arial"/>
          <w:sz w:val="22"/>
          <w:szCs w:val="22"/>
        </w:rPr>
        <w:t>fournis par une entreprise affiliée qui la contrôle directement ou indirectement,</w:t>
      </w:r>
      <w:r w:rsidR="002268CB" w:rsidRPr="00332FCD">
        <w:rPr>
          <w:rFonts w:ascii="Andes" w:hAnsi="Andes" w:cs="Arial"/>
          <w:sz w:val="22"/>
          <w:szCs w:val="22"/>
        </w:rPr>
        <w:t xml:space="preserve"> qu’elle contrôle</w:t>
      </w:r>
      <w:r w:rsidR="00482DD1" w:rsidRPr="00332FCD">
        <w:rPr>
          <w:rFonts w:ascii="Andes" w:hAnsi="Andes" w:cs="Arial"/>
          <w:sz w:val="22"/>
          <w:szCs w:val="22"/>
        </w:rPr>
        <w:t xml:space="preserve"> elle-même</w:t>
      </w:r>
      <w:r w:rsidR="002268CB" w:rsidRPr="00332FCD">
        <w:rPr>
          <w:rFonts w:ascii="Andes" w:hAnsi="Andes" w:cs="Arial"/>
          <w:sz w:val="22"/>
          <w:szCs w:val="22"/>
        </w:rPr>
        <w:t xml:space="preserve"> </w:t>
      </w:r>
      <w:r w:rsidR="002C10E9" w:rsidRPr="00332FCD">
        <w:rPr>
          <w:rFonts w:ascii="Andes" w:hAnsi="Andes" w:cs="Arial"/>
          <w:sz w:val="22"/>
          <w:szCs w:val="22"/>
        </w:rPr>
        <w:t xml:space="preserve">ou </w:t>
      </w:r>
      <w:r w:rsidR="002268CB" w:rsidRPr="00332FCD">
        <w:rPr>
          <w:rFonts w:ascii="Andes" w:hAnsi="Andes" w:cs="Arial"/>
          <w:sz w:val="22"/>
          <w:szCs w:val="22"/>
        </w:rPr>
        <w:t xml:space="preserve">qui </w:t>
      </w:r>
      <w:r w:rsidR="002C10E9" w:rsidRPr="00332FCD">
        <w:rPr>
          <w:rFonts w:ascii="Andes" w:hAnsi="Andes" w:cs="Arial"/>
          <w:sz w:val="22"/>
          <w:szCs w:val="22"/>
        </w:rPr>
        <w:t>est placée sous un contrôle commun</w:t>
      </w:r>
      <w:r w:rsidR="00687669" w:rsidRPr="00332FCD">
        <w:rPr>
          <w:rFonts w:ascii="Andes" w:hAnsi="Andes" w:cs="Arial"/>
          <w:sz w:val="22"/>
          <w:szCs w:val="22"/>
        </w:rPr>
        <w:t>.</w:t>
      </w:r>
      <w:r w:rsidR="002268CB" w:rsidRPr="00332FCD">
        <w:rPr>
          <w:rFonts w:ascii="Andes" w:hAnsi="Andes" w:cs="Arial"/>
          <w:sz w:val="22"/>
          <w:szCs w:val="22"/>
        </w:rPr>
        <w:t xml:space="preserve"> </w:t>
      </w:r>
      <w:r w:rsidR="000D5EF9" w:rsidRPr="00332FCD">
        <w:rPr>
          <w:rFonts w:ascii="Andes" w:hAnsi="Andes" w:cs="Arial"/>
          <w:sz w:val="22"/>
          <w:szCs w:val="22"/>
        </w:rPr>
        <w:t>Cette disposition ne s’applique pas aux diverses entreprises (consultants, entrepreneurs ou fournisseurs) qui</w:t>
      </w:r>
      <w:r w:rsidR="00482DD1" w:rsidRPr="00332FCD">
        <w:rPr>
          <w:rFonts w:ascii="Andes" w:hAnsi="Andes" w:cs="Arial"/>
          <w:sz w:val="22"/>
          <w:szCs w:val="22"/>
        </w:rPr>
        <w:t xml:space="preserve">, collectivement, s’acquittent </w:t>
      </w:r>
      <w:r w:rsidR="000D5EF9" w:rsidRPr="00332FCD">
        <w:rPr>
          <w:rFonts w:ascii="Andes" w:hAnsi="Andes" w:cs="Arial"/>
          <w:sz w:val="22"/>
          <w:szCs w:val="22"/>
        </w:rPr>
        <w:lastRenderedPageBreak/>
        <w:t>des obligations de l’adjudicataire d’un marché clés en main ou d’un marché de conception</w:t>
      </w:r>
      <w:r w:rsidR="00730BDF" w:rsidRPr="00332FCD">
        <w:rPr>
          <w:rFonts w:ascii="Andes" w:hAnsi="Andes" w:cs="Arial"/>
          <w:sz w:val="22"/>
          <w:szCs w:val="22"/>
        </w:rPr>
        <w:t>-</w:t>
      </w:r>
      <w:r w:rsidR="000D5EF9" w:rsidRPr="00332FCD">
        <w:rPr>
          <w:rFonts w:ascii="Andes" w:hAnsi="Andes" w:cs="Arial"/>
          <w:sz w:val="22"/>
          <w:szCs w:val="22"/>
        </w:rPr>
        <w:t>construction</w:t>
      </w:r>
      <w:r w:rsidR="00730BDF" w:rsidRPr="00332FCD">
        <w:rPr>
          <w:rFonts w:ascii="Calibri" w:hAnsi="Calibri" w:cs="Calibri"/>
          <w:sz w:val="22"/>
          <w:szCs w:val="22"/>
        </w:rPr>
        <w:t> </w:t>
      </w:r>
      <w:r w:rsidR="00730BDF" w:rsidRPr="00332FCD">
        <w:rPr>
          <w:rFonts w:ascii="Andes" w:hAnsi="Andes" w:cs="Arial"/>
          <w:sz w:val="22"/>
          <w:szCs w:val="22"/>
        </w:rPr>
        <w:t>;</w:t>
      </w:r>
      <w:r w:rsidR="002550A8" w:rsidRPr="00332FCD">
        <w:rPr>
          <w:rFonts w:ascii="Andes" w:hAnsi="Andes" w:cs="Arial"/>
          <w:sz w:val="22"/>
          <w:szCs w:val="22"/>
        </w:rPr>
        <w:t xml:space="preserve"> </w:t>
      </w:r>
    </w:p>
    <w:p w14:paraId="1A0FEDDF" w14:textId="316A4C99" w:rsidR="00A80739" w:rsidRPr="00332FCD" w:rsidRDefault="007C2F3B" w:rsidP="007D1060">
      <w:pPr>
        <w:pStyle w:val="Paragraphedeliste"/>
        <w:numPr>
          <w:ilvl w:val="0"/>
          <w:numId w:val="144"/>
        </w:numPr>
        <w:spacing w:before="0" w:line="240" w:lineRule="auto"/>
        <w:contextualSpacing w:val="0"/>
        <w:rPr>
          <w:rFonts w:ascii="Andes" w:hAnsi="Andes" w:cs="Arial"/>
          <w:sz w:val="22"/>
          <w:szCs w:val="22"/>
        </w:rPr>
      </w:pPr>
      <w:r w:rsidRPr="00332FCD">
        <w:rPr>
          <w:rFonts w:ascii="Andes" w:hAnsi="Andes" w:cs="Arial"/>
          <w:sz w:val="22"/>
          <w:szCs w:val="22"/>
        </w:rPr>
        <w:t>a, ou dont un membre du personnel a, une relation professionnelle ou familiale étroite avec</w:t>
      </w:r>
      <w:r w:rsidR="00482DD1" w:rsidRPr="00332FCD">
        <w:rPr>
          <w:rFonts w:ascii="Andes" w:hAnsi="Andes" w:cs="Arial"/>
          <w:sz w:val="22"/>
          <w:szCs w:val="22"/>
        </w:rPr>
        <w:t xml:space="preserve"> tout cadre </w:t>
      </w:r>
      <w:r w:rsidRPr="00332FCD">
        <w:rPr>
          <w:rFonts w:ascii="Andes" w:hAnsi="Andes" w:cs="Arial"/>
          <w:sz w:val="22"/>
          <w:szCs w:val="22"/>
        </w:rPr>
        <w:t>de l’Emprunteur,</w:t>
      </w:r>
      <w:r w:rsidR="007D1060" w:rsidRPr="00332FCD">
        <w:rPr>
          <w:rFonts w:ascii="Andes" w:hAnsi="Andes" w:cs="Arial"/>
          <w:sz w:val="22"/>
          <w:szCs w:val="22"/>
        </w:rPr>
        <w:t xml:space="preserve"> de l’organisme d’exécution, d’un bénéficiaire </w:t>
      </w:r>
      <w:r w:rsidR="006923F8" w:rsidRPr="00332FCD">
        <w:rPr>
          <w:rFonts w:ascii="Andes" w:hAnsi="Andes" w:cs="Arial"/>
          <w:sz w:val="22"/>
          <w:szCs w:val="22"/>
        </w:rPr>
        <w:t xml:space="preserve">d’une fraction </w:t>
      </w:r>
      <w:r w:rsidR="007D1060" w:rsidRPr="00332FCD">
        <w:rPr>
          <w:rFonts w:ascii="Andes" w:hAnsi="Andes" w:cs="Arial"/>
          <w:sz w:val="22"/>
          <w:szCs w:val="22"/>
        </w:rPr>
        <w:t>du financement de la Banque ou de toute autre partie représentant l’Emprunteur ou agissant en son nom qui</w:t>
      </w:r>
      <w:r w:rsidR="005F39FB" w:rsidRPr="00332FCD">
        <w:rPr>
          <w:rFonts w:ascii="Andes" w:hAnsi="Andes" w:cs="Arial"/>
          <w:sz w:val="22"/>
          <w:szCs w:val="22"/>
        </w:rPr>
        <w:t xml:space="preserve">: </w:t>
      </w:r>
    </w:p>
    <w:p w14:paraId="70254DAA" w14:textId="350475AF" w:rsidR="00A80739" w:rsidRPr="00332FCD" w:rsidRDefault="00784239" w:rsidP="0009654F">
      <w:pPr>
        <w:pStyle w:val="Paragraphedeliste"/>
        <w:numPr>
          <w:ilvl w:val="0"/>
          <w:numId w:val="118"/>
        </w:numPr>
        <w:tabs>
          <w:tab w:val="left" w:pos="720"/>
        </w:tabs>
        <w:spacing w:before="0" w:line="240" w:lineRule="auto"/>
        <w:contextualSpacing w:val="0"/>
        <w:rPr>
          <w:rFonts w:ascii="Andes" w:hAnsi="Andes" w:cs="Arial"/>
          <w:sz w:val="22"/>
          <w:szCs w:val="22"/>
        </w:rPr>
      </w:pPr>
      <w:r w:rsidRPr="00332FCD">
        <w:rPr>
          <w:rFonts w:ascii="Andes" w:hAnsi="Andes" w:cs="Arial"/>
          <w:sz w:val="22"/>
          <w:szCs w:val="22"/>
        </w:rPr>
        <w:t>participe directement ou indirectement à la préparation des Do</w:t>
      </w:r>
      <w:r w:rsidR="003A07A0" w:rsidRPr="00332FCD">
        <w:rPr>
          <w:rFonts w:ascii="Andes" w:hAnsi="Andes" w:cs="Arial"/>
          <w:sz w:val="22"/>
          <w:szCs w:val="22"/>
        </w:rPr>
        <w:t>ssiers</w:t>
      </w:r>
      <w:r w:rsidRPr="00332FCD">
        <w:rPr>
          <w:rFonts w:ascii="Andes" w:hAnsi="Andes" w:cs="Arial"/>
          <w:sz w:val="22"/>
          <w:szCs w:val="22"/>
        </w:rPr>
        <w:t xml:space="preserve"> de Passation des Marchés ou du cahier des charges, et/ou au processus d’évaluation du marché considéré</w:t>
      </w:r>
      <w:r w:rsidR="00730BDF" w:rsidRPr="00332FCD">
        <w:rPr>
          <w:rFonts w:ascii="Calibri" w:hAnsi="Calibri" w:cs="Calibri"/>
          <w:sz w:val="22"/>
          <w:szCs w:val="22"/>
        </w:rPr>
        <w:t> </w:t>
      </w:r>
      <w:r w:rsidR="00730BDF" w:rsidRPr="00332FCD">
        <w:rPr>
          <w:rFonts w:ascii="Andes" w:hAnsi="Andes" w:cs="Arial"/>
          <w:sz w:val="22"/>
          <w:szCs w:val="22"/>
        </w:rPr>
        <w:t>;</w:t>
      </w:r>
      <w:r w:rsidR="00A80739" w:rsidRPr="00332FCD">
        <w:rPr>
          <w:rFonts w:ascii="Andes" w:hAnsi="Andes" w:cs="Arial"/>
          <w:sz w:val="22"/>
          <w:szCs w:val="22"/>
        </w:rPr>
        <w:t xml:space="preserve"> </w:t>
      </w:r>
    </w:p>
    <w:p w14:paraId="622161CD" w14:textId="5D7DDBCC" w:rsidR="005F39FB" w:rsidRPr="00332FCD" w:rsidRDefault="00784239" w:rsidP="0009654F">
      <w:pPr>
        <w:pStyle w:val="Paragraphedeliste"/>
        <w:numPr>
          <w:ilvl w:val="0"/>
          <w:numId w:val="118"/>
        </w:numPr>
        <w:tabs>
          <w:tab w:val="left" w:pos="720"/>
        </w:tabs>
        <w:spacing w:before="0" w:line="240" w:lineRule="auto"/>
        <w:contextualSpacing w:val="0"/>
        <w:rPr>
          <w:rFonts w:ascii="Andes" w:hAnsi="Andes" w:cs="Arial"/>
          <w:sz w:val="22"/>
          <w:szCs w:val="22"/>
        </w:rPr>
      </w:pPr>
      <w:r w:rsidRPr="00332FCD">
        <w:rPr>
          <w:rFonts w:ascii="Andes" w:hAnsi="Andes" w:cs="Arial"/>
          <w:sz w:val="22"/>
          <w:szCs w:val="22"/>
        </w:rPr>
        <w:t>participerait à l’exécution ou à la supervision dudit marché</w:t>
      </w:r>
      <w:r w:rsidR="00986F83" w:rsidRPr="00332FCD">
        <w:rPr>
          <w:rFonts w:ascii="Andes" w:hAnsi="Andes" w:cs="Arial"/>
          <w:sz w:val="22"/>
          <w:szCs w:val="22"/>
        </w:rPr>
        <w:t xml:space="preserve"> sauf si le conflit résultant de ladite relation a été réglé d’une manière que la Banque</w:t>
      </w:r>
      <w:r w:rsidRPr="00332FCD">
        <w:rPr>
          <w:rFonts w:ascii="Andes" w:hAnsi="Andes" w:cs="Arial"/>
          <w:sz w:val="22"/>
          <w:szCs w:val="22"/>
        </w:rPr>
        <w:t xml:space="preserve"> </w:t>
      </w:r>
      <w:r w:rsidR="00986F83" w:rsidRPr="00332FCD">
        <w:rPr>
          <w:rFonts w:ascii="Andes" w:hAnsi="Andes" w:cs="Arial"/>
          <w:sz w:val="22"/>
          <w:szCs w:val="22"/>
        </w:rPr>
        <w:t>juge satisfaisante pendant tout le processus de passation et d’exécution du marché</w:t>
      </w:r>
      <w:r w:rsidR="00986F83" w:rsidRPr="00332FCD">
        <w:rPr>
          <w:rFonts w:ascii="Calibri" w:hAnsi="Calibri" w:cs="Arial"/>
          <w:sz w:val="22"/>
          <w:szCs w:val="22"/>
        </w:rPr>
        <w:t> </w:t>
      </w:r>
      <w:r w:rsidR="00986F83" w:rsidRPr="00332FCD">
        <w:rPr>
          <w:rFonts w:ascii="Andes" w:hAnsi="Andes" w:cs="Arial"/>
          <w:sz w:val="22"/>
          <w:szCs w:val="22"/>
        </w:rPr>
        <w:t xml:space="preserve">; ou </w:t>
      </w:r>
    </w:p>
    <w:p w14:paraId="35B1D6CE" w14:textId="684111F2" w:rsidR="005F39FB" w:rsidRPr="00332FCD" w:rsidRDefault="00967DE9" w:rsidP="0009654F">
      <w:pPr>
        <w:pStyle w:val="Paragraphedeliste"/>
        <w:numPr>
          <w:ilvl w:val="0"/>
          <w:numId w:val="144"/>
        </w:numPr>
        <w:spacing w:before="0" w:line="240" w:lineRule="auto"/>
        <w:contextualSpacing w:val="0"/>
        <w:rPr>
          <w:rFonts w:ascii="Andes" w:hAnsi="Andes" w:cs="Arial"/>
          <w:sz w:val="22"/>
          <w:szCs w:val="22"/>
        </w:rPr>
      </w:pPr>
      <w:r w:rsidRPr="00332FCD">
        <w:rPr>
          <w:rFonts w:ascii="Andes" w:hAnsi="Andes" w:cs="Arial"/>
          <w:sz w:val="22"/>
          <w:szCs w:val="22"/>
        </w:rPr>
        <w:t xml:space="preserve">ne se conforme pas aux dispositions relatives à </w:t>
      </w:r>
      <w:r w:rsidR="00567AB9" w:rsidRPr="00332FCD">
        <w:rPr>
          <w:rFonts w:ascii="Andes" w:hAnsi="Andes" w:cs="Arial"/>
          <w:sz w:val="22"/>
          <w:szCs w:val="22"/>
        </w:rPr>
        <w:t>toute</w:t>
      </w:r>
      <w:r w:rsidRPr="00332FCD">
        <w:rPr>
          <w:rFonts w:ascii="Andes" w:hAnsi="Andes" w:cs="Arial"/>
          <w:sz w:val="22"/>
          <w:szCs w:val="22"/>
        </w:rPr>
        <w:t xml:space="preserve"> autre situation de conflit d’intérêts, dan</w:t>
      </w:r>
      <w:r w:rsidR="00510D5A" w:rsidRPr="00332FCD">
        <w:rPr>
          <w:rFonts w:ascii="Andes" w:hAnsi="Andes" w:cs="Arial"/>
          <w:sz w:val="22"/>
          <w:szCs w:val="22"/>
        </w:rPr>
        <w:t>s les conditions prévues par le</w:t>
      </w:r>
      <w:r w:rsidRPr="00332FCD">
        <w:rPr>
          <w:rFonts w:ascii="Andes" w:hAnsi="Andes" w:cs="Arial"/>
          <w:sz w:val="22"/>
          <w:szCs w:val="22"/>
        </w:rPr>
        <w:t xml:space="preserve"> Do</w:t>
      </w:r>
      <w:r w:rsidR="00510D5A" w:rsidRPr="00332FCD">
        <w:rPr>
          <w:rFonts w:ascii="Andes" w:hAnsi="Andes" w:cs="Arial"/>
          <w:sz w:val="22"/>
          <w:szCs w:val="22"/>
        </w:rPr>
        <w:t xml:space="preserve">ssier </w:t>
      </w:r>
      <w:r w:rsidRPr="00332FCD">
        <w:rPr>
          <w:rFonts w:ascii="Andes" w:hAnsi="Andes" w:cs="Arial"/>
          <w:sz w:val="22"/>
          <w:szCs w:val="22"/>
        </w:rPr>
        <w:t xml:space="preserve">Type de Passation des Marchés de la Banque qui </w:t>
      </w:r>
      <w:r w:rsidR="00510D5A" w:rsidRPr="00332FCD">
        <w:rPr>
          <w:rFonts w:ascii="Andes" w:hAnsi="Andes" w:cs="Arial"/>
          <w:sz w:val="22"/>
          <w:szCs w:val="22"/>
        </w:rPr>
        <w:t xml:space="preserve">est </w:t>
      </w:r>
      <w:r w:rsidR="00730BDF" w:rsidRPr="00332FCD">
        <w:rPr>
          <w:rFonts w:ascii="Andes" w:hAnsi="Andes" w:cs="Arial"/>
          <w:sz w:val="22"/>
          <w:szCs w:val="22"/>
        </w:rPr>
        <w:t xml:space="preserve">applicable </w:t>
      </w:r>
      <w:r w:rsidRPr="00332FCD">
        <w:rPr>
          <w:rFonts w:ascii="Andes" w:hAnsi="Andes" w:cs="Arial"/>
          <w:sz w:val="22"/>
          <w:szCs w:val="22"/>
        </w:rPr>
        <w:t xml:space="preserve">au processus de passation </w:t>
      </w:r>
      <w:r w:rsidR="00567AB9" w:rsidRPr="00332FCD">
        <w:rPr>
          <w:rFonts w:ascii="Andes" w:hAnsi="Andes" w:cs="Arial"/>
          <w:sz w:val="22"/>
          <w:szCs w:val="22"/>
        </w:rPr>
        <w:t>du marché considéré</w:t>
      </w:r>
      <w:r w:rsidR="005F39FB" w:rsidRPr="00332FCD">
        <w:rPr>
          <w:rFonts w:ascii="Andes" w:hAnsi="Andes" w:cs="Arial"/>
          <w:sz w:val="22"/>
          <w:szCs w:val="22"/>
        </w:rPr>
        <w:t>.</w:t>
      </w:r>
    </w:p>
    <w:p w14:paraId="028A74CE" w14:textId="1B91BE48" w:rsidR="00595985" w:rsidRPr="00332FCD" w:rsidRDefault="009836A4" w:rsidP="0009654F">
      <w:pPr>
        <w:spacing w:before="240" w:line="240" w:lineRule="auto"/>
        <w:contextualSpacing w:val="0"/>
        <w:rPr>
          <w:rFonts w:ascii="Andes" w:hAnsi="Andes" w:cs="Arial"/>
          <w:b/>
          <w:sz w:val="28"/>
          <w:szCs w:val="28"/>
        </w:rPr>
      </w:pPr>
      <w:r w:rsidRPr="00332FCD">
        <w:rPr>
          <w:rFonts w:ascii="Andes" w:hAnsi="Andes" w:cs="Arial"/>
          <w:b/>
          <w:sz w:val="28"/>
          <w:szCs w:val="28"/>
        </w:rPr>
        <w:t>Services de Consultants</w:t>
      </w:r>
    </w:p>
    <w:p w14:paraId="14AFBFC1" w14:textId="305C0BEA" w:rsidR="00A5557C" w:rsidRPr="00332FCD" w:rsidRDefault="00DB1FBD" w:rsidP="0009654F">
      <w:pPr>
        <w:pStyle w:val="Paragraphedeliste"/>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La Banque exige des Consultants</w:t>
      </w:r>
      <w:r w:rsidR="00730BDF" w:rsidRPr="00332FCD">
        <w:rPr>
          <w:rFonts w:ascii="Calibri" w:hAnsi="Calibri" w:cs="Calibri"/>
          <w:sz w:val="22"/>
          <w:szCs w:val="22"/>
        </w:rPr>
        <w:t> </w:t>
      </w:r>
      <w:r w:rsidR="00730BDF" w:rsidRPr="00332FCD">
        <w:rPr>
          <w:rFonts w:ascii="Andes" w:hAnsi="Andes" w:cs="Arial"/>
          <w:sz w:val="22"/>
          <w:szCs w:val="22"/>
        </w:rPr>
        <w:t>:</w:t>
      </w:r>
    </w:p>
    <w:p w14:paraId="355C1C71" w14:textId="341B9F8C" w:rsidR="00A5557C" w:rsidRPr="00332FCD" w:rsidRDefault="00DB1FBD" w:rsidP="0009654F">
      <w:pPr>
        <w:pStyle w:val="Paragraphedeliste"/>
        <w:numPr>
          <w:ilvl w:val="0"/>
          <w:numId w:val="145"/>
        </w:numPr>
        <w:spacing w:before="0" w:line="240" w:lineRule="auto"/>
        <w:contextualSpacing w:val="0"/>
        <w:rPr>
          <w:rFonts w:ascii="Andes" w:hAnsi="Andes" w:cs="Arial"/>
          <w:sz w:val="22"/>
          <w:szCs w:val="22"/>
        </w:rPr>
      </w:pPr>
      <w:r w:rsidRPr="00332FCD">
        <w:rPr>
          <w:rFonts w:ascii="Andes" w:hAnsi="Andes" w:cs="Arial"/>
          <w:sz w:val="22"/>
          <w:szCs w:val="22"/>
        </w:rPr>
        <w:t>qu’ils</w:t>
      </w:r>
      <w:r w:rsidR="00502FBA" w:rsidRPr="00332FCD">
        <w:rPr>
          <w:rFonts w:ascii="Andes" w:hAnsi="Andes" w:cs="Arial"/>
          <w:sz w:val="22"/>
          <w:szCs w:val="22"/>
        </w:rPr>
        <w:t xml:space="preserve"> donnent </w:t>
      </w:r>
      <w:r w:rsidRPr="00332FCD">
        <w:rPr>
          <w:rFonts w:ascii="Andes" w:hAnsi="Andes" w:cs="Arial"/>
          <w:sz w:val="22"/>
          <w:szCs w:val="22"/>
        </w:rPr>
        <w:t>des avis professionnels objectifs et impartiaux</w:t>
      </w:r>
      <w:r w:rsidR="00730BDF" w:rsidRPr="00332FCD">
        <w:rPr>
          <w:rFonts w:ascii="Calibri" w:hAnsi="Calibri" w:cs="Calibri"/>
          <w:sz w:val="22"/>
          <w:szCs w:val="22"/>
        </w:rPr>
        <w:t> </w:t>
      </w:r>
      <w:r w:rsidR="00730BDF" w:rsidRPr="00332FCD">
        <w:rPr>
          <w:rFonts w:ascii="Andes" w:hAnsi="Andes" w:cs="Arial"/>
          <w:sz w:val="22"/>
          <w:szCs w:val="22"/>
        </w:rPr>
        <w:t>;</w:t>
      </w:r>
    </w:p>
    <w:p w14:paraId="29BBF6EA" w14:textId="7C65E824" w:rsidR="00A5557C" w:rsidRPr="00332FCD" w:rsidRDefault="00DB1FBD" w:rsidP="0009654F">
      <w:pPr>
        <w:pStyle w:val="Paragraphedeliste"/>
        <w:numPr>
          <w:ilvl w:val="0"/>
          <w:numId w:val="145"/>
        </w:numPr>
        <w:spacing w:before="0" w:line="240" w:lineRule="auto"/>
        <w:contextualSpacing w:val="0"/>
        <w:rPr>
          <w:rFonts w:ascii="Andes" w:hAnsi="Andes" w:cs="Arial"/>
          <w:sz w:val="22"/>
          <w:szCs w:val="22"/>
        </w:rPr>
      </w:pPr>
      <w:r w:rsidRPr="00332FCD">
        <w:rPr>
          <w:rFonts w:ascii="Andes" w:hAnsi="Andes" w:cs="Arial"/>
          <w:sz w:val="22"/>
          <w:szCs w:val="22"/>
        </w:rPr>
        <w:t xml:space="preserve">qu’en toutes circonstances, </w:t>
      </w:r>
      <w:r w:rsidR="00502FBA" w:rsidRPr="00332FCD">
        <w:rPr>
          <w:rFonts w:ascii="Andes" w:hAnsi="Andes" w:cs="Arial"/>
          <w:sz w:val="22"/>
          <w:szCs w:val="22"/>
        </w:rPr>
        <w:t>ils privilégient les intérêts de l’Emprunteur, sans faire entrer en ligne de compte l’éventualité d’une mission ultérieure</w:t>
      </w:r>
      <w:r w:rsidR="00730BDF" w:rsidRPr="00332FCD">
        <w:rPr>
          <w:rFonts w:ascii="Calibri" w:hAnsi="Calibri" w:cs="Calibri"/>
          <w:sz w:val="22"/>
          <w:szCs w:val="22"/>
        </w:rPr>
        <w:t> </w:t>
      </w:r>
      <w:r w:rsidR="00730BDF" w:rsidRPr="00332FCD">
        <w:rPr>
          <w:rFonts w:ascii="Andes" w:hAnsi="Andes" w:cs="Arial"/>
          <w:sz w:val="22"/>
          <w:szCs w:val="22"/>
        </w:rPr>
        <w:t>;</w:t>
      </w:r>
      <w:r w:rsidR="00502FBA" w:rsidRPr="00332FCD">
        <w:rPr>
          <w:rFonts w:ascii="Andes" w:hAnsi="Andes" w:cs="Arial"/>
          <w:sz w:val="22"/>
          <w:szCs w:val="22"/>
        </w:rPr>
        <w:t xml:space="preserve"> et </w:t>
      </w:r>
    </w:p>
    <w:p w14:paraId="2AFC3D03" w14:textId="12E72237" w:rsidR="00A5557C" w:rsidRPr="00332FCD" w:rsidRDefault="00502FBA" w:rsidP="0009654F">
      <w:pPr>
        <w:pStyle w:val="Paragraphedeliste"/>
        <w:numPr>
          <w:ilvl w:val="0"/>
          <w:numId w:val="145"/>
        </w:numPr>
        <w:spacing w:before="0" w:line="240" w:lineRule="auto"/>
        <w:contextualSpacing w:val="0"/>
        <w:rPr>
          <w:rFonts w:ascii="Andes" w:hAnsi="Andes" w:cs="Arial"/>
          <w:sz w:val="22"/>
          <w:szCs w:val="22"/>
          <w:shd w:val="clear" w:color="auto" w:fill="FBD4B4" w:themeFill="accent6" w:themeFillTint="66"/>
        </w:rPr>
      </w:pPr>
      <w:r w:rsidRPr="00332FCD">
        <w:rPr>
          <w:rFonts w:ascii="Andes" w:hAnsi="Andes" w:cs="Arial"/>
          <w:sz w:val="22"/>
          <w:szCs w:val="22"/>
        </w:rPr>
        <w:t xml:space="preserve">qu’ils évitent, dans les avis qu’ils donnent, toute possibilité de conflit avec d’autres missions et les intérêts de leur </w:t>
      </w:r>
      <w:r w:rsidR="0084132A" w:rsidRPr="00332FCD">
        <w:rPr>
          <w:rFonts w:ascii="Andes" w:hAnsi="Andes" w:cs="Arial"/>
          <w:sz w:val="22"/>
          <w:szCs w:val="22"/>
        </w:rPr>
        <w:t xml:space="preserve">propre </w:t>
      </w:r>
      <w:r w:rsidRPr="00332FCD">
        <w:rPr>
          <w:rFonts w:ascii="Andes" w:hAnsi="Andes" w:cs="Arial"/>
          <w:sz w:val="22"/>
          <w:szCs w:val="22"/>
        </w:rPr>
        <w:t>société</w:t>
      </w:r>
      <w:r w:rsidR="00687669" w:rsidRPr="00332FCD">
        <w:rPr>
          <w:rFonts w:ascii="Andes" w:hAnsi="Andes" w:cs="Arial"/>
          <w:sz w:val="22"/>
          <w:szCs w:val="22"/>
        </w:rPr>
        <w:t xml:space="preserve">.  </w:t>
      </w:r>
    </w:p>
    <w:p w14:paraId="29BD52F0" w14:textId="48185040" w:rsidR="002D0893" w:rsidRPr="00332FCD" w:rsidRDefault="00502FBA" w:rsidP="0009654F">
      <w:pPr>
        <w:pStyle w:val="Paragraphedeliste"/>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Les Consultants ne</w:t>
      </w:r>
      <w:r w:rsidR="00567AB9" w:rsidRPr="00332FCD">
        <w:rPr>
          <w:rFonts w:ascii="Andes" w:hAnsi="Andes" w:cs="Arial"/>
          <w:sz w:val="22"/>
          <w:szCs w:val="22"/>
        </w:rPr>
        <w:t xml:space="preserve"> peuvent être </w:t>
      </w:r>
      <w:r w:rsidRPr="00332FCD">
        <w:rPr>
          <w:rFonts w:ascii="Andes" w:hAnsi="Andes" w:cs="Arial"/>
          <w:sz w:val="22"/>
          <w:szCs w:val="22"/>
        </w:rPr>
        <w:t>engagés pour des missions qui seraient incompatibles avec leurs obligations présentes ou passées envers d’autres clients, ou qui risquerai</w:t>
      </w:r>
      <w:r w:rsidR="00E47436" w:rsidRPr="00332FCD">
        <w:rPr>
          <w:rFonts w:ascii="Andes" w:hAnsi="Andes" w:cs="Arial"/>
          <w:sz w:val="22"/>
          <w:szCs w:val="22"/>
        </w:rPr>
        <w:t>en</w:t>
      </w:r>
      <w:r w:rsidRPr="00332FCD">
        <w:rPr>
          <w:rFonts w:ascii="Andes" w:hAnsi="Andes" w:cs="Arial"/>
          <w:sz w:val="22"/>
          <w:szCs w:val="22"/>
        </w:rPr>
        <w:t>t de les mettre dans l’impossibilité de</w:t>
      </w:r>
      <w:r w:rsidR="00985556" w:rsidRPr="00332FCD">
        <w:rPr>
          <w:rFonts w:ascii="Andes" w:hAnsi="Andes" w:cs="Arial"/>
          <w:sz w:val="22"/>
          <w:szCs w:val="22"/>
        </w:rPr>
        <w:t xml:space="preserve"> remplir </w:t>
      </w:r>
      <w:r w:rsidRPr="00332FCD">
        <w:rPr>
          <w:rFonts w:ascii="Andes" w:hAnsi="Andes" w:cs="Arial"/>
          <w:sz w:val="22"/>
          <w:szCs w:val="22"/>
        </w:rPr>
        <w:t>leur mandat au mieux des intérêts de l’Emprunteur</w:t>
      </w:r>
      <w:r w:rsidR="00FE621C" w:rsidRPr="00332FCD">
        <w:rPr>
          <w:rFonts w:ascii="Andes" w:hAnsi="Andes" w:cs="Arial"/>
          <w:sz w:val="22"/>
          <w:szCs w:val="22"/>
        </w:rPr>
        <w:t xml:space="preserve">. </w:t>
      </w:r>
      <w:r w:rsidR="00985556" w:rsidRPr="00332FCD">
        <w:rPr>
          <w:rFonts w:ascii="Andes" w:hAnsi="Andes" w:cs="Arial"/>
          <w:sz w:val="22"/>
          <w:szCs w:val="22"/>
        </w:rPr>
        <w:t xml:space="preserve">Sans préjudice du caractère général de ces dispositions, les Consultants ne </w:t>
      </w:r>
      <w:r w:rsidR="0084132A" w:rsidRPr="00332FCD">
        <w:rPr>
          <w:rFonts w:ascii="Andes" w:hAnsi="Andes" w:cs="Arial"/>
          <w:sz w:val="22"/>
          <w:szCs w:val="22"/>
        </w:rPr>
        <w:t>peuvent</w:t>
      </w:r>
      <w:r w:rsidR="00985556" w:rsidRPr="00332FCD">
        <w:rPr>
          <w:rFonts w:ascii="Andes" w:hAnsi="Andes" w:cs="Arial"/>
          <w:sz w:val="22"/>
          <w:szCs w:val="22"/>
        </w:rPr>
        <w:t xml:space="preserve"> </w:t>
      </w:r>
      <w:r w:rsidR="004F6C32" w:rsidRPr="00332FCD">
        <w:rPr>
          <w:rFonts w:ascii="Andes" w:hAnsi="Andes" w:cs="Arial"/>
          <w:sz w:val="22"/>
          <w:szCs w:val="22"/>
        </w:rPr>
        <w:t xml:space="preserve">être </w:t>
      </w:r>
      <w:r w:rsidR="00985556" w:rsidRPr="00332FCD">
        <w:rPr>
          <w:rFonts w:ascii="Andes" w:hAnsi="Andes" w:cs="Arial"/>
          <w:sz w:val="22"/>
          <w:szCs w:val="22"/>
        </w:rPr>
        <w:t>engagés dans les circonstances énoncées ci-après</w:t>
      </w:r>
      <w:r w:rsidR="00730BDF" w:rsidRPr="00332FCD">
        <w:rPr>
          <w:rFonts w:ascii="Calibri" w:hAnsi="Calibri" w:cs="Calibri"/>
          <w:sz w:val="22"/>
          <w:szCs w:val="22"/>
        </w:rPr>
        <w:t> </w:t>
      </w:r>
      <w:r w:rsidR="00730BDF" w:rsidRPr="00332FCD">
        <w:rPr>
          <w:rFonts w:ascii="Andes" w:hAnsi="Andes" w:cs="Arial"/>
          <w:sz w:val="22"/>
          <w:szCs w:val="22"/>
        </w:rPr>
        <w:t>:</w:t>
      </w:r>
      <w:r w:rsidR="002D0893" w:rsidRPr="00332FCD">
        <w:rPr>
          <w:rFonts w:ascii="Andes" w:hAnsi="Andes" w:cs="Arial"/>
          <w:sz w:val="22"/>
          <w:szCs w:val="22"/>
        </w:rPr>
        <w:t xml:space="preserve"> </w:t>
      </w:r>
    </w:p>
    <w:p w14:paraId="5F239987" w14:textId="0AC7B63B" w:rsidR="002D0893" w:rsidRPr="00332FCD" w:rsidRDefault="00985556" w:rsidP="0009654F">
      <w:pPr>
        <w:pStyle w:val="Paragraphedeliste"/>
        <w:numPr>
          <w:ilvl w:val="0"/>
          <w:numId w:val="146"/>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 xml:space="preserve">Aucune entreprise engagée par l’Emprunteur pour livrer des Fournitures, réaliser des Travaux ou fournir des Services </w:t>
      </w:r>
      <w:r w:rsidR="0078212A" w:rsidRPr="00332FCD">
        <w:rPr>
          <w:rFonts w:ascii="Andes" w:eastAsiaTheme="minorHAnsi" w:hAnsi="Andes" w:cs="Arial"/>
          <w:color w:val="000000"/>
          <w:sz w:val="22"/>
          <w:szCs w:val="22"/>
        </w:rPr>
        <w:t xml:space="preserve">Autres que des </w:t>
      </w:r>
      <w:r w:rsidRPr="00332FCD">
        <w:rPr>
          <w:rFonts w:ascii="Andes" w:eastAsiaTheme="minorHAnsi" w:hAnsi="Andes" w:cs="Arial"/>
          <w:color w:val="000000"/>
          <w:sz w:val="22"/>
          <w:szCs w:val="22"/>
        </w:rPr>
        <w:t>Services de Consultants pour un projet</w:t>
      </w:r>
      <w:r w:rsidR="007B5F61" w:rsidRPr="00332FCD">
        <w:rPr>
          <w:rFonts w:ascii="Andes" w:eastAsiaTheme="minorHAnsi" w:hAnsi="Andes" w:cs="Arial"/>
          <w:color w:val="000000"/>
          <w:sz w:val="22"/>
          <w:szCs w:val="22"/>
        </w:rPr>
        <w:t xml:space="preserve"> (</w:t>
      </w:r>
      <w:r w:rsidRPr="00332FCD">
        <w:rPr>
          <w:rFonts w:ascii="Andes" w:eastAsiaTheme="minorHAnsi" w:hAnsi="Andes" w:cs="Arial"/>
          <w:color w:val="000000"/>
          <w:sz w:val="22"/>
          <w:szCs w:val="22"/>
        </w:rPr>
        <w:t xml:space="preserve">ni aucune </w:t>
      </w:r>
      <w:r w:rsidR="007B5F61" w:rsidRPr="00332FCD">
        <w:rPr>
          <w:rFonts w:ascii="Andes" w:eastAsiaTheme="minorHAnsi" w:hAnsi="Andes" w:cs="Arial"/>
          <w:color w:val="000000"/>
          <w:sz w:val="22"/>
          <w:szCs w:val="22"/>
        </w:rPr>
        <w:t xml:space="preserve">entreprise affiliée qui la contrôle directement ou indirectement, qu’elle contrôle elle-même ou qui est placée sous un contrôle commun) </w:t>
      </w:r>
      <w:r w:rsidRPr="00332FCD">
        <w:rPr>
          <w:rFonts w:ascii="Andes" w:eastAsiaTheme="minorHAnsi" w:hAnsi="Andes" w:cs="Arial"/>
          <w:color w:val="000000"/>
          <w:sz w:val="22"/>
          <w:szCs w:val="22"/>
        </w:rPr>
        <w:t xml:space="preserve">n’est admise à fournir des </w:t>
      </w:r>
      <w:r w:rsidR="007B5F61" w:rsidRPr="00332FCD">
        <w:rPr>
          <w:rFonts w:ascii="Andes" w:eastAsiaTheme="minorHAnsi" w:hAnsi="Andes" w:cs="Arial"/>
          <w:color w:val="000000"/>
          <w:sz w:val="22"/>
          <w:szCs w:val="22"/>
        </w:rPr>
        <w:t xml:space="preserve">Services </w:t>
      </w:r>
      <w:r w:rsidRPr="00332FCD">
        <w:rPr>
          <w:rFonts w:ascii="Andes" w:eastAsiaTheme="minorHAnsi" w:hAnsi="Andes" w:cs="Arial"/>
          <w:color w:val="000000"/>
          <w:sz w:val="22"/>
          <w:szCs w:val="22"/>
        </w:rPr>
        <w:t>de</w:t>
      </w:r>
      <w:r w:rsidR="007B5F61" w:rsidRPr="00332FCD">
        <w:rPr>
          <w:rFonts w:ascii="Andes" w:eastAsiaTheme="minorHAnsi" w:hAnsi="Andes" w:cs="Arial"/>
          <w:color w:val="000000"/>
          <w:sz w:val="22"/>
          <w:szCs w:val="22"/>
        </w:rPr>
        <w:t xml:space="preserve"> Consultants consécutifs ou directement liés à ces Fournitures, Travaux ou Services </w:t>
      </w:r>
      <w:r w:rsidR="0078212A" w:rsidRPr="00332FCD">
        <w:rPr>
          <w:rFonts w:ascii="Andes" w:eastAsiaTheme="minorHAnsi" w:hAnsi="Andes" w:cs="Arial"/>
          <w:color w:val="000000"/>
          <w:sz w:val="22"/>
          <w:szCs w:val="22"/>
        </w:rPr>
        <w:t xml:space="preserve">Autres que des </w:t>
      </w:r>
      <w:r w:rsidR="007B5F61" w:rsidRPr="00332FCD">
        <w:rPr>
          <w:rFonts w:ascii="Andes" w:eastAsiaTheme="minorHAnsi" w:hAnsi="Andes" w:cs="Arial"/>
          <w:color w:val="000000"/>
          <w:sz w:val="22"/>
          <w:szCs w:val="22"/>
        </w:rPr>
        <w:t xml:space="preserve">Services de Consultants. </w:t>
      </w:r>
      <w:r w:rsidRPr="00332FCD">
        <w:rPr>
          <w:rFonts w:ascii="Andes" w:eastAsiaTheme="minorHAnsi" w:hAnsi="Andes" w:cs="Arial"/>
          <w:color w:val="000000"/>
          <w:sz w:val="22"/>
          <w:szCs w:val="22"/>
        </w:rPr>
        <w:t>Cette disposition ne s’applique pas aux diverses entreprises (consultants, entrepreneurs ou fournisseurs) qui</w:t>
      </w:r>
      <w:r w:rsidR="007B5F61" w:rsidRPr="00332FCD">
        <w:rPr>
          <w:rFonts w:ascii="Andes" w:eastAsiaTheme="minorHAnsi" w:hAnsi="Andes" w:cs="Arial"/>
          <w:color w:val="000000"/>
          <w:sz w:val="22"/>
          <w:szCs w:val="22"/>
        </w:rPr>
        <w:t xml:space="preserve">, collectivement, s’acquittent </w:t>
      </w:r>
      <w:r w:rsidRPr="00332FCD">
        <w:rPr>
          <w:rFonts w:ascii="Andes" w:eastAsiaTheme="minorHAnsi" w:hAnsi="Andes" w:cs="Arial"/>
          <w:color w:val="000000"/>
          <w:sz w:val="22"/>
          <w:szCs w:val="22"/>
        </w:rPr>
        <w:t>des obligations</w:t>
      </w:r>
      <w:r w:rsidR="007B5F61" w:rsidRPr="00332FCD">
        <w:rPr>
          <w:rFonts w:ascii="Andes" w:eastAsiaTheme="minorHAnsi" w:hAnsi="Andes" w:cs="Arial"/>
          <w:color w:val="000000"/>
          <w:sz w:val="22"/>
          <w:szCs w:val="22"/>
        </w:rPr>
        <w:t xml:space="preserve"> de l’adjudicataire </w:t>
      </w:r>
      <w:r w:rsidRPr="00332FCD">
        <w:rPr>
          <w:rFonts w:ascii="Andes" w:eastAsiaTheme="minorHAnsi" w:hAnsi="Andes" w:cs="Arial"/>
          <w:color w:val="000000"/>
          <w:sz w:val="22"/>
          <w:szCs w:val="22"/>
        </w:rPr>
        <w:t>d’un marché clés en main ou d’un marché de conception</w:t>
      </w:r>
      <w:r w:rsidR="002C3C62"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construction</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002C3C62" w:rsidRPr="00332FCD">
        <w:rPr>
          <w:rFonts w:ascii="Andes" w:eastAsiaTheme="minorHAnsi" w:hAnsi="Andes" w:cs="Arial"/>
          <w:color w:val="000000"/>
          <w:sz w:val="22"/>
          <w:szCs w:val="22"/>
        </w:rPr>
        <w:t xml:space="preserve"> </w:t>
      </w:r>
    </w:p>
    <w:p w14:paraId="73C5AFCC" w14:textId="138FF7EA" w:rsidR="002D0893" w:rsidRPr="00332FCD" w:rsidRDefault="002C3C62" w:rsidP="0009654F">
      <w:pPr>
        <w:pStyle w:val="Paragraphedeliste"/>
        <w:numPr>
          <w:ilvl w:val="0"/>
          <w:numId w:val="146"/>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 xml:space="preserve">Aucune entreprise engagée </w:t>
      </w:r>
      <w:r w:rsidR="00430906" w:rsidRPr="00332FCD">
        <w:rPr>
          <w:rFonts w:ascii="Andes" w:eastAsiaTheme="minorHAnsi" w:hAnsi="Andes" w:cs="Arial"/>
          <w:color w:val="000000"/>
          <w:sz w:val="22"/>
          <w:szCs w:val="22"/>
        </w:rPr>
        <w:t>par l’Emprunteur pour fournir des Services de Consultants pour la préparation ou l’exécution d’un projet (</w:t>
      </w:r>
      <w:r w:rsidRPr="00332FCD">
        <w:rPr>
          <w:rFonts w:ascii="Andes" w:eastAsiaTheme="minorHAnsi" w:hAnsi="Andes" w:cs="Arial"/>
          <w:color w:val="000000"/>
          <w:sz w:val="22"/>
          <w:szCs w:val="22"/>
        </w:rPr>
        <w:t xml:space="preserve">ni aucune entreprise affiliée qui la contrôle directement ou indirectement, qu’elle contrôle elle-même ou qui est placée sous un contrôle commun) n’est admise </w:t>
      </w:r>
      <w:r w:rsidR="007B5F61" w:rsidRPr="00332FCD">
        <w:rPr>
          <w:rFonts w:ascii="Andes" w:eastAsiaTheme="minorHAnsi" w:hAnsi="Andes" w:cs="Arial"/>
          <w:color w:val="000000"/>
          <w:sz w:val="22"/>
          <w:szCs w:val="22"/>
        </w:rPr>
        <w:t xml:space="preserve">ultérieurement à </w:t>
      </w:r>
      <w:r w:rsidR="00430906" w:rsidRPr="00332FCD">
        <w:rPr>
          <w:rFonts w:ascii="Andes" w:eastAsiaTheme="minorHAnsi" w:hAnsi="Andes" w:cs="Arial"/>
          <w:color w:val="000000"/>
          <w:sz w:val="22"/>
          <w:szCs w:val="22"/>
        </w:rPr>
        <w:t>livrer des Fournitures</w:t>
      </w:r>
      <w:r w:rsidR="007B5F61" w:rsidRPr="00332FCD">
        <w:rPr>
          <w:rFonts w:ascii="Andes" w:eastAsiaTheme="minorHAnsi" w:hAnsi="Andes" w:cs="Arial"/>
          <w:color w:val="000000"/>
          <w:sz w:val="22"/>
          <w:szCs w:val="22"/>
        </w:rPr>
        <w:t xml:space="preserve">, réaliser des </w:t>
      </w:r>
      <w:r w:rsidR="00430906" w:rsidRPr="00332FCD">
        <w:rPr>
          <w:rFonts w:ascii="Andes" w:eastAsiaTheme="minorHAnsi" w:hAnsi="Andes" w:cs="Arial"/>
          <w:color w:val="000000"/>
          <w:sz w:val="22"/>
          <w:szCs w:val="22"/>
        </w:rPr>
        <w:lastRenderedPageBreak/>
        <w:t>Travaux</w:t>
      </w:r>
      <w:r w:rsidR="007B5F61" w:rsidRPr="00332FCD">
        <w:rPr>
          <w:rFonts w:ascii="Andes" w:eastAsiaTheme="minorHAnsi" w:hAnsi="Andes" w:cs="Arial"/>
          <w:color w:val="000000"/>
          <w:sz w:val="22"/>
          <w:szCs w:val="22"/>
        </w:rPr>
        <w:t xml:space="preserve"> ou </w:t>
      </w:r>
      <w:r w:rsidR="00430906" w:rsidRPr="00332FCD">
        <w:rPr>
          <w:rFonts w:ascii="Andes" w:eastAsiaTheme="minorHAnsi" w:hAnsi="Andes" w:cs="Arial"/>
          <w:color w:val="000000"/>
          <w:sz w:val="22"/>
          <w:szCs w:val="22"/>
        </w:rPr>
        <w:t xml:space="preserve">fournir des Services </w:t>
      </w:r>
      <w:r w:rsidR="0078212A" w:rsidRPr="00332FCD">
        <w:rPr>
          <w:rFonts w:ascii="Andes" w:eastAsiaTheme="minorHAnsi" w:hAnsi="Andes" w:cs="Arial"/>
          <w:color w:val="000000"/>
          <w:sz w:val="22"/>
          <w:szCs w:val="22"/>
        </w:rPr>
        <w:t xml:space="preserve">Autres que des </w:t>
      </w:r>
      <w:r w:rsidR="00430906" w:rsidRPr="00332FCD">
        <w:rPr>
          <w:rFonts w:ascii="Andes" w:eastAsiaTheme="minorHAnsi" w:hAnsi="Andes" w:cs="Arial"/>
          <w:color w:val="000000"/>
          <w:sz w:val="22"/>
          <w:szCs w:val="22"/>
        </w:rPr>
        <w:t>Services de Consultants consécutifs</w:t>
      </w:r>
      <w:r w:rsidR="00567AB9" w:rsidRPr="00332FCD">
        <w:rPr>
          <w:rFonts w:ascii="Andes" w:eastAsiaTheme="minorHAnsi" w:hAnsi="Andes" w:cs="Arial"/>
          <w:color w:val="000000"/>
          <w:sz w:val="22"/>
          <w:szCs w:val="22"/>
        </w:rPr>
        <w:t xml:space="preserve"> ou</w:t>
      </w:r>
      <w:r w:rsidR="00430906" w:rsidRPr="00332FCD">
        <w:rPr>
          <w:rFonts w:ascii="Andes" w:eastAsiaTheme="minorHAnsi" w:hAnsi="Andes" w:cs="Arial"/>
          <w:color w:val="000000"/>
          <w:sz w:val="22"/>
          <w:szCs w:val="22"/>
        </w:rPr>
        <w:t xml:space="preserve"> directement liés auxdits Services de Consultants</w:t>
      </w:r>
      <w:r w:rsidR="00134FC0" w:rsidRPr="00332FCD">
        <w:rPr>
          <w:rFonts w:ascii="Andes" w:eastAsiaTheme="minorHAnsi" w:hAnsi="Andes" w:cs="Arial"/>
          <w:color w:val="000000"/>
          <w:sz w:val="22"/>
          <w:szCs w:val="22"/>
        </w:rPr>
        <w:t>.</w:t>
      </w:r>
      <w:r w:rsidR="00687669" w:rsidRPr="00332FCD">
        <w:rPr>
          <w:rFonts w:ascii="Andes" w:eastAsiaTheme="minorHAnsi" w:hAnsi="Andes" w:cs="Arial"/>
          <w:color w:val="000000"/>
          <w:sz w:val="22"/>
          <w:szCs w:val="22"/>
        </w:rPr>
        <w:t xml:space="preserve"> </w:t>
      </w:r>
      <w:r w:rsidR="00430906" w:rsidRPr="00332FCD">
        <w:rPr>
          <w:rFonts w:ascii="Andes" w:eastAsiaTheme="minorHAnsi" w:hAnsi="Andes" w:cs="Arial"/>
          <w:color w:val="000000"/>
          <w:sz w:val="22"/>
          <w:szCs w:val="22"/>
        </w:rPr>
        <w:t>Cette disposition ne s’applique pas aux diverses entreprises (consultants, entrepreneurs ou fournisseurs) qui, collectivement, s’acquittent des obligations de l’adjudicataire d’un marché clés en main ou d’un marché de conception</w:t>
      </w:r>
      <w:r w:rsidRPr="00332FCD">
        <w:rPr>
          <w:rFonts w:ascii="Andes" w:eastAsiaTheme="minorHAnsi" w:hAnsi="Andes" w:cs="Arial"/>
          <w:color w:val="000000"/>
          <w:sz w:val="22"/>
          <w:szCs w:val="22"/>
        </w:rPr>
        <w:t>-</w:t>
      </w:r>
      <w:r w:rsidR="00430906" w:rsidRPr="00332FCD">
        <w:rPr>
          <w:rFonts w:ascii="Andes" w:eastAsiaTheme="minorHAnsi" w:hAnsi="Andes" w:cs="Arial"/>
          <w:color w:val="000000"/>
          <w:sz w:val="22"/>
          <w:szCs w:val="22"/>
        </w:rPr>
        <w:t>construction</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p>
    <w:p w14:paraId="01F62A90" w14:textId="33B64049" w:rsidR="002D0893" w:rsidRPr="00332FCD" w:rsidRDefault="00134FC0" w:rsidP="0009654F">
      <w:pPr>
        <w:pStyle w:val="Paragraphedeliste"/>
        <w:numPr>
          <w:ilvl w:val="0"/>
          <w:numId w:val="146"/>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 xml:space="preserve">Aucun Consultant (y compris le personnel et les sous-consultants à son service) ni aucun prestataire affilié (qui le contrôle directement ou indirectement, qu’il contrôle lui-même ou qui est placé sous un contrôle commun) </w:t>
      </w:r>
      <w:r w:rsidR="00DA7D35" w:rsidRPr="00332FCD">
        <w:rPr>
          <w:rFonts w:ascii="Andes" w:eastAsiaTheme="minorHAnsi" w:hAnsi="Andes" w:cs="Arial"/>
          <w:color w:val="000000"/>
          <w:sz w:val="22"/>
          <w:szCs w:val="22"/>
        </w:rPr>
        <w:t>ne peut être engagé pour une mission qui, par sa nature, cré</w:t>
      </w:r>
      <w:r w:rsidR="00051F54" w:rsidRPr="00332FCD">
        <w:rPr>
          <w:rFonts w:ascii="Andes" w:eastAsiaTheme="minorHAnsi" w:hAnsi="Andes" w:cs="Arial"/>
          <w:color w:val="000000"/>
          <w:sz w:val="22"/>
          <w:szCs w:val="22"/>
        </w:rPr>
        <w:t>e</w:t>
      </w:r>
      <w:r w:rsidR="00DA7D35" w:rsidRPr="00332FCD">
        <w:rPr>
          <w:rFonts w:ascii="Andes" w:eastAsiaTheme="minorHAnsi" w:hAnsi="Andes" w:cs="Arial"/>
          <w:color w:val="000000"/>
          <w:sz w:val="22"/>
          <w:szCs w:val="22"/>
        </w:rPr>
        <w:t xml:space="preserve"> un conflit d’intérêts avec une autre de ses missions</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005C780B" w:rsidRPr="00332FCD">
        <w:rPr>
          <w:rFonts w:ascii="Andes" w:eastAsiaTheme="minorHAnsi" w:hAnsi="Andes" w:cs="Arial"/>
          <w:color w:val="000000"/>
          <w:sz w:val="22"/>
          <w:szCs w:val="22"/>
        </w:rPr>
        <w:t xml:space="preserve"> </w:t>
      </w:r>
    </w:p>
    <w:p w14:paraId="5BCB76C1" w14:textId="70AF6D21" w:rsidR="007A7D1F" w:rsidRPr="00332FCD" w:rsidRDefault="00DA7D35" w:rsidP="0009654F">
      <w:pPr>
        <w:pStyle w:val="Paragraphedeliste"/>
        <w:numPr>
          <w:ilvl w:val="0"/>
          <w:numId w:val="146"/>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Les Consultants (y compris les experts, le personnel et les sous-consultants à leur service) qui ont une relation professionnelle ou familiale étroite avec tout cadre de l’Emprunteur, de l’organisme d’exécution du projet, d’un bénéficiaire d’une</w:t>
      </w:r>
      <w:r w:rsidR="006923F8" w:rsidRPr="00332FCD">
        <w:rPr>
          <w:rFonts w:ascii="Andes" w:eastAsiaTheme="minorHAnsi" w:hAnsi="Andes" w:cs="Arial"/>
          <w:color w:val="000000"/>
          <w:sz w:val="22"/>
          <w:szCs w:val="22"/>
        </w:rPr>
        <w:t xml:space="preserve"> fraction </w:t>
      </w:r>
      <w:r w:rsidRPr="00332FCD">
        <w:rPr>
          <w:rFonts w:ascii="Andes" w:eastAsiaTheme="minorHAnsi" w:hAnsi="Andes" w:cs="Arial"/>
          <w:color w:val="000000"/>
          <w:sz w:val="22"/>
          <w:szCs w:val="22"/>
        </w:rPr>
        <w:t>du financement de la Banque ou de toute autre partie représentant l’Emprunteur ou agissant en son nom qui</w:t>
      </w:r>
      <w:r w:rsidR="006923F8" w:rsidRPr="00332FCD">
        <w:rPr>
          <w:rFonts w:ascii="Andes" w:eastAsiaTheme="minorHAnsi" w:hAnsi="Andes" w:cs="Arial"/>
          <w:color w:val="000000"/>
          <w:sz w:val="22"/>
          <w:szCs w:val="22"/>
        </w:rPr>
        <w:t xml:space="preserve"> participe directement ou indirectement à tout segment</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w:t>
      </w:r>
    </w:p>
    <w:p w14:paraId="2797BCE8" w14:textId="369CCA85" w:rsidR="006934A1" w:rsidRPr="00332FCD" w:rsidRDefault="00567AB9" w:rsidP="0009654F">
      <w:pPr>
        <w:pStyle w:val="Paragraphedeliste"/>
        <w:numPr>
          <w:ilvl w:val="0"/>
          <w:numId w:val="119"/>
        </w:numPr>
        <w:tabs>
          <w:tab w:val="left" w:pos="720"/>
        </w:tabs>
        <w:spacing w:before="0" w:line="240" w:lineRule="auto"/>
        <w:contextualSpacing w:val="0"/>
        <w:rPr>
          <w:rFonts w:ascii="Andes" w:hAnsi="Andes" w:cs="Arial"/>
          <w:sz w:val="22"/>
          <w:szCs w:val="22"/>
        </w:rPr>
      </w:pPr>
      <w:r w:rsidRPr="00332FCD">
        <w:rPr>
          <w:rFonts w:ascii="Andes" w:hAnsi="Andes" w:cs="Arial"/>
          <w:sz w:val="22"/>
          <w:szCs w:val="22"/>
        </w:rPr>
        <w:t xml:space="preserve">de </w:t>
      </w:r>
      <w:r w:rsidR="007A4AB3" w:rsidRPr="00332FCD">
        <w:rPr>
          <w:rFonts w:ascii="Andes" w:hAnsi="Andes" w:cs="Arial"/>
          <w:sz w:val="22"/>
          <w:szCs w:val="22"/>
        </w:rPr>
        <w:t>la préparation des T</w:t>
      </w:r>
      <w:r w:rsidR="006923F8" w:rsidRPr="00332FCD">
        <w:rPr>
          <w:rFonts w:ascii="Andes" w:hAnsi="Andes" w:cs="Arial"/>
          <w:sz w:val="22"/>
          <w:szCs w:val="22"/>
        </w:rPr>
        <w:t>ermes de référence de la mission</w:t>
      </w:r>
      <w:r w:rsidR="00730BDF" w:rsidRPr="00332FCD">
        <w:rPr>
          <w:rFonts w:ascii="Calibri" w:hAnsi="Calibri" w:cs="Calibri"/>
          <w:sz w:val="22"/>
          <w:szCs w:val="22"/>
        </w:rPr>
        <w:t> </w:t>
      </w:r>
      <w:r w:rsidR="00730BDF" w:rsidRPr="00332FCD">
        <w:rPr>
          <w:rFonts w:ascii="Andes" w:hAnsi="Andes" w:cs="Arial"/>
          <w:sz w:val="22"/>
          <w:szCs w:val="22"/>
        </w:rPr>
        <w:t>;</w:t>
      </w:r>
      <w:r w:rsidR="002D0893" w:rsidRPr="00332FCD">
        <w:rPr>
          <w:rFonts w:ascii="Andes" w:hAnsi="Andes" w:cs="Arial"/>
          <w:sz w:val="22"/>
          <w:szCs w:val="22"/>
        </w:rPr>
        <w:t xml:space="preserve"> </w:t>
      </w:r>
    </w:p>
    <w:p w14:paraId="0336E541" w14:textId="2D18C47F" w:rsidR="007A7D1F" w:rsidRPr="00332FCD" w:rsidRDefault="00567AB9" w:rsidP="0009654F">
      <w:pPr>
        <w:pStyle w:val="Paragraphedeliste"/>
        <w:numPr>
          <w:ilvl w:val="0"/>
          <w:numId w:val="119"/>
        </w:numPr>
        <w:tabs>
          <w:tab w:val="left" w:pos="720"/>
        </w:tabs>
        <w:spacing w:before="0" w:line="240" w:lineRule="auto"/>
        <w:contextualSpacing w:val="0"/>
        <w:rPr>
          <w:rFonts w:ascii="Andes" w:hAnsi="Andes" w:cs="Arial"/>
          <w:sz w:val="22"/>
          <w:szCs w:val="22"/>
        </w:rPr>
      </w:pPr>
      <w:r w:rsidRPr="00332FCD">
        <w:rPr>
          <w:rFonts w:ascii="Andes" w:hAnsi="Andes" w:cs="Arial"/>
          <w:sz w:val="22"/>
          <w:szCs w:val="22"/>
        </w:rPr>
        <w:t xml:space="preserve">du </w:t>
      </w:r>
      <w:r w:rsidR="006923F8" w:rsidRPr="00332FCD">
        <w:rPr>
          <w:rFonts w:ascii="Andes" w:hAnsi="Andes" w:cs="Arial"/>
          <w:sz w:val="22"/>
          <w:szCs w:val="22"/>
        </w:rPr>
        <w:t>processus de sélection pour le contrat</w:t>
      </w:r>
      <w:r w:rsidR="00730BDF" w:rsidRPr="00332FCD">
        <w:rPr>
          <w:rFonts w:ascii="Calibri" w:hAnsi="Calibri" w:cs="Calibri"/>
          <w:sz w:val="22"/>
          <w:szCs w:val="22"/>
        </w:rPr>
        <w:t> </w:t>
      </w:r>
      <w:r w:rsidR="00730BDF" w:rsidRPr="00332FCD">
        <w:rPr>
          <w:rFonts w:ascii="Andes" w:hAnsi="Andes" w:cs="Arial"/>
          <w:sz w:val="22"/>
          <w:szCs w:val="22"/>
        </w:rPr>
        <w:t>;</w:t>
      </w:r>
      <w:r w:rsidR="002D0893" w:rsidRPr="00332FCD">
        <w:rPr>
          <w:rFonts w:ascii="Andes" w:hAnsi="Andes" w:cs="Arial"/>
          <w:sz w:val="22"/>
          <w:szCs w:val="22"/>
        </w:rPr>
        <w:t xml:space="preserve"> </w:t>
      </w:r>
      <w:r w:rsidR="006923F8" w:rsidRPr="00332FCD">
        <w:rPr>
          <w:rFonts w:ascii="Andes" w:hAnsi="Andes" w:cs="Arial"/>
          <w:sz w:val="22"/>
          <w:szCs w:val="22"/>
        </w:rPr>
        <w:t>ou</w:t>
      </w:r>
    </w:p>
    <w:p w14:paraId="172D0CA9" w14:textId="77777777" w:rsidR="00EA107D" w:rsidRDefault="00567AB9" w:rsidP="0009654F">
      <w:pPr>
        <w:pStyle w:val="Paragraphedeliste"/>
        <w:numPr>
          <w:ilvl w:val="0"/>
          <w:numId w:val="119"/>
        </w:numPr>
        <w:tabs>
          <w:tab w:val="left" w:pos="720"/>
        </w:tabs>
        <w:spacing w:before="0" w:line="240" w:lineRule="auto"/>
        <w:contextualSpacing w:val="0"/>
        <w:rPr>
          <w:rFonts w:ascii="Andes" w:hAnsi="Andes" w:cs="Arial"/>
          <w:sz w:val="22"/>
          <w:szCs w:val="22"/>
        </w:rPr>
      </w:pPr>
      <w:r w:rsidRPr="00332FCD">
        <w:rPr>
          <w:rFonts w:ascii="Andes" w:hAnsi="Andes" w:cs="Arial"/>
          <w:sz w:val="22"/>
          <w:szCs w:val="22"/>
        </w:rPr>
        <w:t xml:space="preserve">de </w:t>
      </w:r>
      <w:r w:rsidR="006923F8" w:rsidRPr="00332FCD">
        <w:rPr>
          <w:rFonts w:ascii="Andes" w:hAnsi="Andes" w:cs="Arial"/>
          <w:sz w:val="22"/>
          <w:szCs w:val="22"/>
        </w:rPr>
        <w:t xml:space="preserve">la supervision du contrat, </w:t>
      </w:r>
    </w:p>
    <w:p w14:paraId="6C05A156" w14:textId="31A80DFA" w:rsidR="002D0893" w:rsidRPr="004967F3" w:rsidRDefault="007E0D50" w:rsidP="004967F3">
      <w:pPr>
        <w:tabs>
          <w:tab w:val="left" w:pos="720"/>
        </w:tabs>
        <w:spacing w:before="0" w:line="240" w:lineRule="auto"/>
        <w:ind w:left="1260"/>
        <w:contextualSpacing w:val="0"/>
        <w:rPr>
          <w:rFonts w:ascii="Andes" w:hAnsi="Andes" w:cs="Arial"/>
          <w:sz w:val="22"/>
          <w:szCs w:val="22"/>
        </w:rPr>
      </w:pPr>
      <w:r w:rsidRPr="004967F3">
        <w:rPr>
          <w:rFonts w:ascii="Andes" w:hAnsi="Andes" w:cs="Arial"/>
          <w:sz w:val="22"/>
          <w:szCs w:val="22"/>
        </w:rPr>
        <w:t xml:space="preserve">ne peuvent être attributaires d’un contrat, </w:t>
      </w:r>
      <w:r w:rsidR="006923F8" w:rsidRPr="004967F3">
        <w:rPr>
          <w:rFonts w:ascii="Andes" w:hAnsi="Andes" w:cs="Arial"/>
          <w:sz w:val="22"/>
          <w:szCs w:val="22"/>
        </w:rPr>
        <w:t>sauf si le conflit résultant de ladite relation a été réglé d’une manière que la Banque juge satisfaisante tout au long du processus de sélection et de l’exécution du contrat</w:t>
      </w:r>
      <w:r w:rsidR="00687669" w:rsidRPr="004967F3">
        <w:rPr>
          <w:rFonts w:ascii="Andes" w:hAnsi="Andes" w:cs="Arial"/>
          <w:sz w:val="22"/>
          <w:szCs w:val="22"/>
        </w:rPr>
        <w:t xml:space="preserve">.  </w:t>
      </w:r>
    </w:p>
    <w:p w14:paraId="2F0B5F53" w14:textId="67CB90E6" w:rsidR="002D0893" w:rsidRPr="000A68E8" w:rsidRDefault="007E0D50" w:rsidP="000A68E8">
      <w:pPr>
        <w:pStyle w:val="Style2"/>
        <w:keepNext/>
        <w:keepLines/>
        <w:widowControl/>
        <w:tabs>
          <w:tab w:val="left" w:pos="1710"/>
        </w:tabs>
        <w:autoSpaceDE/>
        <w:autoSpaceDN/>
        <w:adjustRightInd/>
        <w:spacing w:before="240" w:after="120"/>
        <w:contextualSpacing w:val="0"/>
        <w:outlineLvl w:val="0"/>
        <w:rPr>
          <w:rFonts w:ascii="Andes" w:eastAsiaTheme="majorEastAsia" w:hAnsi="Andes" w:cstheme="majorBidi"/>
          <w:bCs w:val="0"/>
          <w:color w:val="C45911"/>
          <w:sz w:val="32"/>
          <w:szCs w:val="32"/>
        </w:rPr>
      </w:pPr>
      <w:r w:rsidRPr="000A68E8">
        <w:rPr>
          <w:rFonts w:ascii="Andes" w:eastAsiaTheme="majorEastAsia" w:hAnsi="Andes" w:cstheme="majorBidi"/>
          <w:bCs w:val="0"/>
          <w:color w:val="C45911"/>
          <w:sz w:val="32"/>
          <w:szCs w:val="32"/>
        </w:rPr>
        <w:t xml:space="preserve">Avantage </w:t>
      </w:r>
      <w:r w:rsidR="00A40A78" w:rsidRPr="000A68E8">
        <w:rPr>
          <w:rFonts w:ascii="Andes" w:eastAsiaTheme="majorEastAsia" w:hAnsi="Andes" w:cstheme="majorBidi"/>
          <w:bCs w:val="0"/>
          <w:color w:val="C45911"/>
          <w:sz w:val="32"/>
          <w:szCs w:val="32"/>
        </w:rPr>
        <w:t>compétitif inéquitable</w:t>
      </w:r>
    </w:p>
    <w:p w14:paraId="6254C01A" w14:textId="0782A5BE" w:rsidR="00595985" w:rsidRPr="00332FCD" w:rsidRDefault="007E0D50" w:rsidP="0009654F">
      <w:pPr>
        <w:pStyle w:val="Paragraphedeliste"/>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L’équité et la transparence du processus de sélection </w:t>
      </w:r>
      <w:r w:rsidR="00515138" w:rsidRPr="00332FCD">
        <w:rPr>
          <w:rFonts w:ascii="Andes" w:hAnsi="Andes" w:cs="Arial"/>
          <w:sz w:val="22"/>
          <w:szCs w:val="22"/>
        </w:rPr>
        <w:t xml:space="preserve">imposent </w:t>
      </w:r>
      <w:r w:rsidRPr="00332FCD">
        <w:rPr>
          <w:rFonts w:ascii="Andes" w:hAnsi="Andes" w:cs="Arial"/>
          <w:sz w:val="22"/>
          <w:szCs w:val="22"/>
        </w:rPr>
        <w:t>que les Consultants ou leurs prestataires affiliés</w:t>
      </w:r>
      <w:r w:rsidR="00515138" w:rsidRPr="00332FCD">
        <w:rPr>
          <w:rFonts w:ascii="Andes" w:hAnsi="Andes" w:cs="Arial"/>
          <w:sz w:val="22"/>
          <w:szCs w:val="22"/>
        </w:rPr>
        <w:t>,</w:t>
      </w:r>
      <w:r w:rsidRPr="00332FCD">
        <w:rPr>
          <w:rFonts w:ascii="Andes" w:hAnsi="Andes" w:cs="Arial"/>
          <w:sz w:val="22"/>
          <w:szCs w:val="22"/>
        </w:rPr>
        <w:t xml:space="preserve"> </w:t>
      </w:r>
      <w:r w:rsidR="00AA796F" w:rsidRPr="00332FCD">
        <w:rPr>
          <w:rFonts w:ascii="Andes" w:hAnsi="Andes" w:cs="Arial"/>
          <w:sz w:val="22"/>
          <w:szCs w:val="22"/>
        </w:rPr>
        <w:t>qui concourent pour l’obtention d’une mission de Consultants</w:t>
      </w:r>
      <w:r w:rsidR="00515138" w:rsidRPr="00332FCD">
        <w:rPr>
          <w:rFonts w:ascii="Andes" w:hAnsi="Andes" w:cs="Arial"/>
          <w:sz w:val="22"/>
          <w:szCs w:val="22"/>
        </w:rPr>
        <w:t>,</w:t>
      </w:r>
      <w:r w:rsidR="00AA796F" w:rsidRPr="00332FCD">
        <w:rPr>
          <w:rFonts w:ascii="Andes" w:hAnsi="Andes" w:cs="Arial"/>
          <w:sz w:val="22"/>
          <w:szCs w:val="22"/>
        </w:rPr>
        <w:t xml:space="preserve"> ne tirent pas</w:t>
      </w:r>
      <w:r w:rsidR="00567AB9" w:rsidRPr="00332FCD">
        <w:rPr>
          <w:rFonts w:ascii="Andes" w:hAnsi="Andes" w:cs="Arial"/>
          <w:sz w:val="22"/>
          <w:szCs w:val="22"/>
        </w:rPr>
        <w:t xml:space="preserve"> d</w:t>
      </w:r>
      <w:r w:rsidR="00F43E5A" w:rsidRPr="00332FCD">
        <w:rPr>
          <w:rFonts w:ascii="Andes" w:hAnsi="Andes" w:cs="Arial"/>
          <w:sz w:val="22"/>
          <w:szCs w:val="22"/>
        </w:rPr>
        <w:t>'a</w:t>
      </w:r>
      <w:r w:rsidR="00567AB9" w:rsidRPr="00332FCD">
        <w:rPr>
          <w:rFonts w:ascii="Andes" w:hAnsi="Andes" w:cs="Arial"/>
          <w:sz w:val="22"/>
          <w:szCs w:val="22"/>
        </w:rPr>
        <w:t xml:space="preserve">vantage </w:t>
      </w:r>
      <w:r w:rsidR="00A40A78" w:rsidRPr="00332FCD">
        <w:rPr>
          <w:rFonts w:ascii="Andes" w:hAnsi="Andes" w:cs="Arial"/>
          <w:sz w:val="22"/>
          <w:szCs w:val="22"/>
        </w:rPr>
        <w:t xml:space="preserve">compétitif </w:t>
      </w:r>
      <w:r w:rsidR="00AA796F" w:rsidRPr="00332FCD">
        <w:rPr>
          <w:rFonts w:ascii="Andes" w:hAnsi="Andes" w:cs="Arial"/>
          <w:sz w:val="22"/>
          <w:szCs w:val="22"/>
        </w:rPr>
        <w:t xml:space="preserve">de </w:t>
      </w:r>
      <w:r w:rsidR="00CA6677" w:rsidRPr="00332FCD">
        <w:rPr>
          <w:rFonts w:ascii="Andes" w:hAnsi="Andes" w:cs="Arial"/>
          <w:sz w:val="22"/>
          <w:szCs w:val="22"/>
        </w:rPr>
        <w:t xml:space="preserve">leurs </w:t>
      </w:r>
      <w:r w:rsidR="00AA796F" w:rsidRPr="00332FCD">
        <w:rPr>
          <w:rFonts w:ascii="Andes" w:hAnsi="Andes" w:cs="Arial"/>
          <w:sz w:val="22"/>
          <w:szCs w:val="22"/>
        </w:rPr>
        <w:t xml:space="preserve">Services de Consultants </w:t>
      </w:r>
      <w:r w:rsidR="00CA6677" w:rsidRPr="00332FCD">
        <w:rPr>
          <w:rFonts w:ascii="Andes" w:hAnsi="Andes" w:cs="Arial"/>
          <w:sz w:val="22"/>
          <w:szCs w:val="22"/>
        </w:rPr>
        <w:t xml:space="preserve">passés et </w:t>
      </w:r>
      <w:r w:rsidR="00AA796F" w:rsidRPr="00332FCD">
        <w:rPr>
          <w:rFonts w:ascii="Andes" w:hAnsi="Andes" w:cs="Arial"/>
          <w:sz w:val="22"/>
          <w:szCs w:val="22"/>
        </w:rPr>
        <w:t xml:space="preserve">liés à cette mission. </w:t>
      </w:r>
      <w:r w:rsidR="00CA6677" w:rsidRPr="00332FCD">
        <w:rPr>
          <w:rFonts w:ascii="Andes" w:hAnsi="Andes" w:cs="Arial"/>
          <w:sz w:val="22"/>
          <w:szCs w:val="22"/>
        </w:rPr>
        <w:t xml:space="preserve">À cette fin, l’Emprunteur communique à tous les Consultants </w:t>
      </w:r>
      <w:r w:rsidR="00BE1DD5" w:rsidRPr="00332FCD">
        <w:rPr>
          <w:rFonts w:ascii="Andes" w:hAnsi="Andes" w:cs="Arial"/>
          <w:sz w:val="22"/>
          <w:szCs w:val="22"/>
        </w:rPr>
        <w:t>présélectionnés</w:t>
      </w:r>
      <w:r w:rsidR="00CA6677" w:rsidRPr="00332FCD">
        <w:rPr>
          <w:rFonts w:ascii="Andes" w:hAnsi="Andes" w:cs="Arial"/>
          <w:sz w:val="22"/>
          <w:szCs w:val="22"/>
        </w:rPr>
        <w:t xml:space="preserve">, parallèlement au </w:t>
      </w:r>
      <w:r w:rsidR="003A07A0" w:rsidRPr="00332FCD">
        <w:rPr>
          <w:rFonts w:ascii="Andes" w:hAnsi="Andes" w:cs="Arial"/>
          <w:sz w:val="22"/>
          <w:szCs w:val="22"/>
        </w:rPr>
        <w:t>dossier d’appel</w:t>
      </w:r>
      <w:r w:rsidR="00CA6677" w:rsidRPr="00332FCD">
        <w:rPr>
          <w:rFonts w:ascii="Andes" w:hAnsi="Andes" w:cs="Arial"/>
          <w:sz w:val="22"/>
          <w:szCs w:val="22"/>
        </w:rPr>
        <w:t xml:space="preserve"> à propositions, toutes les informations donnant un avantage comp</w:t>
      </w:r>
      <w:r w:rsidR="00A40A78" w:rsidRPr="00332FCD">
        <w:rPr>
          <w:rFonts w:ascii="Andes" w:hAnsi="Andes" w:cs="Arial"/>
          <w:sz w:val="22"/>
          <w:szCs w:val="22"/>
        </w:rPr>
        <w:t>éti</w:t>
      </w:r>
      <w:r w:rsidR="00CA6677" w:rsidRPr="00332FCD">
        <w:rPr>
          <w:rFonts w:ascii="Andes" w:hAnsi="Andes" w:cs="Arial"/>
          <w:sz w:val="22"/>
          <w:szCs w:val="22"/>
        </w:rPr>
        <w:t>tif à un Consultant</w:t>
      </w:r>
      <w:r w:rsidR="00687669" w:rsidRPr="00332FCD">
        <w:rPr>
          <w:rFonts w:ascii="Andes" w:hAnsi="Andes" w:cs="Arial"/>
          <w:sz w:val="22"/>
          <w:szCs w:val="22"/>
        </w:rPr>
        <w:t xml:space="preserve">.  </w:t>
      </w:r>
    </w:p>
    <w:p w14:paraId="685A9430" w14:textId="030AA74C" w:rsidR="00AF3A67" w:rsidRPr="000A68E8" w:rsidRDefault="00CA6677" w:rsidP="00590156">
      <w:pPr>
        <w:pStyle w:val="Style2"/>
        <w:keepNext/>
        <w:keepLines/>
        <w:widowControl/>
        <w:tabs>
          <w:tab w:val="left" w:pos="1710"/>
        </w:tabs>
        <w:autoSpaceDE/>
        <w:autoSpaceDN/>
        <w:adjustRightInd/>
        <w:spacing w:before="240" w:after="120"/>
        <w:contextualSpacing w:val="0"/>
        <w:jc w:val="left"/>
        <w:outlineLvl w:val="0"/>
        <w:rPr>
          <w:rFonts w:ascii="Andes" w:eastAsiaTheme="majorEastAsia" w:hAnsi="Andes" w:cstheme="majorBidi"/>
          <w:bCs w:val="0"/>
          <w:color w:val="C45911"/>
          <w:sz w:val="32"/>
          <w:szCs w:val="32"/>
        </w:rPr>
      </w:pPr>
      <w:bookmarkStart w:id="279" w:name="_Toc453170843"/>
      <w:bookmarkStart w:id="280" w:name="_Toc453544263"/>
      <w:r w:rsidRPr="000A68E8">
        <w:rPr>
          <w:rFonts w:ascii="Andes" w:eastAsiaTheme="majorEastAsia" w:hAnsi="Andes" w:cstheme="majorBidi"/>
          <w:bCs w:val="0"/>
          <w:color w:val="C45911"/>
          <w:sz w:val="32"/>
          <w:szCs w:val="32"/>
        </w:rPr>
        <w:t xml:space="preserve">Une </w:t>
      </w:r>
      <w:r w:rsidR="00FB4F0D" w:rsidRPr="000A68E8">
        <w:rPr>
          <w:rFonts w:ascii="Andes" w:eastAsiaTheme="majorEastAsia" w:hAnsi="Andes" w:cstheme="majorBidi"/>
          <w:bCs w:val="0"/>
          <w:color w:val="C45911"/>
          <w:sz w:val="32"/>
          <w:szCs w:val="32"/>
        </w:rPr>
        <w:t>Offre</w:t>
      </w:r>
      <w:r w:rsidRPr="000A68E8">
        <w:rPr>
          <w:rFonts w:ascii="Andes" w:eastAsiaTheme="majorEastAsia" w:hAnsi="Andes" w:cstheme="majorBidi"/>
          <w:bCs w:val="0"/>
          <w:color w:val="C45911"/>
          <w:sz w:val="32"/>
          <w:szCs w:val="32"/>
        </w:rPr>
        <w:t>/</w:t>
      </w:r>
      <w:r w:rsidR="00FB4F0D" w:rsidRPr="000A68E8">
        <w:rPr>
          <w:rFonts w:ascii="Andes" w:eastAsiaTheme="majorEastAsia" w:hAnsi="Andes" w:cstheme="majorBidi"/>
          <w:bCs w:val="0"/>
          <w:color w:val="C45911"/>
          <w:sz w:val="32"/>
          <w:szCs w:val="32"/>
        </w:rPr>
        <w:t>Proposition</w:t>
      </w:r>
      <w:r w:rsidRPr="000A68E8">
        <w:rPr>
          <w:rFonts w:ascii="Andes" w:eastAsiaTheme="majorEastAsia" w:hAnsi="Andes" w:cstheme="majorBidi"/>
          <w:bCs w:val="0"/>
          <w:color w:val="C45911"/>
          <w:sz w:val="32"/>
          <w:szCs w:val="32"/>
        </w:rPr>
        <w:t xml:space="preserve"> par </w:t>
      </w:r>
      <w:r w:rsidR="00FB4F0D" w:rsidRPr="000A68E8">
        <w:rPr>
          <w:rFonts w:ascii="Andes" w:eastAsiaTheme="majorEastAsia" w:hAnsi="Andes" w:cstheme="majorBidi"/>
          <w:bCs w:val="0"/>
          <w:color w:val="C45911"/>
          <w:sz w:val="32"/>
          <w:szCs w:val="32"/>
        </w:rPr>
        <w:t>Soumissionnaire</w:t>
      </w:r>
      <w:r w:rsidRPr="000A68E8">
        <w:rPr>
          <w:rFonts w:ascii="Andes" w:eastAsiaTheme="majorEastAsia" w:hAnsi="Andes" w:cstheme="majorBidi"/>
          <w:bCs w:val="0"/>
          <w:color w:val="C45911"/>
          <w:sz w:val="32"/>
          <w:szCs w:val="32"/>
        </w:rPr>
        <w:t>/</w:t>
      </w:r>
      <w:r w:rsidR="000B4EE8" w:rsidRPr="000A68E8">
        <w:rPr>
          <w:rFonts w:ascii="Andes" w:eastAsiaTheme="majorEastAsia" w:hAnsi="Andes" w:cstheme="majorBidi"/>
          <w:bCs w:val="0"/>
          <w:color w:val="C45911"/>
          <w:sz w:val="32"/>
          <w:szCs w:val="32"/>
        </w:rPr>
        <w:t>Proposant/</w:t>
      </w:r>
      <w:r w:rsidRPr="000A68E8">
        <w:rPr>
          <w:rFonts w:ascii="Andes" w:eastAsiaTheme="majorEastAsia" w:hAnsi="Andes" w:cstheme="majorBidi"/>
          <w:bCs w:val="0"/>
          <w:color w:val="C45911"/>
          <w:sz w:val="32"/>
          <w:szCs w:val="32"/>
        </w:rPr>
        <w:t xml:space="preserve">Consultant </w:t>
      </w:r>
      <w:bookmarkEnd w:id="279"/>
      <w:bookmarkEnd w:id="280"/>
    </w:p>
    <w:p w14:paraId="75F3E11B" w14:textId="609570E5" w:rsidR="00133265" w:rsidRPr="00332FCD" w:rsidRDefault="00FB4F0D" w:rsidP="0009654F">
      <w:pPr>
        <w:spacing w:line="240" w:lineRule="auto"/>
        <w:contextualSpacing w:val="0"/>
        <w:rPr>
          <w:rFonts w:ascii="Andes" w:hAnsi="Andes" w:cs="Arial"/>
          <w:b/>
          <w:sz w:val="28"/>
          <w:szCs w:val="28"/>
        </w:rPr>
      </w:pPr>
      <w:r w:rsidRPr="00332FCD">
        <w:rPr>
          <w:rFonts w:ascii="Andes" w:hAnsi="Andes" w:cs="Arial"/>
          <w:b/>
          <w:sz w:val="28"/>
          <w:szCs w:val="28"/>
        </w:rPr>
        <w:t xml:space="preserve">Fournitures, Travaux et Services </w:t>
      </w:r>
      <w:r w:rsidR="0078212A" w:rsidRPr="00332FCD">
        <w:rPr>
          <w:rFonts w:ascii="Andes" w:hAnsi="Andes" w:cs="Arial"/>
          <w:b/>
          <w:sz w:val="28"/>
          <w:szCs w:val="28"/>
        </w:rPr>
        <w:t xml:space="preserve">Autres que </w:t>
      </w:r>
      <w:r w:rsidR="00A40A78" w:rsidRPr="00332FCD">
        <w:rPr>
          <w:rFonts w:ascii="Andes" w:hAnsi="Andes" w:cs="Arial"/>
          <w:b/>
          <w:sz w:val="28"/>
          <w:szCs w:val="28"/>
        </w:rPr>
        <w:t xml:space="preserve">les </w:t>
      </w:r>
      <w:r w:rsidRPr="00332FCD">
        <w:rPr>
          <w:rFonts w:ascii="Andes" w:hAnsi="Andes" w:cs="Arial"/>
          <w:b/>
          <w:sz w:val="28"/>
          <w:szCs w:val="28"/>
        </w:rPr>
        <w:t>Services de Consultants</w:t>
      </w:r>
    </w:p>
    <w:p w14:paraId="280FC9B0" w14:textId="346EA84F" w:rsidR="00AF3A67" w:rsidRPr="00332FCD" w:rsidRDefault="00FB4F0D" w:rsidP="0009654F">
      <w:pPr>
        <w:pStyle w:val="Paragraphedeliste"/>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Une entreprise ne peut</w:t>
      </w:r>
      <w:r w:rsidR="006F1529" w:rsidRPr="00332FCD">
        <w:rPr>
          <w:rFonts w:ascii="Andes" w:hAnsi="Andes" w:cs="Arial"/>
          <w:sz w:val="22"/>
          <w:szCs w:val="22"/>
        </w:rPr>
        <w:t xml:space="preserve"> </w:t>
      </w:r>
      <w:r w:rsidR="00D62D0C" w:rsidRPr="00332FCD">
        <w:rPr>
          <w:rFonts w:ascii="Andes" w:hAnsi="Andes" w:cs="Arial"/>
          <w:sz w:val="22"/>
          <w:szCs w:val="22"/>
        </w:rPr>
        <w:t>remettre</w:t>
      </w:r>
      <w:r w:rsidR="006F1529" w:rsidRPr="00332FCD">
        <w:rPr>
          <w:rFonts w:ascii="Andes" w:hAnsi="Andes" w:cs="Arial"/>
          <w:sz w:val="22"/>
          <w:szCs w:val="22"/>
        </w:rPr>
        <w:t xml:space="preserve"> </w:t>
      </w:r>
      <w:r w:rsidRPr="00332FCD">
        <w:rPr>
          <w:rFonts w:ascii="Andes" w:hAnsi="Andes" w:cs="Arial"/>
          <w:sz w:val="22"/>
          <w:szCs w:val="22"/>
        </w:rPr>
        <w:t>plus d’une Offre/Proposition,</w:t>
      </w:r>
      <w:r w:rsidR="00E82575" w:rsidRPr="00332FCD">
        <w:rPr>
          <w:rFonts w:ascii="Andes" w:hAnsi="Andes" w:cs="Arial"/>
          <w:sz w:val="22"/>
          <w:szCs w:val="22"/>
        </w:rPr>
        <w:t xml:space="preserve"> seule </w:t>
      </w:r>
      <w:r w:rsidRPr="00332FCD">
        <w:rPr>
          <w:rFonts w:ascii="Andes" w:hAnsi="Andes" w:cs="Arial"/>
          <w:sz w:val="22"/>
          <w:szCs w:val="22"/>
        </w:rPr>
        <w:t xml:space="preserve">ou en association </w:t>
      </w:r>
      <w:r w:rsidR="00DE0ADA" w:rsidRPr="00332FCD">
        <w:rPr>
          <w:rFonts w:ascii="Andes" w:hAnsi="Andes" w:cs="Arial"/>
          <w:sz w:val="22"/>
          <w:szCs w:val="22"/>
        </w:rPr>
        <w:t xml:space="preserve">avec </w:t>
      </w:r>
      <w:r w:rsidRPr="00332FCD">
        <w:rPr>
          <w:rFonts w:ascii="Andes" w:hAnsi="Andes" w:cs="Arial"/>
          <w:sz w:val="22"/>
          <w:szCs w:val="22"/>
        </w:rPr>
        <w:t>des partenaires dans le cadre d’une autre Offre/Proposition</w:t>
      </w:r>
      <w:r w:rsidR="00DE0ADA" w:rsidRPr="00332FCD">
        <w:rPr>
          <w:rFonts w:ascii="Andes" w:hAnsi="Andes" w:cs="Arial"/>
          <w:sz w:val="22"/>
          <w:szCs w:val="22"/>
        </w:rPr>
        <w:t>, sauf s’il s’agit d’une variante qu’elle aura été autorisée à déposer.</w:t>
      </w:r>
      <w:r w:rsidRPr="00332FCD">
        <w:rPr>
          <w:rFonts w:ascii="Andes" w:hAnsi="Andes" w:cs="Arial"/>
          <w:sz w:val="22"/>
          <w:szCs w:val="22"/>
        </w:rPr>
        <w:t xml:space="preserve"> </w:t>
      </w:r>
      <w:r w:rsidR="006F1529" w:rsidRPr="00332FCD">
        <w:rPr>
          <w:rFonts w:ascii="Andes" w:hAnsi="Andes" w:cs="Arial"/>
          <w:sz w:val="22"/>
          <w:szCs w:val="22"/>
        </w:rPr>
        <w:t xml:space="preserve">La </w:t>
      </w:r>
      <w:r w:rsidR="00D62D0C" w:rsidRPr="00332FCD">
        <w:rPr>
          <w:rFonts w:ascii="Andes" w:hAnsi="Andes" w:cs="Arial"/>
          <w:sz w:val="22"/>
          <w:szCs w:val="22"/>
        </w:rPr>
        <w:t>présentation</w:t>
      </w:r>
      <w:r w:rsidR="006F1529" w:rsidRPr="00332FCD">
        <w:rPr>
          <w:rFonts w:ascii="Andes" w:hAnsi="Andes" w:cs="Arial"/>
          <w:sz w:val="22"/>
          <w:szCs w:val="22"/>
        </w:rPr>
        <w:t xml:space="preserve"> de plus d’une Offre/Proposition ou la participation </w:t>
      </w:r>
      <w:r w:rsidR="00763296" w:rsidRPr="00332FCD">
        <w:rPr>
          <w:rFonts w:ascii="Andes" w:hAnsi="Andes" w:cs="Arial"/>
          <w:sz w:val="22"/>
          <w:szCs w:val="22"/>
        </w:rPr>
        <w:t>à un tel processus entraîne</w:t>
      </w:r>
      <w:r w:rsidR="00E82575" w:rsidRPr="00332FCD">
        <w:rPr>
          <w:rFonts w:ascii="Andes" w:hAnsi="Andes" w:cs="Arial"/>
          <w:sz w:val="22"/>
          <w:szCs w:val="22"/>
        </w:rPr>
        <w:t xml:space="preserve"> l’irrecevabilité </w:t>
      </w:r>
      <w:r w:rsidR="00763296" w:rsidRPr="00332FCD">
        <w:rPr>
          <w:rFonts w:ascii="Andes" w:hAnsi="Andes" w:cs="Arial"/>
          <w:sz w:val="22"/>
          <w:szCs w:val="22"/>
        </w:rPr>
        <w:t xml:space="preserve">de toutes les Offres/Propositions auxquelles l’entreprise est partie. Cela n’a pas pour effet d’empêcher une entreprise d’être associée en tant que sous-traitant à plus d’une Offre/Proposition. </w:t>
      </w:r>
      <w:r w:rsidR="00EA107D">
        <w:rPr>
          <w:rFonts w:ascii="Andes" w:hAnsi="Andes" w:cs="Arial"/>
          <w:sz w:val="22"/>
          <w:szCs w:val="22"/>
        </w:rPr>
        <w:t>De plus, p</w:t>
      </w:r>
      <w:r w:rsidR="00763296" w:rsidRPr="00332FCD">
        <w:rPr>
          <w:rFonts w:ascii="Andes" w:hAnsi="Andes" w:cs="Arial"/>
          <w:sz w:val="22"/>
          <w:szCs w:val="22"/>
        </w:rPr>
        <w:t>our certaines catégories de marchés, la participation d’un Soumissionnaire</w:t>
      </w:r>
      <w:r w:rsidR="000B4EE8">
        <w:rPr>
          <w:rFonts w:ascii="Andes" w:hAnsi="Andes" w:cs="Arial"/>
          <w:sz w:val="22"/>
          <w:szCs w:val="22"/>
        </w:rPr>
        <w:t>/Proposant</w:t>
      </w:r>
      <w:r w:rsidR="00730D18" w:rsidRPr="00332FCD">
        <w:rPr>
          <w:rFonts w:ascii="Andes" w:hAnsi="Andes" w:cs="Arial"/>
          <w:sz w:val="22"/>
          <w:szCs w:val="22"/>
        </w:rPr>
        <w:t xml:space="preserve"> en tant que </w:t>
      </w:r>
      <w:r w:rsidR="00763296" w:rsidRPr="00332FCD">
        <w:rPr>
          <w:rFonts w:ascii="Andes" w:hAnsi="Andes" w:cs="Arial"/>
          <w:sz w:val="22"/>
          <w:szCs w:val="22"/>
        </w:rPr>
        <w:t>sous-traitant</w:t>
      </w:r>
      <w:r w:rsidR="00567AB9" w:rsidRPr="00332FCD">
        <w:rPr>
          <w:rFonts w:ascii="Andes" w:hAnsi="Andes" w:cs="Arial"/>
          <w:sz w:val="22"/>
          <w:szCs w:val="22"/>
        </w:rPr>
        <w:t xml:space="preserve"> à </w:t>
      </w:r>
      <w:r w:rsidR="00763296" w:rsidRPr="00332FCD">
        <w:rPr>
          <w:rFonts w:ascii="Andes" w:hAnsi="Andes" w:cs="Arial"/>
          <w:sz w:val="22"/>
          <w:szCs w:val="22"/>
        </w:rPr>
        <w:t xml:space="preserve">une autre Offre/Proposition peut toutefois être autorisée </w:t>
      </w:r>
      <w:r w:rsidR="00730D18" w:rsidRPr="00332FCD">
        <w:rPr>
          <w:rFonts w:ascii="Andes" w:hAnsi="Andes" w:cs="Arial"/>
          <w:sz w:val="22"/>
          <w:szCs w:val="22"/>
        </w:rPr>
        <w:t>dans les conditions prévues par le D</w:t>
      </w:r>
      <w:r w:rsidR="00305553">
        <w:rPr>
          <w:rFonts w:ascii="Andes" w:hAnsi="Andes" w:cs="Arial"/>
          <w:sz w:val="22"/>
          <w:szCs w:val="22"/>
        </w:rPr>
        <w:t xml:space="preserve">TPM </w:t>
      </w:r>
      <w:r w:rsidR="00F43E5A" w:rsidRPr="00332FCD">
        <w:rPr>
          <w:rFonts w:ascii="Andes" w:hAnsi="Andes" w:cs="Arial"/>
          <w:sz w:val="22"/>
          <w:szCs w:val="22"/>
        </w:rPr>
        <w:t>applicable</w:t>
      </w:r>
      <w:r w:rsidR="00730D18" w:rsidRPr="00332FCD">
        <w:rPr>
          <w:rFonts w:ascii="Andes" w:hAnsi="Andes" w:cs="Arial"/>
          <w:sz w:val="22"/>
          <w:szCs w:val="22"/>
        </w:rPr>
        <w:t xml:space="preserve"> à la catégorie considérée. </w:t>
      </w:r>
    </w:p>
    <w:p w14:paraId="00B9289A" w14:textId="2E0FEF27" w:rsidR="00133265" w:rsidRPr="00332FCD" w:rsidRDefault="00730D18" w:rsidP="0009654F">
      <w:pPr>
        <w:spacing w:before="240" w:line="240" w:lineRule="auto"/>
        <w:contextualSpacing w:val="0"/>
        <w:rPr>
          <w:rFonts w:ascii="Andes" w:hAnsi="Andes" w:cs="Arial"/>
          <w:b/>
          <w:sz w:val="28"/>
          <w:szCs w:val="28"/>
        </w:rPr>
      </w:pPr>
      <w:r w:rsidRPr="00332FCD">
        <w:rPr>
          <w:rFonts w:ascii="Andes" w:hAnsi="Andes" w:cs="Arial"/>
          <w:b/>
          <w:sz w:val="28"/>
          <w:szCs w:val="28"/>
        </w:rPr>
        <w:t>Services de Consultants</w:t>
      </w:r>
    </w:p>
    <w:p w14:paraId="5A57503E" w14:textId="2395562B" w:rsidR="00AF3A67" w:rsidRPr="00332FCD" w:rsidRDefault="00730D18" w:rsidP="0009654F">
      <w:pPr>
        <w:pStyle w:val="Paragraphedeliste"/>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lastRenderedPageBreak/>
        <w:t>Un Consultant ne peut présenter plus d’une Proposition,</w:t>
      </w:r>
      <w:r w:rsidR="00E82575" w:rsidRPr="00332FCD">
        <w:rPr>
          <w:rFonts w:ascii="Andes" w:hAnsi="Andes" w:cs="Arial"/>
          <w:sz w:val="22"/>
          <w:szCs w:val="22"/>
        </w:rPr>
        <w:t xml:space="preserve"> seul </w:t>
      </w:r>
      <w:r w:rsidRPr="00332FCD">
        <w:rPr>
          <w:rFonts w:ascii="Andes" w:hAnsi="Andes" w:cs="Arial"/>
          <w:sz w:val="22"/>
          <w:szCs w:val="22"/>
        </w:rPr>
        <w:t xml:space="preserve">ou en association avec des partenaires dans le cadre d’une autre Proposition. </w:t>
      </w:r>
      <w:r w:rsidR="00E82575" w:rsidRPr="00332FCD">
        <w:rPr>
          <w:rFonts w:ascii="Andes" w:hAnsi="Andes" w:cs="Arial"/>
          <w:sz w:val="22"/>
          <w:szCs w:val="22"/>
        </w:rPr>
        <w:t xml:space="preserve">Si un Consultant, seul ou en association avec des partenaires, présente plus d’une Proposition ou participe à un tel processus, toutes les Propositions </w:t>
      </w:r>
      <w:r w:rsidR="001046E8" w:rsidRPr="00332FCD">
        <w:rPr>
          <w:rFonts w:ascii="Andes" w:hAnsi="Andes" w:cs="Arial"/>
          <w:sz w:val="22"/>
          <w:szCs w:val="22"/>
        </w:rPr>
        <w:t xml:space="preserve">concernées </w:t>
      </w:r>
      <w:r w:rsidR="00E82575" w:rsidRPr="00332FCD">
        <w:rPr>
          <w:rFonts w:ascii="Andes" w:hAnsi="Andes" w:cs="Arial"/>
          <w:sz w:val="22"/>
          <w:szCs w:val="22"/>
        </w:rPr>
        <w:t xml:space="preserve">sont déclarées irrecevables. </w:t>
      </w:r>
      <w:r w:rsidRPr="00332FCD">
        <w:rPr>
          <w:rFonts w:ascii="Andes" w:hAnsi="Andes" w:cs="Arial"/>
          <w:sz w:val="22"/>
          <w:szCs w:val="22"/>
        </w:rPr>
        <w:t>Cela n’a pas pour effet d’empêcher</w:t>
      </w:r>
      <w:r w:rsidR="0050724E" w:rsidRPr="00332FCD">
        <w:rPr>
          <w:rFonts w:ascii="Andes" w:hAnsi="Andes" w:cs="Arial"/>
          <w:sz w:val="22"/>
          <w:szCs w:val="22"/>
        </w:rPr>
        <w:t xml:space="preserve"> la participation d’une firme</w:t>
      </w:r>
      <w:r w:rsidRPr="00332FCD">
        <w:rPr>
          <w:rFonts w:ascii="Andes" w:hAnsi="Andes" w:cs="Arial"/>
          <w:sz w:val="22"/>
          <w:szCs w:val="22"/>
        </w:rPr>
        <w:t xml:space="preserve"> en tant que sous-traitant</w:t>
      </w:r>
      <w:r w:rsidR="00E82575" w:rsidRPr="00332FCD">
        <w:rPr>
          <w:rFonts w:ascii="Andes" w:hAnsi="Andes" w:cs="Arial"/>
          <w:sz w:val="22"/>
          <w:szCs w:val="22"/>
        </w:rPr>
        <w:t xml:space="preserve">, ou </w:t>
      </w:r>
      <w:r w:rsidR="0050724E" w:rsidRPr="00332FCD">
        <w:rPr>
          <w:rFonts w:ascii="Andes" w:hAnsi="Andes" w:cs="Arial"/>
          <w:sz w:val="22"/>
          <w:szCs w:val="22"/>
        </w:rPr>
        <w:t>la participation d’</w:t>
      </w:r>
      <w:r w:rsidR="00E82575" w:rsidRPr="00332FCD">
        <w:rPr>
          <w:rFonts w:ascii="Andes" w:hAnsi="Andes" w:cs="Arial"/>
          <w:sz w:val="22"/>
          <w:szCs w:val="22"/>
        </w:rPr>
        <w:t xml:space="preserve">une personne physique en tant que membre d’une équipe, à plus d’une Proposition lorsque les circonstances le justifient et que le </w:t>
      </w:r>
      <w:r w:rsidR="003A07A0" w:rsidRPr="00332FCD">
        <w:rPr>
          <w:rFonts w:ascii="Andes" w:hAnsi="Andes" w:cs="Arial"/>
          <w:sz w:val="22"/>
          <w:szCs w:val="22"/>
        </w:rPr>
        <w:t>dossier d’</w:t>
      </w:r>
      <w:r w:rsidR="00EA107D">
        <w:rPr>
          <w:rFonts w:ascii="Andes" w:hAnsi="Andes" w:cs="Arial"/>
          <w:sz w:val="22"/>
          <w:szCs w:val="22"/>
        </w:rPr>
        <w:t>A</w:t>
      </w:r>
      <w:r w:rsidR="003A07A0" w:rsidRPr="00332FCD">
        <w:rPr>
          <w:rFonts w:ascii="Andes" w:hAnsi="Andes" w:cs="Arial"/>
          <w:sz w:val="22"/>
          <w:szCs w:val="22"/>
        </w:rPr>
        <w:t>ppel</w:t>
      </w:r>
      <w:r w:rsidR="00E82575" w:rsidRPr="00332FCD">
        <w:rPr>
          <w:rFonts w:ascii="Andes" w:hAnsi="Andes" w:cs="Arial"/>
          <w:sz w:val="22"/>
          <w:szCs w:val="22"/>
        </w:rPr>
        <w:t xml:space="preserve"> à </w:t>
      </w:r>
      <w:r w:rsidR="00EA107D">
        <w:rPr>
          <w:rFonts w:ascii="Andes" w:hAnsi="Andes" w:cs="Arial"/>
          <w:sz w:val="22"/>
          <w:szCs w:val="22"/>
        </w:rPr>
        <w:t>P</w:t>
      </w:r>
      <w:r w:rsidR="00E82575" w:rsidRPr="00332FCD">
        <w:rPr>
          <w:rFonts w:ascii="Andes" w:hAnsi="Andes" w:cs="Arial"/>
          <w:sz w:val="22"/>
          <w:szCs w:val="22"/>
        </w:rPr>
        <w:t xml:space="preserve">ropositions l’autorise. </w:t>
      </w:r>
    </w:p>
    <w:p w14:paraId="62AE527C" w14:textId="62772140" w:rsidR="00C811D2" w:rsidRPr="00332FCD" w:rsidRDefault="000F5172" w:rsidP="00DA3824">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281" w:name="_Toc404234494"/>
      <w:bookmarkStart w:id="282" w:name="_Toc404234696"/>
      <w:bookmarkStart w:id="283" w:name="_Toc404235228"/>
      <w:bookmarkStart w:id="284" w:name="_Toc404235518"/>
      <w:bookmarkStart w:id="285" w:name="_Toc404235695"/>
      <w:bookmarkStart w:id="286" w:name="_Toc404235958"/>
      <w:bookmarkStart w:id="287" w:name="_Toc404236128"/>
      <w:bookmarkStart w:id="288" w:name="_Toc404236298"/>
      <w:bookmarkStart w:id="289" w:name="_Toc404236467"/>
      <w:bookmarkStart w:id="290" w:name="_Toc404236636"/>
      <w:bookmarkStart w:id="291" w:name="_Toc404236804"/>
      <w:bookmarkStart w:id="292" w:name="_Toc404236972"/>
      <w:bookmarkStart w:id="293" w:name="_Toc404755601"/>
      <w:bookmarkStart w:id="294" w:name="_Toc405205392"/>
      <w:bookmarkStart w:id="295" w:name="_Toc404234495"/>
      <w:bookmarkStart w:id="296" w:name="_Toc404234697"/>
      <w:bookmarkStart w:id="297" w:name="_Toc404235229"/>
      <w:bookmarkStart w:id="298" w:name="_Toc404235519"/>
      <w:bookmarkStart w:id="299" w:name="_Toc404235696"/>
      <w:bookmarkStart w:id="300" w:name="_Toc404235959"/>
      <w:bookmarkStart w:id="301" w:name="_Toc404236129"/>
      <w:bookmarkStart w:id="302" w:name="_Toc404236299"/>
      <w:bookmarkStart w:id="303" w:name="_Toc404236468"/>
      <w:bookmarkStart w:id="304" w:name="_Toc404236637"/>
      <w:bookmarkStart w:id="305" w:name="_Toc404236805"/>
      <w:bookmarkStart w:id="306" w:name="_Toc404236973"/>
      <w:bookmarkStart w:id="307" w:name="_Toc404755602"/>
      <w:bookmarkStart w:id="308" w:name="_Toc405205393"/>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sidRPr="00332FCD">
        <w:rPr>
          <w:rFonts w:ascii="Andes" w:eastAsiaTheme="majorEastAsia" w:hAnsi="Andes" w:cstheme="majorBidi"/>
          <w:bCs w:val="0"/>
          <w:color w:val="C45911"/>
          <w:sz w:val="32"/>
          <w:szCs w:val="32"/>
        </w:rPr>
        <w:t>Éligibilité</w:t>
      </w:r>
    </w:p>
    <w:p w14:paraId="549F3CEE" w14:textId="5308B708" w:rsidR="00AC559B" w:rsidRPr="00332FCD" w:rsidRDefault="000F5172" w:rsidP="00DA3824">
      <w:pPr>
        <w:pStyle w:val="Paragraphedeliste"/>
        <w:numPr>
          <w:ilvl w:val="1"/>
          <w:numId w:val="138"/>
        </w:numPr>
        <w:spacing w:before="0" w:line="240" w:lineRule="auto"/>
        <w:ind w:left="634" w:hanging="634"/>
        <w:contextualSpacing w:val="0"/>
        <w:rPr>
          <w:rFonts w:ascii="Andes" w:hAnsi="Andes" w:cs="Arial"/>
          <w:sz w:val="22"/>
          <w:szCs w:val="22"/>
        </w:rPr>
      </w:pPr>
      <w:bookmarkStart w:id="309" w:name="_Ref417460007"/>
      <w:r w:rsidRPr="00332FCD">
        <w:rPr>
          <w:rFonts w:ascii="Andes" w:hAnsi="Andes" w:cs="Arial"/>
          <w:sz w:val="22"/>
          <w:szCs w:val="22"/>
        </w:rPr>
        <w:t xml:space="preserve">La Banque autorise les entreprises et personnes physiques éligibles de tous les pays à proposer des Fournitures, Travaux, Services </w:t>
      </w:r>
      <w:r w:rsidR="0078212A" w:rsidRPr="00332FCD">
        <w:rPr>
          <w:rFonts w:ascii="Andes" w:hAnsi="Andes" w:cs="Arial"/>
          <w:sz w:val="22"/>
          <w:szCs w:val="22"/>
        </w:rPr>
        <w:t xml:space="preserve">Autres que des </w:t>
      </w:r>
      <w:r w:rsidRPr="00332FCD">
        <w:rPr>
          <w:rFonts w:ascii="Andes" w:hAnsi="Andes" w:cs="Arial"/>
          <w:sz w:val="22"/>
          <w:szCs w:val="22"/>
        </w:rPr>
        <w:t>Services de Consultants et Services de Consultants pour les projets qu’elle finance</w:t>
      </w:r>
      <w:r w:rsidR="00F562E8" w:rsidRPr="00332FCD">
        <w:rPr>
          <w:rFonts w:ascii="Andes" w:hAnsi="Andes" w:cs="Arial"/>
          <w:sz w:val="22"/>
          <w:szCs w:val="22"/>
        </w:rPr>
        <w:t>.</w:t>
      </w:r>
      <w:bookmarkEnd w:id="309"/>
    </w:p>
    <w:p w14:paraId="7BF16726" w14:textId="646CDD0B" w:rsidR="00C811D2" w:rsidRPr="00332FCD" w:rsidRDefault="00F37D84" w:rsidP="00DA3824">
      <w:pPr>
        <w:pStyle w:val="Paragraphedeliste"/>
        <w:numPr>
          <w:ilvl w:val="1"/>
          <w:numId w:val="138"/>
        </w:numPr>
        <w:spacing w:before="0" w:line="240" w:lineRule="auto"/>
        <w:ind w:left="634" w:hanging="634"/>
        <w:contextualSpacing w:val="0"/>
        <w:rPr>
          <w:rFonts w:ascii="Andes" w:hAnsi="Andes" w:cs="Arial"/>
          <w:sz w:val="22"/>
          <w:szCs w:val="22"/>
        </w:rPr>
      </w:pPr>
      <w:bookmarkStart w:id="310" w:name="_Ref417460017"/>
      <w:r w:rsidRPr="00332FCD">
        <w:rPr>
          <w:rFonts w:ascii="Andes" w:hAnsi="Andes" w:cs="Arial"/>
          <w:sz w:val="22"/>
          <w:szCs w:val="22"/>
        </w:rPr>
        <w:t xml:space="preserve">Lorsqu’un marché est intégralement ou partiellement financé </w:t>
      </w:r>
      <w:r w:rsidR="000F5172" w:rsidRPr="00332FCD">
        <w:rPr>
          <w:rFonts w:ascii="Andes" w:hAnsi="Andes" w:cs="Arial"/>
          <w:sz w:val="22"/>
          <w:szCs w:val="22"/>
        </w:rPr>
        <w:t>par la Banque, l’</w:t>
      </w:r>
      <w:r w:rsidRPr="00332FCD">
        <w:rPr>
          <w:rFonts w:ascii="Andes" w:hAnsi="Andes" w:cs="Arial"/>
          <w:sz w:val="22"/>
          <w:szCs w:val="22"/>
        </w:rPr>
        <w:t xml:space="preserve">Emprunteur ne peut refuser la participation d’un </w:t>
      </w:r>
      <w:r w:rsidR="000B4EE8">
        <w:rPr>
          <w:rFonts w:ascii="Andes" w:hAnsi="Andes" w:cs="Arial"/>
          <w:sz w:val="22"/>
          <w:szCs w:val="22"/>
        </w:rPr>
        <w:t>Candidat/</w:t>
      </w:r>
      <w:r w:rsidRPr="00332FCD">
        <w:rPr>
          <w:rFonts w:ascii="Andes" w:hAnsi="Andes" w:cs="Arial"/>
          <w:sz w:val="22"/>
          <w:szCs w:val="22"/>
        </w:rPr>
        <w:t xml:space="preserve">Soumissionnaire/Proposant/Consultant, ni l’attribution d’un marché à l’un d’entre eux, pour des motifs autres </w:t>
      </w:r>
      <w:r w:rsidR="005323CC" w:rsidRPr="00332FCD">
        <w:rPr>
          <w:rFonts w:ascii="Andes" w:hAnsi="Andes" w:cs="Arial"/>
          <w:sz w:val="22"/>
          <w:szCs w:val="22"/>
        </w:rPr>
        <w:t>que</w:t>
      </w:r>
      <w:r w:rsidR="00730BDF" w:rsidRPr="00332FCD">
        <w:rPr>
          <w:rFonts w:ascii="Calibri" w:hAnsi="Calibri" w:cs="Calibri"/>
          <w:sz w:val="22"/>
          <w:szCs w:val="22"/>
        </w:rPr>
        <w:t> </w:t>
      </w:r>
      <w:r w:rsidR="00730BDF" w:rsidRPr="00332FCD">
        <w:rPr>
          <w:rFonts w:ascii="Andes" w:hAnsi="Andes" w:cs="Arial"/>
          <w:sz w:val="22"/>
          <w:szCs w:val="22"/>
        </w:rPr>
        <w:t>:</w:t>
      </w:r>
      <w:r w:rsidR="005323CC" w:rsidRPr="00332FCD">
        <w:rPr>
          <w:rFonts w:ascii="Andes" w:hAnsi="Andes" w:cs="Arial"/>
          <w:sz w:val="22"/>
          <w:szCs w:val="22"/>
        </w:rPr>
        <w:t xml:space="preserve"> </w:t>
      </w:r>
      <w:bookmarkEnd w:id="310"/>
    </w:p>
    <w:p w14:paraId="770F2432" w14:textId="1C0883E1" w:rsidR="00C811D2" w:rsidRPr="00332FCD" w:rsidRDefault="005323CC" w:rsidP="00DA3824">
      <w:pPr>
        <w:pStyle w:val="Paragraphedeliste"/>
        <w:numPr>
          <w:ilvl w:val="0"/>
          <w:numId w:val="147"/>
        </w:numPr>
        <w:spacing w:before="0" w:line="240" w:lineRule="auto"/>
        <w:contextualSpacing w:val="0"/>
        <w:rPr>
          <w:rFonts w:ascii="Andes" w:hAnsi="Andes" w:cs="Arial"/>
          <w:sz w:val="22"/>
          <w:szCs w:val="22"/>
        </w:rPr>
      </w:pPr>
      <w:r w:rsidRPr="00332FCD">
        <w:rPr>
          <w:rFonts w:ascii="Andes" w:eastAsiaTheme="minorHAnsi" w:hAnsi="Andes" w:cs="Arial"/>
          <w:color w:val="000000"/>
          <w:sz w:val="22"/>
          <w:szCs w:val="22"/>
        </w:rPr>
        <w:t>les capacités et les ressources dont il dispose pour bien exécuter le contrat</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ou</w:t>
      </w:r>
    </w:p>
    <w:p w14:paraId="1AEC9B10" w14:textId="23F9AA94" w:rsidR="00C811D2" w:rsidRPr="00332FCD" w:rsidRDefault="005323CC" w:rsidP="00DA3824">
      <w:pPr>
        <w:pStyle w:val="Paragraphedeliste"/>
        <w:numPr>
          <w:ilvl w:val="0"/>
          <w:numId w:val="147"/>
        </w:numPr>
        <w:spacing w:before="0" w:line="240" w:lineRule="auto"/>
        <w:contextualSpacing w:val="0"/>
        <w:rPr>
          <w:rFonts w:ascii="Andes" w:hAnsi="Andes" w:cs="Arial"/>
          <w:sz w:val="22"/>
          <w:szCs w:val="22"/>
        </w:rPr>
      </w:pPr>
      <w:r w:rsidRPr="00332FCD">
        <w:rPr>
          <w:rFonts w:ascii="Andes" w:eastAsiaTheme="minorHAnsi" w:hAnsi="Andes" w:cs="Arial"/>
          <w:color w:val="000000"/>
          <w:sz w:val="22"/>
          <w:szCs w:val="22"/>
        </w:rPr>
        <w:t xml:space="preserve">les situations de conflit d’intérêts visées aux </w:t>
      </w:r>
      <w:r w:rsidR="00F43E5A" w:rsidRPr="00332FCD">
        <w:rPr>
          <w:rFonts w:ascii="Andes" w:eastAsiaTheme="minorHAnsi" w:hAnsi="Andes" w:cs="Arial"/>
          <w:color w:val="000000"/>
          <w:sz w:val="22"/>
          <w:szCs w:val="22"/>
        </w:rPr>
        <w:t>paragraphes</w:t>
      </w:r>
      <w:r w:rsidR="00F43E5A" w:rsidRPr="00332FCD">
        <w:rPr>
          <w:rFonts w:ascii="Calibri" w:eastAsiaTheme="minorHAnsi" w:hAnsi="Calibri" w:cs="Calibri"/>
          <w:color w:val="000000"/>
          <w:sz w:val="22"/>
          <w:szCs w:val="22"/>
        </w:rPr>
        <w:t> </w:t>
      </w:r>
      <w:r w:rsidR="001D06DD" w:rsidRPr="00332FCD">
        <w:rPr>
          <w:rFonts w:ascii="Andes" w:hAnsi="Andes" w:cs="Arial"/>
          <w:sz w:val="22"/>
          <w:szCs w:val="22"/>
        </w:rPr>
        <w:t>3.14</w:t>
      </w:r>
      <w:r w:rsidRPr="00332FCD">
        <w:rPr>
          <w:rFonts w:ascii="Andes" w:hAnsi="Andes" w:cs="Arial"/>
          <w:sz w:val="22"/>
          <w:szCs w:val="22"/>
        </w:rPr>
        <w:t xml:space="preserve"> à </w:t>
      </w:r>
      <w:r w:rsidR="001D06DD" w:rsidRPr="00332FCD">
        <w:rPr>
          <w:rFonts w:ascii="Andes" w:hAnsi="Andes" w:cs="Arial"/>
          <w:sz w:val="22"/>
          <w:szCs w:val="22"/>
        </w:rPr>
        <w:t xml:space="preserve">3.17 </w:t>
      </w:r>
      <w:r w:rsidR="00175A0B" w:rsidRPr="00332FCD">
        <w:rPr>
          <w:rFonts w:ascii="Andes" w:hAnsi="Andes" w:cs="Arial"/>
          <w:sz w:val="22"/>
          <w:szCs w:val="22"/>
        </w:rPr>
        <w:t>(</w:t>
      </w:r>
      <w:r w:rsidRPr="00332FCD">
        <w:rPr>
          <w:rFonts w:ascii="Andes" w:hAnsi="Andes" w:cs="Arial"/>
          <w:sz w:val="22"/>
          <w:szCs w:val="22"/>
        </w:rPr>
        <w:t>Conflits d’intérêts</w:t>
      </w:r>
      <w:r w:rsidR="00175A0B" w:rsidRPr="00332FCD">
        <w:rPr>
          <w:rFonts w:ascii="Andes" w:hAnsi="Andes" w:cs="Arial"/>
          <w:sz w:val="22"/>
          <w:szCs w:val="22"/>
        </w:rPr>
        <w:t>)</w:t>
      </w:r>
      <w:r w:rsidR="008F2811" w:rsidRPr="00332FCD">
        <w:rPr>
          <w:rFonts w:ascii="Andes" w:hAnsi="Andes" w:cs="Arial"/>
          <w:sz w:val="22"/>
          <w:szCs w:val="22"/>
        </w:rPr>
        <w:t>.</w:t>
      </w:r>
    </w:p>
    <w:p w14:paraId="020562E6" w14:textId="7EF65AF3" w:rsidR="00C811D2" w:rsidRPr="00332FCD" w:rsidRDefault="005323CC" w:rsidP="00DA3824">
      <w:pPr>
        <w:pStyle w:val="Paragraphedeliste"/>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Par exception aux paragraphes </w:t>
      </w:r>
      <w:r w:rsidR="005A60DF" w:rsidRPr="00332FCD">
        <w:rPr>
          <w:rFonts w:ascii="Andes" w:hAnsi="Andes" w:cs="Arial"/>
          <w:sz w:val="22"/>
          <w:szCs w:val="22"/>
        </w:rPr>
        <w:fldChar w:fldCharType="begin"/>
      </w:r>
      <w:r w:rsidR="005A60DF" w:rsidRPr="00332FCD">
        <w:rPr>
          <w:rFonts w:ascii="Andes" w:hAnsi="Andes" w:cs="Arial"/>
          <w:sz w:val="22"/>
          <w:szCs w:val="22"/>
        </w:rPr>
        <w:instrText xml:space="preserve"> REF _Ref417460007 \n \h  \* MERGEFORMAT </w:instrText>
      </w:r>
      <w:r w:rsidR="005A60DF" w:rsidRPr="00332FCD">
        <w:rPr>
          <w:rFonts w:ascii="Andes" w:hAnsi="Andes" w:cs="Arial"/>
          <w:sz w:val="22"/>
          <w:szCs w:val="22"/>
        </w:rPr>
      </w:r>
      <w:r w:rsidR="005A60DF" w:rsidRPr="00332FCD">
        <w:rPr>
          <w:rFonts w:ascii="Andes" w:hAnsi="Andes" w:cs="Arial"/>
          <w:sz w:val="22"/>
          <w:szCs w:val="22"/>
        </w:rPr>
        <w:fldChar w:fldCharType="separate"/>
      </w:r>
      <w:r w:rsidR="00066A4E">
        <w:rPr>
          <w:rFonts w:ascii="Andes" w:hAnsi="Andes" w:cs="Arial"/>
          <w:sz w:val="22"/>
          <w:szCs w:val="22"/>
        </w:rPr>
        <w:t>3.21</w:t>
      </w:r>
      <w:r w:rsidR="005A60DF" w:rsidRPr="00332FCD">
        <w:rPr>
          <w:rFonts w:ascii="Andes" w:hAnsi="Andes" w:cs="Arial"/>
          <w:sz w:val="22"/>
          <w:szCs w:val="22"/>
        </w:rPr>
        <w:fldChar w:fldCharType="end"/>
      </w:r>
      <w:r w:rsidRPr="00332FCD">
        <w:rPr>
          <w:rFonts w:ascii="Andes" w:hAnsi="Andes" w:cs="Arial"/>
          <w:sz w:val="22"/>
          <w:szCs w:val="22"/>
        </w:rPr>
        <w:t xml:space="preserve"> et </w:t>
      </w:r>
      <w:r w:rsidR="00175A0B" w:rsidRPr="00332FCD">
        <w:rPr>
          <w:rFonts w:ascii="Andes" w:hAnsi="Andes" w:cs="Arial"/>
          <w:sz w:val="22"/>
          <w:szCs w:val="22"/>
        </w:rPr>
        <w:fldChar w:fldCharType="begin"/>
      </w:r>
      <w:r w:rsidR="00175A0B" w:rsidRPr="00332FCD">
        <w:rPr>
          <w:rFonts w:ascii="Andes" w:hAnsi="Andes" w:cs="Arial"/>
          <w:sz w:val="22"/>
          <w:szCs w:val="22"/>
        </w:rPr>
        <w:instrText xml:space="preserve"> REF _Ref417460017 \r \h </w:instrText>
      </w:r>
      <w:r w:rsidR="000C3B06" w:rsidRPr="00332FCD">
        <w:rPr>
          <w:rFonts w:ascii="Andes" w:hAnsi="Andes" w:cs="Arial"/>
          <w:sz w:val="22"/>
          <w:szCs w:val="22"/>
        </w:rPr>
        <w:instrText xml:space="preserve"> \* MERGEFORMAT </w:instrText>
      </w:r>
      <w:r w:rsidR="00175A0B" w:rsidRPr="00332FCD">
        <w:rPr>
          <w:rFonts w:ascii="Andes" w:hAnsi="Andes" w:cs="Arial"/>
          <w:sz w:val="22"/>
          <w:szCs w:val="22"/>
        </w:rPr>
      </w:r>
      <w:r w:rsidR="00175A0B" w:rsidRPr="00332FCD">
        <w:rPr>
          <w:rFonts w:ascii="Andes" w:hAnsi="Andes" w:cs="Arial"/>
          <w:sz w:val="22"/>
          <w:szCs w:val="22"/>
        </w:rPr>
        <w:fldChar w:fldCharType="separate"/>
      </w:r>
      <w:r w:rsidR="00066A4E">
        <w:rPr>
          <w:rFonts w:ascii="Andes" w:hAnsi="Andes" w:cs="Arial"/>
          <w:sz w:val="22"/>
          <w:szCs w:val="22"/>
        </w:rPr>
        <w:t>3.22</w:t>
      </w:r>
      <w:r w:rsidR="00175A0B" w:rsidRPr="00332FCD">
        <w:rPr>
          <w:rFonts w:ascii="Andes" w:hAnsi="Andes" w:cs="Arial"/>
          <w:sz w:val="22"/>
          <w:szCs w:val="22"/>
        </w:rPr>
        <w:fldChar w:fldCharType="end"/>
      </w:r>
      <w:r w:rsidRPr="00332FCD">
        <w:rPr>
          <w:rFonts w:ascii="Andes" w:hAnsi="Andes" w:cs="Arial"/>
          <w:sz w:val="22"/>
          <w:szCs w:val="22"/>
        </w:rPr>
        <w:t xml:space="preserve"> </w:t>
      </w:r>
      <w:r w:rsidR="004D7220" w:rsidRPr="00332FCD">
        <w:rPr>
          <w:rFonts w:ascii="Andes" w:hAnsi="Andes" w:cs="Arial"/>
          <w:sz w:val="22"/>
          <w:szCs w:val="22"/>
        </w:rPr>
        <w:t>:</w:t>
      </w:r>
    </w:p>
    <w:p w14:paraId="23AFB9DE" w14:textId="3BF51205" w:rsidR="00EF584C" w:rsidRPr="00332FCD" w:rsidRDefault="005323CC" w:rsidP="00DA3824">
      <w:pPr>
        <w:pStyle w:val="Paragraphedeliste"/>
        <w:numPr>
          <w:ilvl w:val="0"/>
          <w:numId w:val="148"/>
        </w:numPr>
        <w:spacing w:before="0" w:line="240" w:lineRule="auto"/>
        <w:contextualSpacing w:val="0"/>
        <w:rPr>
          <w:rFonts w:ascii="Andes" w:hAnsi="Andes" w:cs="Arial"/>
          <w:sz w:val="22"/>
          <w:szCs w:val="22"/>
        </w:rPr>
      </w:pPr>
      <w:r w:rsidRPr="00332FCD">
        <w:rPr>
          <w:rFonts w:ascii="Andes" w:hAnsi="Andes" w:cs="Arial"/>
          <w:sz w:val="22"/>
          <w:szCs w:val="22"/>
        </w:rPr>
        <w:t xml:space="preserve">Les entreprises </w:t>
      </w:r>
      <w:r w:rsidR="000A1963" w:rsidRPr="00332FCD">
        <w:rPr>
          <w:rFonts w:ascii="Andes" w:hAnsi="Andes" w:cs="Arial"/>
          <w:sz w:val="22"/>
          <w:szCs w:val="22"/>
        </w:rPr>
        <w:t xml:space="preserve">ou personnes physiques </w:t>
      </w:r>
      <w:r w:rsidRPr="00332FCD">
        <w:rPr>
          <w:rFonts w:ascii="Andes" w:hAnsi="Andes" w:cs="Arial"/>
          <w:sz w:val="22"/>
          <w:szCs w:val="22"/>
        </w:rPr>
        <w:t>d’un pays membre</w:t>
      </w:r>
      <w:r w:rsidR="000A1963" w:rsidRPr="00332FCD">
        <w:rPr>
          <w:rFonts w:ascii="Andes" w:hAnsi="Andes" w:cs="Arial"/>
          <w:sz w:val="22"/>
          <w:szCs w:val="22"/>
        </w:rPr>
        <w:t>,</w:t>
      </w:r>
      <w:r w:rsidRPr="00332FCD">
        <w:rPr>
          <w:rFonts w:ascii="Andes" w:hAnsi="Andes" w:cs="Arial"/>
          <w:sz w:val="22"/>
          <w:szCs w:val="22"/>
        </w:rPr>
        <w:t xml:space="preserve"> ou les fournitures fabriquées dans un pays membre</w:t>
      </w:r>
      <w:r w:rsidR="000A1963" w:rsidRPr="00332FCD">
        <w:rPr>
          <w:rFonts w:ascii="Andes" w:hAnsi="Andes" w:cs="Arial"/>
          <w:sz w:val="22"/>
          <w:szCs w:val="22"/>
        </w:rPr>
        <w:t>,</w:t>
      </w:r>
      <w:r w:rsidRPr="00332FCD">
        <w:rPr>
          <w:rFonts w:ascii="Andes" w:hAnsi="Andes" w:cs="Arial"/>
          <w:sz w:val="22"/>
          <w:szCs w:val="22"/>
        </w:rPr>
        <w:t xml:space="preserve"> peuvent être exclues </w:t>
      </w:r>
      <w:r w:rsidR="000A1963" w:rsidRPr="00332FCD">
        <w:rPr>
          <w:rFonts w:ascii="Andes" w:hAnsi="Andes" w:cs="Arial"/>
          <w:sz w:val="22"/>
          <w:szCs w:val="22"/>
        </w:rPr>
        <w:t>si</w:t>
      </w:r>
      <w:r w:rsidR="00730BDF" w:rsidRPr="00332FCD">
        <w:rPr>
          <w:rFonts w:ascii="Calibri" w:hAnsi="Calibri" w:cs="Calibri"/>
          <w:sz w:val="22"/>
          <w:szCs w:val="22"/>
        </w:rPr>
        <w:t> </w:t>
      </w:r>
      <w:r w:rsidR="00730BDF" w:rsidRPr="00332FCD">
        <w:rPr>
          <w:rFonts w:ascii="Andes" w:hAnsi="Andes" w:cs="Arial"/>
          <w:sz w:val="22"/>
          <w:szCs w:val="22"/>
        </w:rPr>
        <w:t>:</w:t>
      </w:r>
      <w:r w:rsidR="000A1963" w:rsidRPr="00332FCD">
        <w:rPr>
          <w:rFonts w:ascii="Andes" w:hAnsi="Andes" w:cs="Arial"/>
          <w:sz w:val="22"/>
          <w:szCs w:val="22"/>
        </w:rPr>
        <w:t xml:space="preserve"> </w:t>
      </w:r>
    </w:p>
    <w:p w14:paraId="277A48DA" w14:textId="66AA101E" w:rsidR="00EF584C" w:rsidRPr="00332FCD" w:rsidRDefault="000A1963" w:rsidP="00DA3824">
      <w:pPr>
        <w:pStyle w:val="Paragraphedeliste"/>
        <w:numPr>
          <w:ilvl w:val="0"/>
          <w:numId w:val="120"/>
        </w:numPr>
        <w:tabs>
          <w:tab w:val="left" w:pos="720"/>
        </w:tabs>
        <w:spacing w:before="0" w:line="240" w:lineRule="auto"/>
        <w:contextualSpacing w:val="0"/>
        <w:rPr>
          <w:rFonts w:ascii="Andes" w:hAnsi="Andes" w:cs="Arial"/>
          <w:sz w:val="22"/>
          <w:szCs w:val="22"/>
        </w:rPr>
      </w:pPr>
      <w:r w:rsidRPr="00332FCD">
        <w:rPr>
          <w:rFonts w:ascii="Andes" w:hAnsi="Andes" w:cs="Arial"/>
          <w:sz w:val="22"/>
          <w:szCs w:val="22"/>
        </w:rPr>
        <w:t xml:space="preserve">les textes législatifs ou réglementaires du pays de l’Emprunteur interdisent les relations commerciales avec ledit pays membre, sous réserve qu’il soit établi à la satisfaction de la Banque que cette exclusion n’empêche pas le jeu efficace de la concurrence pour la livraison des Fournitures, </w:t>
      </w:r>
      <w:r w:rsidR="006576F4" w:rsidRPr="00332FCD">
        <w:rPr>
          <w:rFonts w:ascii="Andes" w:hAnsi="Andes" w:cs="Arial"/>
          <w:sz w:val="22"/>
          <w:szCs w:val="22"/>
        </w:rPr>
        <w:t xml:space="preserve">la réalisation des Travaux, la fourniture des Services </w:t>
      </w:r>
      <w:r w:rsidR="0078212A" w:rsidRPr="00332FCD">
        <w:rPr>
          <w:rFonts w:ascii="Andes" w:hAnsi="Andes" w:cs="Arial"/>
          <w:sz w:val="22"/>
          <w:szCs w:val="22"/>
        </w:rPr>
        <w:t xml:space="preserve">Autres que des </w:t>
      </w:r>
      <w:r w:rsidR="006576F4" w:rsidRPr="00332FCD">
        <w:rPr>
          <w:rFonts w:ascii="Andes" w:hAnsi="Andes" w:cs="Arial"/>
          <w:sz w:val="22"/>
          <w:szCs w:val="22"/>
        </w:rPr>
        <w:t xml:space="preserve">Services de Consultants ou l’exécution des Services de Consultants demandés. Lorsque l’exécution du marché fait intervenir plusieurs pays (plus d’un pays participe au processus), </w:t>
      </w:r>
      <w:r w:rsidR="00E06836" w:rsidRPr="00332FCD">
        <w:rPr>
          <w:rFonts w:ascii="Andes" w:hAnsi="Andes" w:cs="Arial"/>
          <w:sz w:val="22"/>
          <w:szCs w:val="22"/>
        </w:rPr>
        <w:t>l’exclusion</w:t>
      </w:r>
      <w:r w:rsidR="006576F4" w:rsidRPr="00332FCD">
        <w:rPr>
          <w:rFonts w:ascii="Andes" w:hAnsi="Andes" w:cs="Arial"/>
          <w:sz w:val="22"/>
          <w:szCs w:val="22"/>
        </w:rPr>
        <w:t xml:space="preserve">, pour ces motifs, d’une entreprise ou d’une personne physique par un pays </w:t>
      </w:r>
      <w:r w:rsidR="00E06836" w:rsidRPr="00332FCD">
        <w:rPr>
          <w:rFonts w:ascii="Andes" w:hAnsi="Andes" w:cs="Arial"/>
          <w:sz w:val="22"/>
          <w:szCs w:val="22"/>
        </w:rPr>
        <w:t>peut s’appliquer audit marché entre les autres pays participants, si la Banque et tous les autres Emprunteurs participants audit marché en conviennent</w:t>
      </w:r>
      <w:r w:rsidR="00730BDF" w:rsidRPr="00332FCD">
        <w:rPr>
          <w:rFonts w:ascii="Calibri" w:hAnsi="Calibri" w:cs="Calibri"/>
          <w:sz w:val="22"/>
          <w:szCs w:val="22"/>
        </w:rPr>
        <w:t> </w:t>
      </w:r>
      <w:r w:rsidR="00730BDF" w:rsidRPr="00332FCD">
        <w:rPr>
          <w:rFonts w:ascii="Andes" w:hAnsi="Andes" w:cs="Arial"/>
          <w:sz w:val="22"/>
          <w:szCs w:val="22"/>
        </w:rPr>
        <w:t>;</w:t>
      </w:r>
      <w:r w:rsidR="00E06836" w:rsidRPr="00332FCD">
        <w:rPr>
          <w:rFonts w:ascii="Andes" w:hAnsi="Andes" w:cs="Arial"/>
          <w:sz w:val="22"/>
          <w:szCs w:val="22"/>
        </w:rPr>
        <w:t xml:space="preserve"> ou</w:t>
      </w:r>
    </w:p>
    <w:p w14:paraId="19499D74" w14:textId="68DECE5B" w:rsidR="001078BD" w:rsidRPr="00332FCD" w:rsidRDefault="001E1431" w:rsidP="00DA3824">
      <w:pPr>
        <w:pStyle w:val="Paragraphedeliste"/>
        <w:numPr>
          <w:ilvl w:val="0"/>
          <w:numId w:val="120"/>
        </w:numPr>
        <w:tabs>
          <w:tab w:val="left" w:pos="720"/>
        </w:tabs>
        <w:spacing w:before="0" w:line="240" w:lineRule="auto"/>
        <w:contextualSpacing w:val="0"/>
        <w:rPr>
          <w:rFonts w:ascii="Andes" w:hAnsi="Andes" w:cs="Arial"/>
          <w:sz w:val="22"/>
          <w:szCs w:val="22"/>
        </w:rPr>
      </w:pPr>
      <w:r w:rsidRPr="00332FCD">
        <w:rPr>
          <w:rFonts w:ascii="Andes" w:hAnsi="Andes" w:cs="Arial"/>
          <w:sz w:val="22"/>
          <w:szCs w:val="22"/>
        </w:rPr>
        <w:t xml:space="preserve">en application d’une décision prise par le Conseil de sécurité des Nations Unies au titre du Chapitre VII de la Charte des Nations Unies, le pays de l’Emprunteur interdit toute importation de </w:t>
      </w:r>
      <w:r w:rsidR="0078212A" w:rsidRPr="00332FCD">
        <w:rPr>
          <w:rFonts w:ascii="Andes" w:hAnsi="Andes" w:cs="Arial"/>
          <w:sz w:val="22"/>
          <w:szCs w:val="22"/>
        </w:rPr>
        <w:t xml:space="preserve">Fournitures </w:t>
      </w:r>
      <w:r w:rsidRPr="00332FCD">
        <w:rPr>
          <w:rFonts w:ascii="Andes" w:hAnsi="Andes" w:cs="Arial"/>
          <w:sz w:val="22"/>
          <w:szCs w:val="22"/>
        </w:rPr>
        <w:t>en provenance</w:t>
      </w:r>
      <w:r w:rsidR="00115D13" w:rsidRPr="00332FCD">
        <w:rPr>
          <w:rFonts w:ascii="Andes" w:hAnsi="Andes" w:cs="Arial"/>
          <w:sz w:val="22"/>
          <w:szCs w:val="22"/>
        </w:rPr>
        <w:t>, ou tout paiement à destination,</w:t>
      </w:r>
      <w:r w:rsidRPr="00332FCD">
        <w:rPr>
          <w:rFonts w:ascii="Andes" w:hAnsi="Andes" w:cs="Arial"/>
          <w:sz w:val="22"/>
          <w:szCs w:val="22"/>
        </w:rPr>
        <w:t xml:space="preserve"> </w:t>
      </w:r>
      <w:r w:rsidR="0078212A" w:rsidRPr="00332FCD">
        <w:rPr>
          <w:rFonts w:ascii="Andes" w:hAnsi="Andes" w:cs="Arial"/>
          <w:sz w:val="22"/>
          <w:szCs w:val="22"/>
        </w:rPr>
        <w:t xml:space="preserve">d’un pays, d’une personne physique ou </w:t>
      </w:r>
      <w:proofErr w:type="gramStart"/>
      <w:r w:rsidR="0078212A" w:rsidRPr="00332FCD">
        <w:rPr>
          <w:rFonts w:ascii="Andes" w:hAnsi="Andes" w:cs="Arial"/>
          <w:sz w:val="22"/>
          <w:szCs w:val="22"/>
        </w:rPr>
        <w:t>d’une entité donné</w:t>
      </w:r>
      <w:proofErr w:type="gramEnd"/>
      <w:r w:rsidRPr="00332FCD">
        <w:rPr>
          <w:rFonts w:ascii="Andes" w:hAnsi="Andes" w:cs="Arial"/>
          <w:sz w:val="22"/>
          <w:szCs w:val="22"/>
        </w:rPr>
        <w:t>.</w:t>
      </w:r>
      <w:r w:rsidR="0078212A" w:rsidRPr="00332FCD">
        <w:rPr>
          <w:rFonts w:ascii="Andes" w:hAnsi="Andes" w:cs="Arial"/>
          <w:sz w:val="22"/>
          <w:szCs w:val="22"/>
        </w:rPr>
        <w:t xml:space="preserve"> </w:t>
      </w:r>
      <w:r w:rsidR="00115D13" w:rsidRPr="00332FCD">
        <w:rPr>
          <w:rFonts w:ascii="Andes" w:hAnsi="Andes" w:cs="Arial"/>
          <w:sz w:val="22"/>
          <w:szCs w:val="22"/>
        </w:rPr>
        <w:t xml:space="preserve">Lorsque, en application de ladite décision, le pays de l’Emprunteur interdit tout paiement à une entreprise donnée ou au titre de Fournitures bien déterminées, cette entreprise peut être exclue. </w:t>
      </w:r>
    </w:p>
    <w:p w14:paraId="382A1ED8" w14:textId="6339D8EF" w:rsidR="00A31460" w:rsidRPr="00332FCD" w:rsidRDefault="009F5E69" w:rsidP="00DA3824">
      <w:pPr>
        <w:pStyle w:val="Paragraphedeliste"/>
        <w:numPr>
          <w:ilvl w:val="0"/>
          <w:numId w:val="148"/>
        </w:numPr>
        <w:spacing w:before="0" w:line="240" w:lineRule="auto"/>
        <w:contextualSpacing w:val="0"/>
        <w:rPr>
          <w:rFonts w:ascii="Andes" w:hAnsi="Andes" w:cs="Arial"/>
          <w:sz w:val="22"/>
          <w:szCs w:val="22"/>
        </w:rPr>
      </w:pPr>
      <w:bookmarkStart w:id="311" w:name="_Ref453064492"/>
      <w:r w:rsidRPr="00332FCD">
        <w:rPr>
          <w:rFonts w:ascii="Andes" w:hAnsi="Andes" w:cs="Arial"/>
          <w:sz w:val="22"/>
          <w:szCs w:val="22"/>
        </w:rPr>
        <w:t>Les entreprises ou institutions publiques (EIP) du pays de l’</w:t>
      </w:r>
      <w:r w:rsidR="00FE21F1" w:rsidRPr="00332FCD">
        <w:rPr>
          <w:rFonts w:ascii="Andes" w:hAnsi="Andes" w:cs="Arial"/>
          <w:sz w:val="22"/>
          <w:szCs w:val="22"/>
        </w:rPr>
        <w:t xml:space="preserve">Emprunteur </w:t>
      </w:r>
      <w:r w:rsidRPr="00332FCD">
        <w:rPr>
          <w:rFonts w:ascii="Andes" w:hAnsi="Andes" w:cs="Arial"/>
          <w:sz w:val="22"/>
          <w:szCs w:val="22"/>
        </w:rPr>
        <w:t>sont admises à concourir et à être attributaires de marché dans</w:t>
      </w:r>
      <w:r w:rsidR="00486ED2" w:rsidRPr="00332FCD">
        <w:rPr>
          <w:rFonts w:ascii="Andes" w:hAnsi="Andes" w:cs="Arial"/>
          <w:sz w:val="22"/>
          <w:szCs w:val="22"/>
        </w:rPr>
        <w:t xml:space="preserve"> le</w:t>
      </w:r>
      <w:r w:rsidRPr="00332FCD">
        <w:rPr>
          <w:rFonts w:ascii="Andes" w:hAnsi="Andes" w:cs="Arial"/>
          <w:sz w:val="22"/>
          <w:szCs w:val="22"/>
        </w:rPr>
        <w:t>dit pays</w:t>
      </w:r>
      <w:r w:rsidR="00486ED2" w:rsidRPr="00332FCD">
        <w:rPr>
          <w:rFonts w:ascii="Andes" w:hAnsi="Andes" w:cs="Arial"/>
          <w:sz w:val="22"/>
          <w:szCs w:val="22"/>
        </w:rPr>
        <w:t>,</w:t>
      </w:r>
      <w:r w:rsidRPr="00332FCD">
        <w:rPr>
          <w:rFonts w:ascii="Andes" w:hAnsi="Andes" w:cs="Arial"/>
          <w:sz w:val="22"/>
          <w:szCs w:val="22"/>
        </w:rPr>
        <w:t xml:space="preserve"> uniquement si elles peuvent établir</w:t>
      </w:r>
      <w:r w:rsidR="00FE21F1" w:rsidRPr="00332FCD">
        <w:rPr>
          <w:rFonts w:ascii="Andes" w:hAnsi="Andes" w:cs="Arial"/>
          <w:sz w:val="22"/>
          <w:szCs w:val="22"/>
        </w:rPr>
        <w:t xml:space="preserve"> d’une façon jugée acceptable par la Banque</w:t>
      </w:r>
      <w:bookmarkEnd w:id="311"/>
      <w:r w:rsidR="00730BDF" w:rsidRPr="00332FCD">
        <w:rPr>
          <w:rFonts w:ascii="Calibri" w:hAnsi="Calibri" w:cs="Calibri"/>
          <w:sz w:val="22"/>
          <w:szCs w:val="22"/>
        </w:rPr>
        <w:t> </w:t>
      </w:r>
      <w:r w:rsidR="00730BDF" w:rsidRPr="00332FCD">
        <w:rPr>
          <w:rFonts w:ascii="Andes" w:hAnsi="Andes" w:cs="Arial"/>
          <w:sz w:val="22"/>
          <w:szCs w:val="22"/>
        </w:rPr>
        <w:t>:</w:t>
      </w:r>
    </w:p>
    <w:p w14:paraId="42EE04AF" w14:textId="1EED948A" w:rsidR="00A31460" w:rsidRPr="00332FCD" w:rsidRDefault="009F5E69" w:rsidP="00DA3824">
      <w:pPr>
        <w:pStyle w:val="Paragraphedeliste"/>
        <w:numPr>
          <w:ilvl w:val="0"/>
          <w:numId w:val="121"/>
        </w:numPr>
        <w:tabs>
          <w:tab w:val="left" w:pos="720"/>
        </w:tabs>
        <w:spacing w:before="0" w:line="240" w:lineRule="auto"/>
        <w:contextualSpacing w:val="0"/>
        <w:rPr>
          <w:rFonts w:ascii="Andes" w:hAnsi="Andes" w:cs="Arial"/>
          <w:sz w:val="22"/>
          <w:szCs w:val="22"/>
        </w:rPr>
      </w:pPr>
      <w:r w:rsidRPr="00332FCD">
        <w:rPr>
          <w:rFonts w:ascii="Andes" w:hAnsi="Andes" w:cs="Arial"/>
          <w:sz w:val="22"/>
          <w:szCs w:val="22"/>
        </w:rPr>
        <w:t>qu’elles sont juridiquement et financièrement autonomes</w:t>
      </w:r>
      <w:r w:rsidR="00730BDF" w:rsidRPr="00332FCD">
        <w:rPr>
          <w:rFonts w:ascii="Calibri" w:hAnsi="Calibri" w:cs="Calibri"/>
          <w:sz w:val="22"/>
          <w:szCs w:val="22"/>
        </w:rPr>
        <w:t> </w:t>
      </w:r>
      <w:r w:rsidR="00730BDF" w:rsidRPr="00332FCD">
        <w:rPr>
          <w:rFonts w:ascii="Andes" w:hAnsi="Andes" w:cs="Arial"/>
          <w:sz w:val="22"/>
          <w:szCs w:val="22"/>
        </w:rPr>
        <w:t>;</w:t>
      </w:r>
    </w:p>
    <w:p w14:paraId="40367A9A" w14:textId="06BF549B" w:rsidR="00A31460" w:rsidRPr="00332FCD" w:rsidRDefault="009F5E69" w:rsidP="00DA3824">
      <w:pPr>
        <w:pStyle w:val="Paragraphedeliste"/>
        <w:numPr>
          <w:ilvl w:val="0"/>
          <w:numId w:val="121"/>
        </w:numPr>
        <w:tabs>
          <w:tab w:val="left" w:pos="720"/>
        </w:tabs>
        <w:spacing w:before="0" w:line="240" w:lineRule="auto"/>
        <w:contextualSpacing w:val="0"/>
        <w:rPr>
          <w:rFonts w:ascii="Andes" w:hAnsi="Andes" w:cs="Arial"/>
          <w:sz w:val="22"/>
          <w:szCs w:val="22"/>
        </w:rPr>
      </w:pPr>
      <w:r w:rsidRPr="00332FCD">
        <w:rPr>
          <w:rFonts w:ascii="Andes" w:hAnsi="Andes" w:cs="Arial"/>
          <w:sz w:val="22"/>
          <w:szCs w:val="22"/>
        </w:rPr>
        <w:lastRenderedPageBreak/>
        <w:t>qu’elles opèrent selon les règles du droit commercial</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et</w:t>
      </w:r>
    </w:p>
    <w:p w14:paraId="050A354C" w14:textId="2A31FE77" w:rsidR="00C811D2" w:rsidRPr="00332FCD" w:rsidRDefault="009F5E69" w:rsidP="00DA3824">
      <w:pPr>
        <w:pStyle w:val="Paragraphedeliste"/>
        <w:numPr>
          <w:ilvl w:val="0"/>
          <w:numId w:val="121"/>
        </w:numPr>
        <w:tabs>
          <w:tab w:val="left" w:pos="720"/>
        </w:tabs>
        <w:spacing w:before="0" w:line="240" w:lineRule="auto"/>
        <w:contextualSpacing w:val="0"/>
        <w:rPr>
          <w:rFonts w:ascii="Andes" w:hAnsi="Andes" w:cs="Arial"/>
          <w:sz w:val="22"/>
          <w:szCs w:val="22"/>
        </w:rPr>
      </w:pPr>
      <w:r w:rsidRPr="00332FCD">
        <w:rPr>
          <w:rFonts w:ascii="Andes" w:hAnsi="Andes" w:cs="Arial"/>
          <w:sz w:val="22"/>
          <w:szCs w:val="22"/>
        </w:rPr>
        <w:t>qu’elles ne relèvent pas de l’organisme</w:t>
      </w:r>
      <w:r w:rsidR="00486ED2" w:rsidRPr="00332FCD">
        <w:rPr>
          <w:rFonts w:ascii="Andes" w:hAnsi="Andes" w:cs="Arial"/>
          <w:sz w:val="22"/>
          <w:szCs w:val="22"/>
        </w:rPr>
        <w:t xml:space="preserve"> retenant </w:t>
      </w:r>
      <w:r w:rsidRPr="00332FCD">
        <w:rPr>
          <w:rFonts w:ascii="Andes" w:hAnsi="Andes" w:cs="Arial"/>
          <w:sz w:val="22"/>
          <w:szCs w:val="22"/>
        </w:rPr>
        <w:t>leurs services</w:t>
      </w:r>
      <w:r w:rsidR="00687669" w:rsidRPr="00332FCD">
        <w:rPr>
          <w:rFonts w:ascii="Andes" w:hAnsi="Andes" w:cs="Arial"/>
          <w:sz w:val="22"/>
          <w:szCs w:val="22"/>
        </w:rPr>
        <w:t xml:space="preserve">.  </w:t>
      </w:r>
    </w:p>
    <w:p w14:paraId="73AB65CB" w14:textId="5C40D32D" w:rsidR="00C811D2" w:rsidRPr="00332FCD" w:rsidRDefault="00486ED2" w:rsidP="00DA3824">
      <w:pPr>
        <w:pStyle w:val="Paragraphedeliste"/>
        <w:numPr>
          <w:ilvl w:val="0"/>
          <w:numId w:val="148"/>
        </w:numPr>
        <w:spacing w:before="0" w:line="240" w:lineRule="auto"/>
        <w:contextualSpacing w:val="0"/>
        <w:rPr>
          <w:rFonts w:ascii="Andes" w:hAnsi="Andes" w:cs="Arial"/>
          <w:sz w:val="22"/>
          <w:szCs w:val="22"/>
        </w:rPr>
      </w:pPr>
      <w:r w:rsidRPr="00332FCD">
        <w:rPr>
          <w:rFonts w:ascii="Andes" w:hAnsi="Andes" w:cs="Arial"/>
          <w:sz w:val="22"/>
          <w:szCs w:val="22"/>
        </w:rPr>
        <w:t xml:space="preserve">Par exception au </w:t>
      </w:r>
      <w:r w:rsidR="00F43E5A" w:rsidRPr="00332FCD">
        <w:rPr>
          <w:rFonts w:ascii="Andes" w:hAnsi="Andes" w:cs="Arial"/>
          <w:sz w:val="22"/>
          <w:szCs w:val="22"/>
        </w:rPr>
        <w:t>paragraphe</w:t>
      </w:r>
      <w:r w:rsidR="00F43E5A" w:rsidRPr="00332FCD">
        <w:rPr>
          <w:rFonts w:ascii="Calibri" w:hAnsi="Calibri" w:cs="Calibri"/>
          <w:sz w:val="22"/>
          <w:szCs w:val="22"/>
        </w:rPr>
        <w:t> </w:t>
      </w:r>
      <w:r w:rsidR="001D06DD" w:rsidRPr="00332FCD">
        <w:rPr>
          <w:rFonts w:ascii="Andes" w:hAnsi="Andes" w:cs="Arial"/>
          <w:sz w:val="22"/>
          <w:szCs w:val="22"/>
        </w:rPr>
        <w:t>3.2</w:t>
      </w:r>
      <w:r w:rsidR="007D4297">
        <w:rPr>
          <w:rFonts w:ascii="Andes" w:hAnsi="Andes" w:cs="Arial"/>
          <w:sz w:val="22"/>
          <w:szCs w:val="22"/>
        </w:rPr>
        <w:t>2</w:t>
      </w:r>
      <w:r w:rsidR="001D06DD" w:rsidRPr="00332FCD">
        <w:rPr>
          <w:rFonts w:ascii="Andes" w:hAnsi="Andes" w:cs="Arial"/>
          <w:sz w:val="22"/>
          <w:szCs w:val="22"/>
        </w:rPr>
        <w:t xml:space="preserve"> </w:t>
      </w:r>
      <w:r w:rsidR="00175A0B" w:rsidRPr="00332FCD">
        <w:rPr>
          <w:rFonts w:ascii="Andes" w:hAnsi="Andes" w:cs="Arial"/>
          <w:sz w:val="22"/>
          <w:szCs w:val="22"/>
        </w:rPr>
        <w:fldChar w:fldCharType="begin"/>
      </w:r>
      <w:r w:rsidR="00175A0B" w:rsidRPr="00332FCD">
        <w:rPr>
          <w:rFonts w:ascii="Andes" w:hAnsi="Andes" w:cs="Arial"/>
          <w:sz w:val="22"/>
          <w:szCs w:val="22"/>
        </w:rPr>
        <w:instrText xml:space="preserve"> REF _Ref453064492 \r \h </w:instrText>
      </w:r>
      <w:r w:rsidR="000C3B06" w:rsidRPr="00332FCD">
        <w:rPr>
          <w:rFonts w:ascii="Andes" w:hAnsi="Andes" w:cs="Arial"/>
          <w:sz w:val="22"/>
          <w:szCs w:val="22"/>
        </w:rPr>
        <w:instrText xml:space="preserve"> \* MERGEFORMAT </w:instrText>
      </w:r>
      <w:r w:rsidR="00175A0B" w:rsidRPr="00332FCD">
        <w:rPr>
          <w:rFonts w:ascii="Andes" w:hAnsi="Andes" w:cs="Arial"/>
          <w:sz w:val="22"/>
          <w:szCs w:val="22"/>
        </w:rPr>
      </w:r>
      <w:r w:rsidR="00175A0B" w:rsidRPr="00332FCD">
        <w:rPr>
          <w:rFonts w:ascii="Andes" w:hAnsi="Andes" w:cs="Arial"/>
          <w:sz w:val="22"/>
          <w:szCs w:val="22"/>
        </w:rPr>
        <w:fldChar w:fldCharType="separate"/>
      </w:r>
      <w:r w:rsidR="00066A4E">
        <w:rPr>
          <w:rFonts w:ascii="Andes" w:hAnsi="Andes" w:cs="Arial"/>
          <w:sz w:val="22"/>
          <w:szCs w:val="22"/>
        </w:rPr>
        <w:t>b</w:t>
      </w:r>
      <w:r w:rsidR="00175A0B" w:rsidRPr="00332FCD">
        <w:rPr>
          <w:rFonts w:ascii="Andes" w:hAnsi="Andes" w:cs="Arial"/>
          <w:sz w:val="22"/>
          <w:szCs w:val="22"/>
        </w:rPr>
        <w:fldChar w:fldCharType="end"/>
      </w:r>
      <w:r w:rsidR="00683450" w:rsidRPr="00332FCD">
        <w:rPr>
          <w:rFonts w:ascii="Andes" w:hAnsi="Andes" w:cs="Arial"/>
          <w:sz w:val="22"/>
          <w:szCs w:val="22"/>
        </w:rPr>
        <w:t>.</w:t>
      </w:r>
      <w:r w:rsidR="00BE3D40" w:rsidRPr="00332FCD">
        <w:rPr>
          <w:rFonts w:ascii="Andes" w:hAnsi="Andes" w:cs="Arial"/>
          <w:sz w:val="22"/>
          <w:szCs w:val="22"/>
        </w:rPr>
        <w:t xml:space="preserve">, </w:t>
      </w:r>
      <w:r w:rsidRPr="00332FCD">
        <w:rPr>
          <w:rFonts w:ascii="Andes" w:hAnsi="Andes" w:cs="Arial"/>
          <w:sz w:val="22"/>
          <w:szCs w:val="22"/>
        </w:rPr>
        <w:t xml:space="preserve">lorsque les Fournitures, les Travaux, les Services Autres que des Services de Consultants ou les Services de Consultants assurés par des EIP, des universités d’État, des centres de recherche ou des institutions sont d’un caractère unique ou exceptionnel en raison de l’absence de solution adéquate dans le secteur privé, </w:t>
      </w:r>
      <w:r w:rsidR="00BD12A1" w:rsidRPr="00332FCD">
        <w:rPr>
          <w:rFonts w:ascii="Andes" w:hAnsi="Andes" w:cs="Arial"/>
          <w:sz w:val="22"/>
          <w:szCs w:val="22"/>
        </w:rPr>
        <w:t>ou du fait du cadre réglementaire, ou encore parce que</w:t>
      </w:r>
      <w:r w:rsidR="00FE21F1" w:rsidRPr="00332FCD">
        <w:rPr>
          <w:rFonts w:ascii="Andes" w:hAnsi="Andes" w:cs="Arial"/>
          <w:sz w:val="22"/>
          <w:szCs w:val="22"/>
        </w:rPr>
        <w:t xml:space="preserve"> la </w:t>
      </w:r>
      <w:r w:rsidR="00BD12A1" w:rsidRPr="00332FCD">
        <w:rPr>
          <w:rFonts w:ascii="Andes" w:hAnsi="Andes" w:cs="Arial"/>
          <w:sz w:val="22"/>
          <w:szCs w:val="22"/>
        </w:rPr>
        <w:t xml:space="preserve">participation </w:t>
      </w:r>
      <w:r w:rsidR="00FE21F1" w:rsidRPr="00332FCD">
        <w:rPr>
          <w:rFonts w:ascii="Andes" w:hAnsi="Andes" w:cs="Arial"/>
          <w:sz w:val="22"/>
          <w:szCs w:val="22"/>
        </w:rPr>
        <w:t xml:space="preserve">de ces entités </w:t>
      </w:r>
      <w:r w:rsidR="00BD12A1" w:rsidRPr="00332FCD">
        <w:rPr>
          <w:rFonts w:ascii="Andes" w:hAnsi="Andes" w:cs="Arial"/>
          <w:sz w:val="22"/>
          <w:szCs w:val="22"/>
        </w:rPr>
        <w:t>est indispensable à l’exécution du projet, la Banque peut accepter de retenir</w:t>
      </w:r>
      <w:r w:rsidR="00FE21F1" w:rsidRPr="00332FCD">
        <w:rPr>
          <w:rFonts w:ascii="Andes" w:hAnsi="Andes" w:cs="Arial"/>
          <w:sz w:val="22"/>
          <w:szCs w:val="22"/>
        </w:rPr>
        <w:t xml:space="preserve"> leurs </w:t>
      </w:r>
      <w:r w:rsidR="00BD12A1" w:rsidRPr="00332FCD">
        <w:rPr>
          <w:rFonts w:ascii="Andes" w:hAnsi="Andes" w:cs="Arial"/>
          <w:sz w:val="22"/>
          <w:szCs w:val="22"/>
        </w:rPr>
        <w:t xml:space="preserve">services au cas par cas. </w:t>
      </w:r>
    </w:p>
    <w:p w14:paraId="116D1E00" w14:textId="501CF38C" w:rsidR="00C54001" w:rsidRPr="00332FCD" w:rsidRDefault="00BD12A1" w:rsidP="00DA3824">
      <w:pPr>
        <w:pStyle w:val="Paragraphedeliste"/>
        <w:numPr>
          <w:ilvl w:val="0"/>
          <w:numId w:val="148"/>
        </w:numPr>
        <w:spacing w:before="0" w:line="240" w:lineRule="auto"/>
        <w:contextualSpacing w:val="0"/>
        <w:rPr>
          <w:rFonts w:ascii="Andes" w:hAnsi="Andes" w:cs="Arial"/>
          <w:sz w:val="22"/>
          <w:szCs w:val="22"/>
        </w:rPr>
      </w:pPr>
      <w:r w:rsidRPr="00332FCD">
        <w:rPr>
          <w:rFonts w:ascii="Andes" w:hAnsi="Andes" w:cs="Arial"/>
          <w:sz w:val="22"/>
          <w:szCs w:val="22"/>
        </w:rPr>
        <w:t>Au cas par cas, la Banque peut accepter d’engager des responsables d’administrations publiques et des fonctionnaires du pays de l’Emprunteur dans le cadre de contrats de Consultants dans ledit pays, soit individuellement soit comme membre de l’équipe d’experts proposé</w:t>
      </w:r>
      <w:r w:rsidR="00E120EF" w:rsidRPr="00332FCD">
        <w:rPr>
          <w:rFonts w:ascii="Andes" w:hAnsi="Andes" w:cs="Arial"/>
          <w:sz w:val="22"/>
          <w:szCs w:val="22"/>
        </w:rPr>
        <w:t>e</w:t>
      </w:r>
      <w:r w:rsidRPr="00332FCD">
        <w:rPr>
          <w:rFonts w:ascii="Andes" w:hAnsi="Andes" w:cs="Arial"/>
          <w:sz w:val="22"/>
          <w:szCs w:val="22"/>
        </w:rPr>
        <w:t xml:space="preserve"> par</w:t>
      </w:r>
      <w:r w:rsidR="005143B3" w:rsidRPr="00332FCD">
        <w:rPr>
          <w:rFonts w:ascii="Andes" w:hAnsi="Andes" w:cs="Arial"/>
          <w:sz w:val="22"/>
          <w:szCs w:val="22"/>
        </w:rPr>
        <w:t xml:space="preserve"> un </w:t>
      </w:r>
      <w:r w:rsidR="00051F54" w:rsidRPr="00332FCD">
        <w:rPr>
          <w:rFonts w:ascii="Andes" w:hAnsi="Andes" w:cs="Arial"/>
          <w:sz w:val="22"/>
          <w:szCs w:val="22"/>
        </w:rPr>
        <w:t>cabinet de consultants</w:t>
      </w:r>
      <w:r w:rsidRPr="00332FCD">
        <w:rPr>
          <w:rFonts w:ascii="Andes" w:hAnsi="Andes" w:cs="Arial"/>
          <w:sz w:val="22"/>
          <w:szCs w:val="22"/>
        </w:rPr>
        <w:t>, uniquement lorsque</w:t>
      </w:r>
      <w:r w:rsidR="005143B3" w:rsidRPr="00332FCD">
        <w:rPr>
          <w:rFonts w:ascii="Calibri" w:hAnsi="Calibri" w:cs="Arial"/>
          <w:sz w:val="22"/>
          <w:szCs w:val="22"/>
        </w:rPr>
        <w:t> </w:t>
      </w:r>
      <w:r w:rsidRPr="00332FCD">
        <w:rPr>
          <w:rFonts w:ascii="Andes" w:hAnsi="Andes" w:cs="Arial"/>
          <w:sz w:val="22"/>
          <w:szCs w:val="22"/>
        </w:rPr>
        <w:t xml:space="preserve">: </w:t>
      </w:r>
    </w:p>
    <w:p w14:paraId="2224A637" w14:textId="04278EC4" w:rsidR="000031BA" w:rsidRPr="00332FCD" w:rsidRDefault="00E120EF" w:rsidP="00DA3824">
      <w:pPr>
        <w:pStyle w:val="Paragraphedeliste"/>
        <w:numPr>
          <w:ilvl w:val="0"/>
          <w:numId w:val="122"/>
        </w:numPr>
        <w:tabs>
          <w:tab w:val="left" w:pos="720"/>
        </w:tabs>
        <w:spacing w:before="0" w:line="240" w:lineRule="auto"/>
        <w:contextualSpacing w:val="0"/>
        <w:rPr>
          <w:rFonts w:ascii="Andes" w:hAnsi="Andes" w:cs="Arial"/>
          <w:sz w:val="22"/>
          <w:szCs w:val="22"/>
        </w:rPr>
      </w:pPr>
      <w:r w:rsidRPr="00332FCD">
        <w:rPr>
          <w:rFonts w:ascii="Andes" w:hAnsi="Andes" w:cs="Arial"/>
          <w:sz w:val="22"/>
          <w:szCs w:val="22"/>
        </w:rPr>
        <w:t>leurs services sont d’un caractère unique et exceptionnel, ou leur participation est indispensable à l’exécution du projet</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w:t>
      </w:r>
    </w:p>
    <w:p w14:paraId="73095901" w14:textId="21FCE181" w:rsidR="000031BA" w:rsidRPr="00332FCD" w:rsidRDefault="00E120EF" w:rsidP="00DA3824">
      <w:pPr>
        <w:pStyle w:val="Paragraphedeliste"/>
        <w:numPr>
          <w:ilvl w:val="0"/>
          <w:numId w:val="122"/>
        </w:numPr>
        <w:tabs>
          <w:tab w:val="left" w:pos="720"/>
        </w:tabs>
        <w:spacing w:before="0" w:line="240" w:lineRule="auto"/>
        <w:contextualSpacing w:val="0"/>
        <w:rPr>
          <w:rFonts w:ascii="Andes" w:hAnsi="Andes" w:cs="Arial"/>
          <w:sz w:val="22"/>
          <w:szCs w:val="22"/>
        </w:rPr>
      </w:pPr>
      <w:r w:rsidRPr="00332FCD">
        <w:rPr>
          <w:rFonts w:ascii="Andes" w:hAnsi="Andes" w:cs="Arial"/>
          <w:sz w:val="22"/>
          <w:szCs w:val="22"/>
        </w:rPr>
        <w:t>leur engagement ne créera pas</w:t>
      </w:r>
      <w:r w:rsidR="005143B3" w:rsidRPr="00332FCD">
        <w:rPr>
          <w:rFonts w:ascii="Andes" w:hAnsi="Andes" w:cs="Arial"/>
          <w:sz w:val="22"/>
          <w:szCs w:val="22"/>
        </w:rPr>
        <w:t xml:space="preserve"> de </w:t>
      </w:r>
      <w:r w:rsidRPr="00332FCD">
        <w:rPr>
          <w:rFonts w:ascii="Andes" w:hAnsi="Andes" w:cs="Arial"/>
          <w:sz w:val="22"/>
          <w:szCs w:val="22"/>
        </w:rPr>
        <w:t>conflit d’intérêts</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et</w:t>
      </w:r>
    </w:p>
    <w:p w14:paraId="48A87113" w14:textId="3C8969BE" w:rsidR="00C811D2" w:rsidRPr="00332FCD" w:rsidRDefault="00E120EF" w:rsidP="00DA3824">
      <w:pPr>
        <w:pStyle w:val="Paragraphedeliste"/>
        <w:numPr>
          <w:ilvl w:val="0"/>
          <w:numId w:val="122"/>
        </w:numPr>
        <w:tabs>
          <w:tab w:val="left" w:pos="720"/>
        </w:tabs>
        <w:spacing w:before="0" w:line="240" w:lineRule="auto"/>
        <w:contextualSpacing w:val="0"/>
        <w:rPr>
          <w:rFonts w:ascii="Andes" w:hAnsi="Andes" w:cs="Arial"/>
          <w:sz w:val="22"/>
          <w:szCs w:val="22"/>
        </w:rPr>
      </w:pPr>
      <w:r w:rsidRPr="00332FCD">
        <w:rPr>
          <w:rFonts w:ascii="Andes" w:hAnsi="Andes" w:cs="Arial"/>
          <w:sz w:val="22"/>
          <w:szCs w:val="22"/>
        </w:rPr>
        <w:t xml:space="preserve">leur engagement n’enfreint aucune loi, réglementation ou politique de l’Emprunteur. </w:t>
      </w:r>
    </w:p>
    <w:p w14:paraId="0106CD88" w14:textId="559587F3" w:rsidR="005A60DF" w:rsidRPr="00332FCD" w:rsidRDefault="000119F2" w:rsidP="00DA3824">
      <w:pPr>
        <w:pStyle w:val="Paragraphedeliste"/>
        <w:numPr>
          <w:ilvl w:val="0"/>
          <w:numId w:val="148"/>
        </w:numPr>
        <w:spacing w:before="0" w:line="240" w:lineRule="auto"/>
        <w:contextualSpacing w:val="0"/>
        <w:rPr>
          <w:rFonts w:ascii="Andes" w:hAnsi="Andes" w:cs="Arial"/>
          <w:sz w:val="22"/>
          <w:szCs w:val="22"/>
        </w:rPr>
      </w:pPr>
      <w:r w:rsidRPr="00332FCD">
        <w:rPr>
          <w:rFonts w:ascii="Andes" w:hAnsi="Andes" w:cs="Arial"/>
          <w:sz w:val="22"/>
          <w:szCs w:val="22"/>
        </w:rPr>
        <w:t xml:space="preserve">Sont exclues les entreprises ou </w:t>
      </w:r>
      <w:r w:rsidR="009778AC" w:rsidRPr="00332FCD">
        <w:rPr>
          <w:rFonts w:ascii="Andes" w:hAnsi="Andes" w:cs="Arial"/>
          <w:sz w:val="22"/>
          <w:szCs w:val="22"/>
        </w:rPr>
        <w:t>personne</w:t>
      </w:r>
      <w:r w:rsidRPr="00332FCD">
        <w:rPr>
          <w:rFonts w:ascii="Andes" w:hAnsi="Andes" w:cs="Arial"/>
          <w:sz w:val="22"/>
          <w:szCs w:val="22"/>
        </w:rPr>
        <w:t>s</w:t>
      </w:r>
      <w:r w:rsidR="009778AC" w:rsidRPr="00332FCD">
        <w:rPr>
          <w:rFonts w:ascii="Andes" w:hAnsi="Andes" w:cs="Arial"/>
          <w:sz w:val="22"/>
          <w:szCs w:val="22"/>
        </w:rPr>
        <w:t xml:space="preserve"> physique</w:t>
      </w:r>
      <w:r w:rsidRPr="00332FCD">
        <w:rPr>
          <w:rFonts w:ascii="Andes" w:hAnsi="Andes" w:cs="Arial"/>
          <w:sz w:val="22"/>
          <w:szCs w:val="22"/>
        </w:rPr>
        <w:t>s</w:t>
      </w:r>
      <w:r w:rsidR="009778AC" w:rsidRPr="00332FCD">
        <w:rPr>
          <w:rFonts w:ascii="Andes" w:hAnsi="Andes" w:cs="Arial"/>
          <w:sz w:val="22"/>
          <w:szCs w:val="22"/>
        </w:rPr>
        <w:t xml:space="preserve"> déclarée</w:t>
      </w:r>
      <w:r w:rsidRPr="00332FCD">
        <w:rPr>
          <w:rFonts w:ascii="Andes" w:hAnsi="Andes" w:cs="Arial"/>
          <w:sz w:val="22"/>
          <w:szCs w:val="22"/>
        </w:rPr>
        <w:t>s</w:t>
      </w:r>
      <w:r w:rsidR="009778AC" w:rsidRPr="00332FCD">
        <w:rPr>
          <w:rFonts w:ascii="Andes" w:hAnsi="Andes" w:cs="Arial"/>
          <w:sz w:val="22"/>
          <w:szCs w:val="22"/>
        </w:rPr>
        <w:t xml:space="preserve"> inéligible</w:t>
      </w:r>
      <w:r w:rsidRPr="00332FCD">
        <w:rPr>
          <w:rFonts w:ascii="Andes" w:hAnsi="Andes" w:cs="Arial"/>
          <w:sz w:val="22"/>
          <w:szCs w:val="22"/>
        </w:rPr>
        <w:t>s</w:t>
      </w:r>
      <w:r w:rsidR="009778AC" w:rsidRPr="00332FCD">
        <w:rPr>
          <w:rFonts w:ascii="Andes" w:hAnsi="Andes" w:cs="Arial"/>
          <w:sz w:val="22"/>
          <w:szCs w:val="22"/>
        </w:rPr>
        <w:t>, sanctionné</w:t>
      </w:r>
      <w:r w:rsidR="00E00D78" w:rsidRPr="00332FCD">
        <w:rPr>
          <w:rFonts w:ascii="Andes" w:hAnsi="Andes" w:cs="Arial"/>
          <w:sz w:val="22"/>
          <w:szCs w:val="22"/>
        </w:rPr>
        <w:t>e</w:t>
      </w:r>
      <w:r w:rsidRPr="00332FCD">
        <w:rPr>
          <w:rFonts w:ascii="Andes" w:hAnsi="Andes" w:cs="Arial"/>
          <w:sz w:val="22"/>
          <w:szCs w:val="22"/>
        </w:rPr>
        <w:t>s</w:t>
      </w:r>
      <w:r w:rsidR="009778AC" w:rsidRPr="00332FCD">
        <w:rPr>
          <w:rFonts w:ascii="Andes" w:hAnsi="Andes" w:cs="Arial"/>
          <w:sz w:val="22"/>
          <w:szCs w:val="22"/>
        </w:rPr>
        <w:t xml:space="preserve"> en application des Directives</w:t>
      </w:r>
      <w:r w:rsidR="005143B3" w:rsidRPr="00332FCD">
        <w:rPr>
          <w:rFonts w:ascii="Andes" w:hAnsi="Andes" w:cs="Arial"/>
          <w:sz w:val="22"/>
          <w:szCs w:val="22"/>
        </w:rPr>
        <w:t xml:space="preserve"> de la Banque</w:t>
      </w:r>
      <w:r w:rsidR="009778AC" w:rsidRPr="00332FCD">
        <w:rPr>
          <w:rFonts w:ascii="Andes" w:hAnsi="Andes" w:cs="Arial"/>
          <w:sz w:val="22"/>
          <w:szCs w:val="22"/>
        </w:rPr>
        <w:t xml:space="preserve"> pour la lutte contre la corruption et</w:t>
      </w:r>
      <w:r w:rsidR="00E00D78" w:rsidRPr="00332FCD">
        <w:rPr>
          <w:rFonts w:ascii="Andes" w:hAnsi="Andes" w:cs="Arial"/>
          <w:sz w:val="22"/>
          <w:szCs w:val="22"/>
        </w:rPr>
        <w:t xml:space="preserve"> conformément à </w:t>
      </w:r>
      <w:r w:rsidR="009778AC" w:rsidRPr="00332FCD">
        <w:rPr>
          <w:rFonts w:ascii="Andes" w:hAnsi="Andes" w:cs="Arial"/>
          <w:sz w:val="22"/>
          <w:szCs w:val="22"/>
        </w:rPr>
        <w:t>ses politiques et procédures sur les sanctions</w:t>
      </w:r>
      <w:r w:rsidR="005143B3" w:rsidRPr="00332FCD">
        <w:rPr>
          <w:rFonts w:ascii="Andes" w:hAnsi="Andes" w:cs="Arial"/>
          <w:sz w:val="22"/>
          <w:szCs w:val="22"/>
        </w:rPr>
        <w:t xml:space="preserve">, telles qu’énoncées </w:t>
      </w:r>
      <w:r w:rsidR="009778AC" w:rsidRPr="00332FCD">
        <w:rPr>
          <w:rFonts w:ascii="Andes" w:hAnsi="Andes" w:cs="Arial"/>
          <w:sz w:val="22"/>
          <w:szCs w:val="22"/>
        </w:rPr>
        <w:t xml:space="preserve">dans </w:t>
      </w:r>
      <w:r w:rsidR="00E00D78" w:rsidRPr="00332FCD">
        <w:rPr>
          <w:rFonts w:ascii="Andes" w:hAnsi="Andes" w:cs="Arial"/>
          <w:sz w:val="22"/>
          <w:szCs w:val="22"/>
        </w:rPr>
        <w:t>le Système de sanctions du Groupe de la Banque mondiale</w:t>
      </w:r>
      <w:r w:rsidR="00687669" w:rsidRPr="00332FCD">
        <w:rPr>
          <w:rFonts w:ascii="Andes" w:hAnsi="Andes" w:cs="Arial"/>
          <w:sz w:val="22"/>
          <w:szCs w:val="22"/>
        </w:rPr>
        <w:t>.</w:t>
      </w:r>
      <w:r w:rsidR="00E00D78" w:rsidRPr="00332FCD">
        <w:rPr>
          <w:rFonts w:ascii="Andes" w:hAnsi="Andes" w:cs="Arial"/>
          <w:sz w:val="22"/>
          <w:szCs w:val="22"/>
        </w:rPr>
        <w:t xml:space="preserve"> Pour plus de détails</w:t>
      </w:r>
      <w:r w:rsidR="005143B3" w:rsidRPr="00332FCD">
        <w:rPr>
          <w:rFonts w:ascii="Andes" w:hAnsi="Andes" w:cs="Arial"/>
          <w:sz w:val="22"/>
          <w:szCs w:val="22"/>
        </w:rPr>
        <w:t>,</w:t>
      </w:r>
      <w:r w:rsidR="00E00D78" w:rsidRPr="00332FCD">
        <w:rPr>
          <w:rFonts w:ascii="Andes" w:hAnsi="Andes" w:cs="Arial"/>
          <w:sz w:val="22"/>
          <w:szCs w:val="22"/>
        </w:rPr>
        <w:t xml:space="preserve"> voir annexe </w:t>
      </w:r>
      <w:r w:rsidR="005A60DF" w:rsidRPr="00332FCD">
        <w:rPr>
          <w:rFonts w:ascii="Andes" w:hAnsi="Andes" w:cs="Arial"/>
          <w:sz w:val="22"/>
          <w:szCs w:val="22"/>
        </w:rPr>
        <w:t>IV</w:t>
      </w:r>
      <w:r w:rsidR="009F7892" w:rsidRPr="00332FCD">
        <w:rPr>
          <w:rFonts w:ascii="Andes" w:hAnsi="Andes" w:cs="Arial"/>
          <w:sz w:val="22"/>
          <w:szCs w:val="22"/>
        </w:rPr>
        <w:t>,</w:t>
      </w:r>
      <w:r w:rsidR="005A60DF" w:rsidRPr="00332FCD">
        <w:rPr>
          <w:rFonts w:ascii="Andes" w:hAnsi="Andes" w:cs="Arial"/>
          <w:sz w:val="22"/>
          <w:szCs w:val="22"/>
        </w:rPr>
        <w:t xml:space="preserve"> </w:t>
      </w:r>
      <w:r w:rsidR="00E00D78" w:rsidRPr="00332FCD">
        <w:rPr>
          <w:rFonts w:ascii="Andes" w:hAnsi="Andes" w:cs="Arial"/>
          <w:sz w:val="22"/>
          <w:szCs w:val="22"/>
        </w:rPr>
        <w:t>Fraude et corruption</w:t>
      </w:r>
      <w:r w:rsidR="005A60DF" w:rsidRPr="00332FCD">
        <w:rPr>
          <w:rFonts w:ascii="Andes" w:hAnsi="Andes" w:cs="Arial"/>
          <w:sz w:val="22"/>
          <w:szCs w:val="22"/>
        </w:rPr>
        <w:t>.</w:t>
      </w:r>
    </w:p>
    <w:p w14:paraId="7D0795E5" w14:textId="6343CAA2" w:rsidR="005A60DF" w:rsidRDefault="00E00D78" w:rsidP="00DA3824">
      <w:pPr>
        <w:pStyle w:val="Paragraphedeliste"/>
        <w:numPr>
          <w:ilvl w:val="0"/>
          <w:numId w:val="148"/>
        </w:numPr>
        <w:spacing w:before="0" w:line="240" w:lineRule="auto"/>
        <w:contextualSpacing w:val="0"/>
        <w:rPr>
          <w:rFonts w:ascii="Andes" w:hAnsi="Andes" w:cs="Arial"/>
          <w:sz w:val="22"/>
          <w:szCs w:val="22"/>
        </w:rPr>
      </w:pPr>
      <w:r w:rsidRPr="00332FCD">
        <w:rPr>
          <w:rFonts w:ascii="Andes" w:hAnsi="Andes" w:cs="Arial"/>
          <w:sz w:val="22"/>
          <w:szCs w:val="22"/>
        </w:rPr>
        <w:t xml:space="preserve">À la demande de l’Emprunteur, la Banque peut accepter que, dans les marchés qu’elle finance, le </w:t>
      </w:r>
      <w:r w:rsidR="003A07A0" w:rsidRPr="00332FCD">
        <w:rPr>
          <w:rFonts w:ascii="Andes" w:hAnsi="Andes" w:cs="Arial"/>
          <w:sz w:val="22"/>
          <w:szCs w:val="22"/>
        </w:rPr>
        <w:t>dossier d’</w:t>
      </w:r>
      <w:r w:rsidR="00EA107D">
        <w:rPr>
          <w:rFonts w:ascii="Andes" w:hAnsi="Andes" w:cs="Arial"/>
          <w:sz w:val="22"/>
          <w:szCs w:val="22"/>
        </w:rPr>
        <w:t>A</w:t>
      </w:r>
      <w:r w:rsidR="003A07A0" w:rsidRPr="00332FCD">
        <w:rPr>
          <w:rFonts w:ascii="Andes" w:hAnsi="Andes" w:cs="Arial"/>
          <w:sz w:val="22"/>
          <w:szCs w:val="22"/>
        </w:rPr>
        <w:t>ppel</w:t>
      </w:r>
      <w:r w:rsidRPr="00332FCD">
        <w:rPr>
          <w:rFonts w:ascii="Andes" w:hAnsi="Andes" w:cs="Arial"/>
          <w:sz w:val="22"/>
          <w:szCs w:val="22"/>
        </w:rPr>
        <w:t xml:space="preserve"> d’</w:t>
      </w:r>
      <w:r w:rsidR="00EA107D">
        <w:rPr>
          <w:rFonts w:ascii="Andes" w:hAnsi="Andes" w:cs="Arial"/>
          <w:sz w:val="22"/>
          <w:szCs w:val="22"/>
        </w:rPr>
        <w:t>O</w:t>
      </w:r>
      <w:r w:rsidRPr="00332FCD">
        <w:rPr>
          <w:rFonts w:ascii="Andes" w:hAnsi="Andes" w:cs="Arial"/>
          <w:sz w:val="22"/>
          <w:szCs w:val="22"/>
        </w:rPr>
        <w:t>ffres</w:t>
      </w:r>
      <w:r w:rsidR="00F43E5A" w:rsidRPr="00332FCD">
        <w:rPr>
          <w:rFonts w:ascii="Andes" w:hAnsi="Andes" w:cs="Arial"/>
          <w:sz w:val="22"/>
          <w:szCs w:val="22"/>
        </w:rPr>
        <w:t>/</w:t>
      </w:r>
      <w:r w:rsidRPr="00332FCD">
        <w:rPr>
          <w:rFonts w:ascii="Andes" w:hAnsi="Andes" w:cs="Arial"/>
          <w:sz w:val="22"/>
          <w:szCs w:val="22"/>
        </w:rPr>
        <w:t xml:space="preserve">à </w:t>
      </w:r>
      <w:r w:rsidR="00EA107D">
        <w:rPr>
          <w:rFonts w:ascii="Andes" w:hAnsi="Andes" w:cs="Arial"/>
          <w:sz w:val="22"/>
          <w:szCs w:val="22"/>
        </w:rPr>
        <w:t>P</w:t>
      </w:r>
      <w:r w:rsidRPr="00332FCD">
        <w:rPr>
          <w:rFonts w:ascii="Andes" w:hAnsi="Andes" w:cs="Arial"/>
          <w:sz w:val="22"/>
          <w:szCs w:val="22"/>
        </w:rPr>
        <w:t xml:space="preserve">ropositions indique </w:t>
      </w:r>
      <w:r w:rsidR="00F3761E" w:rsidRPr="00332FCD">
        <w:rPr>
          <w:rFonts w:ascii="Andes" w:hAnsi="Andes" w:cs="Arial"/>
          <w:sz w:val="22"/>
          <w:szCs w:val="22"/>
        </w:rPr>
        <w:t>qu’une entreprise ou une personne physique sous le coup d’une mesure d’exclusion des marchés prise par les autorités judiciaires ou administratives compétentes du pays de l’</w:t>
      </w:r>
      <w:r w:rsidR="00F055DB" w:rsidRPr="00332FCD">
        <w:rPr>
          <w:rFonts w:ascii="Andes" w:hAnsi="Andes" w:cs="Arial"/>
          <w:sz w:val="22"/>
          <w:szCs w:val="22"/>
        </w:rPr>
        <w:t>Emprunteur</w:t>
      </w:r>
      <w:r w:rsidR="00E82604" w:rsidRPr="00332FCD">
        <w:rPr>
          <w:rFonts w:ascii="Andes" w:hAnsi="Andes" w:cs="Arial"/>
          <w:sz w:val="22"/>
          <w:szCs w:val="22"/>
        </w:rPr>
        <w:t>,</w:t>
      </w:r>
      <w:r w:rsidR="005143B3" w:rsidRPr="00332FCD">
        <w:rPr>
          <w:rFonts w:ascii="Andes" w:hAnsi="Andes" w:cs="Arial"/>
          <w:sz w:val="22"/>
          <w:szCs w:val="22"/>
        </w:rPr>
        <w:t xml:space="preserve"> conformément à ses lois en la matière</w:t>
      </w:r>
      <w:r w:rsidR="00E82604" w:rsidRPr="00332FCD">
        <w:rPr>
          <w:rFonts w:ascii="Andes" w:hAnsi="Andes" w:cs="Arial"/>
          <w:sz w:val="22"/>
          <w:szCs w:val="22"/>
        </w:rPr>
        <w:t>,</w:t>
      </w:r>
      <w:r w:rsidR="005143B3" w:rsidRPr="00332FCD">
        <w:rPr>
          <w:rFonts w:ascii="Andes" w:hAnsi="Andes" w:cs="Arial"/>
          <w:sz w:val="22"/>
          <w:szCs w:val="22"/>
        </w:rPr>
        <w:t xml:space="preserve"> </w:t>
      </w:r>
      <w:r w:rsidR="00F055DB" w:rsidRPr="00332FCD">
        <w:rPr>
          <w:rFonts w:ascii="Andes" w:hAnsi="Andes" w:cs="Arial"/>
          <w:sz w:val="22"/>
          <w:szCs w:val="22"/>
        </w:rPr>
        <w:t>ne</w:t>
      </w:r>
      <w:r w:rsidR="009428CB" w:rsidRPr="00332FCD">
        <w:rPr>
          <w:rFonts w:ascii="Andes" w:hAnsi="Andes" w:cs="Arial"/>
          <w:sz w:val="22"/>
          <w:szCs w:val="22"/>
        </w:rPr>
        <w:t xml:space="preserve"> pourra </w:t>
      </w:r>
      <w:r w:rsidR="00F055DB" w:rsidRPr="00332FCD">
        <w:rPr>
          <w:rFonts w:ascii="Andes" w:hAnsi="Andes" w:cs="Arial"/>
          <w:sz w:val="22"/>
          <w:szCs w:val="22"/>
        </w:rPr>
        <w:t>prétendre être attributaire d’un marché financé par la Banque, sous réserve</w:t>
      </w:r>
      <w:r w:rsidR="00411E3D" w:rsidRPr="00332FCD">
        <w:rPr>
          <w:rFonts w:ascii="Andes" w:hAnsi="Andes" w:cs="Arial"/>
          <w:sz w:val="22"/>
          <w:szCs w:val="22"/>
        </w:rPr>
        <w:t xml:space="preserve"> qu’il soit établi</w:t>
      </w:r>
      <w:r w:rsidR="00E82604" w:rsidRPr="00332FCD">
        <w:rPr>
          <w:rFonts w:ascii="Andes" w:hAnsi="Andes" w:cs="Arial"/>
          <w:sz w:val="22"/>
          <w:szCs w:val="22"/>
        </w:rPr>
        <w:t>,</w:t>
      </w:r>
      <w:r w:rsidR="00411E3D" w:rsidRPr="00332FCD">
        <w:rPr>
          <w:rFonts w:ascii="Andes" w:hAnsi="Andes" w:cs="Arial"/>
          <w:sz w:val="22"/>
          <w:szCs w:val="22"/>
        </w:rPr>
        <w:t xml:space="preserve"> à la satisfaction de la Banque</w:t>
      </w:r>
      <w:r w:rsidR="00E82604" w:rsidRPr="00332FCD">
        <w:rPr>
          <w:rFonts w:ascii="Andes" w:hAnsi="Andes" w:cs="Arial"/>
          <w:sz w:val="22"/>
          <w:szCs w:val="22"/>
        </w:rPr>
        <w:t>,</w:t>
      </w:r>
      <w:r w:rsidR="00411E3D" w:rsidRPr="00332FCD">
        <w:rPr>
          <w:rFonts w:ascii="Andes" w:hAnsi="Andes" w:cs="Arial"/>
          <w:sz w:val="22"/>
          <w:szCs w:val="22"/>
        </w:rPr>
        <w:t xml:space="preserve"> que l’exclusion tient à</w:t>
      </w:r>
      <w:r w:rsidR="005143B3" w:rsidRPr="00332FCD">
        <w:rPr>
          <w:rFonts w:ascii="Andes" w:hAnsi="Andes" w:cs="Arial"/>
          <w:sz w:val="22"/>
          <w:szCs w:val="22"/>
        </w:rPr>
        <w:t xml:space="preserve"> un acte </w:t>
      </w:r>
      <w:r w:rsidR="00411E3D" w:rsidRPr="00332FCD">
        <w:rPr>
          <w:rFonts w:ascii="Andes" w:hAnsi="Andes" w:cs="Arial"/>
          <w:sz w:val="22"/>
          <w:szCs w:val="22"/>
        </w:rPr>
        <w:t>de Fraude ou de Corruption et qu’elle résulte d’une procédure judiciaire ou administrative respectant les droits de l’entreprise ou de la personne physique</w:t>
      </w:r>
      <w:r w:rsidR="009428CB" w:rsidRPr="00332FCD">
        <w:rPr>
          <w:rFonts w:ascii="Andes" w:hAnsi="Andes" w:cs="Arial"/>
          <w:sz w:val="22"/>
          <w:szCs w:val="22"/>
        </w:rPr>
        <w:t xml:space="preserve"> concernée</w:t>
      </w:r>
      <w:r w:rsidR="00411E3D" w:rsidRPr="00332FCD">
        <w:rPr>
          <w:rFonts w:ascii="Andes" w:hAnsi="Andes" w:cs="Arial"/>
          <w:sz w:val="22"/>
          <w:szCs w:val="22"/>
        </w:rPr>
        <w:t xml:space="preserve">. </w:t>
      </w:r>
    </w:p>
    <w:p w14:paraId="3FBCEF0B" w14:textId="13EFE946" w:rsidR="00FE0251" w:rsidRDefault="002E1134" w:rsidP="00882278">
      <w:pPr>
        <w:pStyle w:val="Paragraphedeliste"/>
        <w:numPr>
          <w:ilvl w:val="1"/>
          <w:numId w:val="138"/>
        </w:numPr>
        <w:spacing w:before="0" w:line="240" w:lineRule="auto"/>
        <w:ind w:left="634" w:hanging="634"/>
        <w:contextualSpacing w:val="0"/>
        <w:rPr>
          <w:rFonts w:ascii="Andes" w:hAnsi="Andes" w:cs="Arial"/>
          <w:sz w:val="22"/>
          <w:szCs w:val="22"/>
        </w:rPr>
      </w:pPr>
      <w:r>
        <w:rPr>
          <w:rFonts w:ascii="Andes" w:hAnsi="Andes" w:cs="Arial"/>
          <w:sz w:val="22"/>
          <w:szCs w:val="22"/>
        </w:rPr>
        <w:t xml:space="preserve"> </w:t>
      </w:r>
      <w:r w:rsidR="00FE0251">
        <w:rPr>
          <w:rFonts w:ascii="Andes" w:hAnsi="Andes" w:cs="Arial"/>
          <w:sz w:val="22"/>
          <w:szCs w:val="22"/>
        </w:rPr>
        <w:t>En exception du Paragraphe 3.22 :</w:t>
      </w:r>
    </w:p>
    <w:p w14:paraId="57DC0C5B" w14:textId="75D4D72D" w:rsidR="00FE0251" w:rsidRPr="003C30CC" w:rsidRDefault="00FE0251" w:rsidP="003C30CC">
      <w:pPr>
        <w:pStyle w:val="Paragraphedeliste"/>
        <w:numPr>
          <w:ilvl w:val="0"/>
          <w:numId w:val="279"/>
        </w:numPr>
        <w:spacing w:before="0" w:line="240" w:lineRule="auto"/>
        <w:ind w:left="1260"/>
        <w:contextualSpacing w:val="0"/>
        <w:rPr>
          <w:rFonts w:ascii="Andes" w:hAnsi="Andes" w:cs="Arial"/>
          <w:sz w:val="22"/>
          <w:szCs w:val="22"/>
        </w:rPr>
      </w:pPr>
      <w:r>
        <w:rPr>
          <w:rFonts w:ascii="Andes" w:hAnsi="Andes" w:cs="Arial"/>
          <w:sz w:val="22"/>
          <w:szCs w:val="22"/>
        </w:rPr>
        <w:t>Une firme disqualifiée par la Banque, en application du Paragraphe 3.3</w:t>
      </w:r>
      <w:r w:rsidR="00BF6039">
        <w:rPr>
          <w:rFonts w:ascii="Andes" w:hAnsi="Andes" w:cs="Arial"/>
          <w:sz w:val="22"/>
          <w:szCs w:val="22"/>
        </w:rPr>
        <w:t>3</w:t>
      </w:r>
      <w:r>
        <w:rPr>
          <w:rFonts w:ascii="Andes" w:hAnsi="Andes" w:cs="Arial"/>
          <w:sz w:val="22"/>
          <w:szCs w:val="22"/>
        </w:rPr>
        <w:t xml:space="preserve"> (non-conformité avec les obligations contractuelles en matière de</w:t>
      </w:r>
      <w:r w:rsidR="006B46BE">
        <w:rPr>
          <w:rFonts w:ascii="Andes" w:hAnsi="Andes" w:cs="Arial"/>
          <w:sz w:val="22"/>
          <w:szCs w:val="22"/>
        </w:rPr>
        <w:t xml:space="preserve"> Prévention et Réponse EAS/HS) doit être exclue d’être attributaire d’un marché financé en tout ou partie par la Banque.</w:t>
      </w:r>
    </w:p>
    <w:p w14:paraId="270E7AF0" w14:textId="73B2B85D" w:rsidR="00724F89" w:rsidRPr="00332FCD" w:rsidRDefault="009428CB" w:rsidP="00DA3824">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312" w:name="_Toc449001161"/>
      <w:bookmarkStart w:id="313" w:name="_Toc449001162"/>
      <w:bookmarkStart w:id="314" w:name="_Toc404234497"/>
      <w:bookmarkStart w:id="315" w:name="_Toc404234699"/>
      <w:bookmarkStart w:id="316" w:name="_Toc404235231"/>
      <w:bookmarkStart w:id="317" w:name="_Toc404235521"/>
      <w:bookmarkStart w:id="318" w:name="_Toc404235698"/>
      <w:bookmarkStart w:id="319" w:name="_Toc404235961"/>
      <w:bookmarkStart w:id="320" w:name="_Toc404236131"/>
      <w:bookmarkStart w:id="321" w:name="_Toc404236301"/>
      <w:bookmarkStart w:id="322" w:name="_Toc404236470"/>
      <w:bookmarkStart w:id="323" w:name="_Toc404236639"/>
      <w:bookmarkStart w:id="324" w:name="_Toc404236807"/>
      <w:bookmarkStart w:id="325" w:name="_Toc404236975"/>
      <w:bookmarkStart w:id="326" w:name="_Toc404755604"/>
      <w:bookmarkStart w:id="327" w:name="_Toc405205395"/>
      <w:bookmarkStart w:id="328" w:name="_Toc404234498"/>
      <w:bookmarkStart w:id="329" w:name="_Toc404234700"/>
      <w:bookmarkStart w:id="330" w:name="_Toc404235232"/>
      <w:bookmarkStart w:id="331" w:name="_Toc404235522"/>
      <w:bookmarkStart w:id="332" w:name="_Toc404235699"/>
      <w:bookmarkStart w:id="333" w:name="_Toc404235962"/>
      <w:bookmarkStart w:id="334" w:name="_Toc404236132"/>
      <w:bookmarkStart w:id="335" w:name="_Toc404236302"/>
      <w:bookmarkStart w:id="336" w:name="_Toc404236471"/>
      <w:bookmarkStart w:id="337" w:name="_Toc404236640"/>
      <w:bookmarkStart w:id="338" w:name="_Toc404236808"/>
      <w:bookmarkStart w:id="339" w:name="_Toc404236976"/>
      <w:bookmarkStart w:id="340" w:name="_Toc404755605"/>
      <w:bookmarkStart w:id="341" w:name="_Toc405205396"/>
      <w:bookmarkStart w:id="342" w:name="_Toc404234499"/>
      <w:bookmarkStart w:id="343" w:name="_Toc404234701"/>
      <w:bookmarkStart w:id="344" w:name="_Toc404235233"/>
      <w:bookmarkStart w:id="345" w:name="_Toc404235523"/>
      <w:bookmarkStart w:id="346" w:name="_Toc404235700"/>
      <w:bookmarkStart w:id="347" w:name="_Toc404235963"/>
      <w:bookmarkStart w:id="348" w:name="_Toc404236133"/>
      <w:bookmarkStart w:id="349" w:name="_Toc404236303"/>
      <w:bookmarkStart w:id="350" w:name="_Toc404236472"/>
      <w:bookmarkStart w:id="351" w:name="_Toc404236641"/>
      <w:bookmarkStart w:id="352" w:name="_Toc404236809"/>
      <w:bookmarkStart w:id="353" w:name="_Toc404236977"/>
      <w:bookmarkStart w:id="354" w:name="_Toc404755606"/>
      <w:bookmarkStart w:id="355" w:name="_Toc405205397"/>
      <w:bookmarkStart w:id="356" w:name="_Toc404234500"/>
      <w:bookmarkStart w:id="357" w:name="_Toc404234702"/>
      <w:bookmarkStart w:id="358" w:name="_Toc404235234"/>
      <w:bookmarkStart w:id="359" w:name="_Toc404235524"/>
      <w:bookmarkStart w:id="360" w:name="_Toc404235701"/>
      <w:bookmarkStart w:id="361" w:name="_Toc404235964"/>
      <w:bookmarkStart w:id="362" w:name="_Toc404236134"/>
      <w:bookmarkStart w:id="363" w:name="_Toc404236304"/>
      <w:bookmarkStart w:id="364" w:name="_Toc404236473"/>
      <w:bookmarkStart w:id="365" w:name="_Toc404236642"/>
      <w:bookmarkStart w:id="366" w:name="_Toc404236810"/>
      <w:bookmarkStart w:id="367" w:name="_Toc404236978"/>
      <w:bookmarkStart w:id="368" w:name="_Toc404755607"/>
      <w:bookmarkStart w:id="369" w:name="_Toc405205398"/>
      <w:bookmarkStart w:id="370" w:name="_Toc404234501"/>
      <w:bookmarkStart w:id="371" w:name="_Toc404234703"/>
      <w:bookmarkStart w:id="372" w:name="_Toc404235235"/>
      <w:bookmarkStart w:id="373" w:name="_Toc404235525"/>
      <w:bookmarkStart w:id="374" w:name="_Toc404235702"/>
      <w:bookmarkStart w:id="375" w:name="_Toc404235965"/>
      <w:bookmarkStart w:id="376" w:name="_Toc404236135"/>
      <w:bookmarkStart w:id="377" w:name="_Toc404236305"/>
      <w:bookmarkStart w:id="378" w:name="_Toc404236474"/>
      <w:bookmarkStart w:id="379" w:name="_Toc404236643"/>
      <w:bookmarkStart w:id="380" w:name="_Toc404236811"/>
      <w:bookmarkStart w:id="381" w:name="_Toc404236979"/>
      <w:bookmarkStart w:id="382" w:name="_Toc404755608"/>
      <w:bookmarkStart w:id="383" w:name="_Toc405205399"/>
      <w:bookmarkStart w:id="384" w:name="_Toc404234502"/>
      <w:bookmarkStart w:id="385" w:name="_Toc404234704"/>
      <w:bookmarkStart w:id="386" w:name="_Toc404235236"/>
      <w:bookmarkStart w:id="387" w:name="_Toc404235526"/>
      <w:bookmarkStart w:id="388" w:name="_Toc404235703"/>
      <w:bookmarkStart w:id="389" w:name="_Toc404235966"/>
      <w:bookmarkStart w:id="390" w:name="_Toc404236136"/>
      <w:bookmarkStart w:id="391" w:name="_Toc404236306"/>
      <w:bookmarkStart w:id="392" w:name="_Toc404236475"/>
      <w:bookmarkStart w:id="393" w:name="_Toc404236644"/>
      <w:bookmarkStart w:id="394" w:name="_Toc404236812"/>
      <w:bookmarkStart w:id="395" w:name="_Toc404236980"/>
      <w:bookmarkStart w:id="396" w:name="_Toc404755609"/>
      <w:bookmarkStart w:id="397" w:name="_Toc405205400"/>
      <w:bookmarkStart w:id="398" w:name="_Toc404234503"/>
      <w:bookmarkStart w:id="399" w:name="_Toc404234705"/>
      <w:bookmarkStart w:id="400" w:name="_Toc404235237"/>
      <w:bookmarkStart w:id="401" w:name="_Toc404235527"/>
      <w:bookmarkStart w:id="402" w:name="_Toc404235704"/>
      <w:bookmarkStart w:id="403" w:name="_Toc404235967"/>
      <w:bookmarkStart w:id="404" w:name="_Toc404236137"/>
      <w:bookmarkStart w:id="405" w:name="_Toc404236307"/>
      <w:bookmarkStart w:id="406" w:name="_Toc404236476"/>
      <w:bookmarkStart w:id="407" w:name="_Toc404236645"/>
      <w:bookmarkStart w:id="408" w:name="_Toc404236813"/>
      <w:bookmarkStart w:id="409" w:name="_Toc404236981"/>
      <w:bookmarkStart w:id="410" w:name="_Toc404755610"/>
      <w:bookmarkStart w:id="411" w:name="_Toc405205401"/>
      <w:bookmarkStart w:id="412" w:name="_Toc404234504"/>
      <w:bookmarkStart w:id="413" w:name="_Toc404234706"/>
      <w:bookmarkStart w:id="414" w:name="_Toc404235238"/>
      <w:bookmarkStart w:id="415" w:name="_Toc404235528"/>
      <w:bookmarkStart w:id="416" w:name="_Toc404235705"/>
      <w:bookmarkStart w:id="417" w:name="_Toc404235968"/>
      <w:bookmarkStart w:id="418" w:name="_Toc404236138"/>
      <w:bookmarkStart w:id="419" w:name="_Toc404236308"/>
      <w:bookmarkStart w:id="420" w:name="_Toc404236477"/>
      <w:bookmarkStart w:id="421" w:name="_Toc404236646"/>
      <w:bookmarkStart w:id="422" w:name="_Toc404236814"/>
      <w:bookmarkStart w:id="423" w:name="_Toc404236982"/>
      <w:bookmarkStart w:id="424" w:name="_Toc404755611"/>
      <w:bookmarkStart w:id="425" w:name="_Toc405205402"/>
      <w:bookmarkStart w:id="426" w:name="_Toc408418405"/>
      <w:bookmarkStart w:id="427" w:name="_Toc409085634"/>
      <w:bookmarkStart w:id="428" w:name="_Toc409085911"/>
      <w:bookmarkStart w:id="429" w:name="_Toc409086188"/>
      <w:bookmarkStart w:id="430" w:name="_Toc409248798"/>
      <w:bookmarkStart w:id="431" w:name="_Toc409255378"/>
      <w:bookmarkStart w:id="432" w:name="_Toc409255658"/>
      <w:bookmarkStart w:id="433" w:name="_Toc409255938"/>
      <w:bookmarkStart w:id="434" w:name="_Toc409256218"/>
      <w:bookmarkStart w:id="435" w:name="_Toc409256498"/>
      <w:bookmarkStart w:id="436" w:name="_Toc409270193"/>
      <w:bookmarkStart w:id="437" w:name="_Toc409270473"/>
      <w:bookmarkStart w:id="438" w:name="_Toc409509081"/>
      <w:bookmarkStart w:id="439" w:name="_Toc409509363"/>
      <w:bookmarkStart w:id="440" w:name="_Toc409509646"/>
      <w:bookmarkStart w:id="441" w:name="_Toc409509929"/>
      <w:bookmarkStart w:id="442" w:name="_Toc409510212"/>
      <w:bookmarkStart w:id="443" w:name="_Toc409595691"/>
      <w:bookmarkStart w:id="444" w:name="_Toc409606866"/>
      <w:bookmarkStart w:id="445" w:name="_Toc408418406"/>
      <w:bookmarkStart w:id="446" w:name="_Toc409085635"/>
      <w:bookmarkStart w:id="447" w:name="_Toc409085912"/>
      <w:bookmarkStart w:id="448" w:name="_Toc409086189"/>
      <w:bookmarkStart w:id="449" w:name="_Toc409248799"/>
      <w:bookmarkStart w:id="450" w:name="_Toc409255379"/>
      <w:bookmarkStart w:id="451" w:name="_Toc409255659"/>
      <w:bookmarkStart w:id="452" w:name="_Toc409255939"/>
      <w:bookmarkStart w:id="453" w:name="_Toc409256219"/>
      <w:bookmarkStart w:id="454" w:name="_Toc409256499"/>
      <w:bookmarkStart w:id="455" w:name="_Toc409270194"/>
      <w:bookmarkStart w:id="456" w:name="_Toc409270474"/>
      <w:bookmarkStart w:id="457" w:name="_Toc409509082"/>
      <w:bookmarkStart w:id="458" w:name="_Toc409509364"/>
      <w:bookmarkStart w:id="459" w:name="_Toc409509647"/>
      <w:bookmarkStart w:id="460" w:name="_Toc409509930"/>
      <w:bookmarkStart w:id="461" w:name="_Toc409510213"/>
      <w:bookmarkStart w:id="462" w:name="_Toc409595692"/>
      <w:bookmarkStart w:id="463" w:name="_Toc409606867"/>
      <w:bookmarkStart w:id="464" w:name="_Toc408418407"/>
      <w:bookmarkStart w:id="465" w:name="_Toc409085636"/>
      <w:bookmarkStart w:id="466" w:name="_Toc409085913"/>
      <w:bookmarkStart w:id="467" w:name="_Toc409086190"/>
      <w:bookmarkStart w:id="468" w:name="_Toc409248800"/>
      <w:bookmarkStart w:id="469" w:name="_Toc409255380"/>
      <w:bookmarkStart w:id="470" w:name="_Toc409255660"/>
      <w:bookmarkStart w:id="471" w:name="_Toc409255940"/>
      <w:bookmarkStart w:id="472" w:name="_Toc409256220"/>
      <w:bookmarkStart w:id="473" w:name="_Toc409256500"/>
      <w:bookmarkStart w:id="474" w:name="_Toc409270195"/>
      <w:bookmarkStart w:id="475" w:name="_Toc409270475"/>
      <w:bookmarkStart w:id="476" w:name="_Toc409509083"/>
      <w:bookmarkStart w:id="477" w:name="_Toc409509365"/>
      <w:bookmarkStart w:id="478" w:name="_Toc409509648"/>
      <w:bookmarkStart w:id="479" w:name="_Toc409509931"/>
      <w:bookmarkStart w:id="480" w:name="_Toc409510214"/>
      <w:bookmarkStart w:id="481" w:name="_Toc409595693"/>
      <w:bookmarkStart w:id="482" w:name="_Toc409606868"/>
      <w:bookmarkStart w:id="483" w:name="_Toc408418408"/>
      <w:bookmarkStart w:id="484" w:name="_Toc409085637"/>
      <w:bookmarkStart w:id="485" w:name="_Toc409085914"/>
      <w:bookmarkStart w:id="486" w:name="_Toc409086191"/>
      <w:bookmarkStart w:id="487" w:name="_Toc409248801"/>
      <w:bookmarkStart w:id="488" w:name="_Toc409255381"/>
      <w:bookmarkStart w:id="489" w:name="_Toc409255661"/>
      <w:bookmarkStart w:id="490" w:name="_Toc409255941"/>
      <w:bookmarkStart w:id="491" w:name="_Toc409256221"/>
      <w:bookmarkStart w:id="492" w:name="_Toc409256501"/>
      <w:bookmarkStart w:id="493" w:name="_Toc409270196"/>
      <w:bookmarkStart w:id="494" w:name="_Toc409270476"/>
      <w:bookmarkStart w:id="495" w:name="_Toc409509084"/>
      <w:bookmarkStart w:id="496" w:name="_Toc409509366"/>
      <w:bookmarkStart w:id="497" w:name="_Toc409509649"/>
      <w:bookmarkStart w:id="498" w:name="_Toc409509932"/>
      <w:bookmarkStart w:id="499" w:name="_Toc409510215"/>
      <w:bookmarkStart w:id="500" w:name="_Toc409595694"/>
      <w:bookmarkStart w:id="501" w:name="_Toc409606869"/>
      <w:bookmarkStart w:id="502" w:name="_Toc408418409"/>
      <w:bookmarkStart w:id="503" w:name="_Toc409085638"/>
      <w:bookmarkStart w:id="504" w:name="_Toc409085915"/>
      <w:bookmarkStart w:id="505" w:name="_Toc409086192"/>
      <w:bookmarkStart w:id="506" w:name="_Toc409248802"/>
      <w:bookmarkStart w:id="507" w:name="_Toc409255382"/>
      <w:bookmarkStart w:id="508" w:name="_Toc409255662"/>
      <w:bookmarkStart w:id="509" w:name="_Toc409255942"/>
      <w:bookmarkStart w:id="510" w:name="_Toc409256222"/>
      <w:bookmarkStart w:id="511" w:name="_Toc409256502"/>
      <w:bookmarkStart w:id="512" w:name="_Toc409270197"/>
      <w:bookmarkStart w:id="513" w:name="_Toc409270477"/>
      <w:bookmarkStart w:id="514" w:name="_Toc409509085"/>
      <w:bookmarkStart w:id="515" w:name="_Toc409509367"/>
      <w:bookmarkStart w:id="516" w:name="_Toc409509650"/>
      <w:bookmarkStart w:id="517" w:name="_Toc409509933"/>
      <w:bookmarkStart w:id="518" w:name="_Toc409510216"/>
      <w:bookmarkStart w:id="519" w:name="_Toc409595695"/>
      <w:bookmarkStart w:id="520" w:name="_Toc409606870"/>
      <w:bookmarkStart w:id="521" w:name="_Toc408418410"/>
      <w:bookmarkStart w:id="522" w:name="_Toc409085639"/>
      <w:bookmarkStart w:id="523" w:name="_Toc409085916"/>
      <w:bookmarkStart w:id="524" w:name="_Toc409086193"/>
      <w:bookmarkStart w:id="525" w:name="_Toc409248803"/>
      <w:bookmarkStart w:id="526" w:name="_Toc409255383"/>
      <w:bookmarkStart w:id="527" w:name="_Toc409255663"/>
      <w:bookmarkStart w:id="528" w:name="_Toc409255943"/>
      <w:bookmarkStart w:id="529" w:name="_Toc409256223"/>
      <w:bookmarkStart w:id="530" w:name="_Toc409256503"/>
      <w:bookmarkStart w:id="531" w:name="_Toc409270198"/>
      <w:bookmarkStart w:id="532" w:name="_Toc409270478"/>
      <w:bookmarkStart w:id="533" w:name="_Toc409509086"/>
      <w:bookmarkStart w:id="534" w:name="_Toc409509368"/>
      <w:bookmarkStart w:id="535" w:name="_Toc409509651"/>
      <w:bookmarkStart w:id="536" w:name="_Toc409509934"/>
      <w:bookmarkStart w:id="537" w:name="_Toc409510217"/>
      <w:bookmarkStart w:id="538" w:name="_Toc409595696"/>
      <w:bookmarkStart w:id="539" w:name="_Toc409606871"/>
      <w:bookmarkStart w:id="540" w:name="_Toc408418411"/>
      <w:bookmarkStart w:id="541" w:name="_Toc409085640"/>
      <w:bookmarkStart w:id="542" w:name="_Toc409085917"/>
      <w:bookmarkStart w:id="543" w:name="_Toc409086194"/>
      <w:bookmarkStart w:id="544" w:name="_Toc409248804"/>
      <w:bookmarkStart w:id="545" w:name="_Toc409255384"/>
      <w:bookmarkStart w:id="546" w:name="_Toc409255664"/>
      <w:bookmarkStart w:id="547" w:name="_Toc409255944"/>
      <w:bookmarkStart w:id="548" w:name="_Toc409256224"/>
      <w:bookmarkStart w:id="549" w:name="_Toc409256504"/>
      <w:bookmarkStart w:id="550" w:name="_Toc409270199"/>
      <w:bookmarkStart w:id="551" w:name="_Toc409270479"/>
      <w:bookmarkStart w:id="552" w:name="_Toc409509087"/>
      <w:bookmarkStart w:id="553" w:name="_Toc409509369"/>
      <w:bookmarkStart w:id="554" w:name="_Toc409509652"/>
      <w:bookmarkStart w:id="555" w:name="_Toc409509935"/>
      <w:bookmarkStart w:id="556" w:name="_Toc409510218"/>
      <w:bookmarkStart w:id="557" w:name="_Toc409595697"/>
      <w:bookmarkStart w:id="558" w:name="_Toc409606872"/>
      <w:bookmarkStart w:id="559" w:name="_Toc408418412"/>
      <w:bookmarkStart w:id="560" w:name="_Toc409085641"/>
      <w:bookmarkStart w:id="561" w:name="_Toc409085918"/>
      <w:bookmarkStart w:id="562" w:name="_Toc409086195"/>
      <w:bookmarkStart w:id="563" w:name="_Toc409248805"/>
      <w:bookmarkStart w:id="564" w:name="_Toc409255385"/>
      <w:bookmarkStart w:id="565" w:name="_Toc409255665"/>
      <w:bookmarkStart w:id="566" w:name="_Toc409255945"/>
      <w:bookmarkStart w:id="567" w:name="_Toc409256225"/>
      <w:bookmarkStart w:id="568" w:name="_Toc409256505"/>
      <w:bookmarkStart w:id="569" w:name="_Toc409270200"/>
      <w:bookmarkStart w:id="570" w:name="_Toc409270480"/>
      <w:bookmarkStart w:id="571" w:name="_Toc409509088"/>
      <w:bookmarkStart w:id="572" w:name="_Toc409509370"/>
      <w:bookmarkStart w:id="573" w:name="_Toc409509653"/>
      <w:bookmarkStart w:id="574" w:name="_Toc409509936"/>
      <w:bookmarkStart w:id="575" w:name="_Toc409510219"/>
      <w:bookmarkStart w:id="576" w:name="_Toc409595698"/>
      <w:bookmarkStart w:id="577" w:name="_Toc409606873"/>
      <w:bookmarkStart w:id="578" w:name="_Toc408418413"/>
      <w:bookmarkStart w:id="579" w:name="_Toc409085642"/>
      <w:bookmarkStart w:id="580" w:name="_Toc409085919"/>
      <w:bookmarkStart w:id="581" w:name="_Toc409086196"/>
      <w:bookmarkStart w:id="582" w:name="_Toc409248806"/>
      <w:bookmarkStart w:id="583" w:name="_Toc409255386"/>
      <w:bookmarkStart w:id="584" w:name="_Toc409255666"/>
      <w:bookmarkStart w:id="585" w:name="_Toc409255946"/>
      <w:bookmarkStart w:id="586" w:name="_Toc409256226"/>
      <w:bookmarkStart w:id="587" w:name="_Toc409256506"/>
      <w:bookmarkStart w:id="588" w:name="_Toc409270201"/>
      <w:bookmarkStart w:id="589" w:name="_Toc409270481"/>
      <w:bookmarkStart w:id="590" w:name="_Toc409509089"/>
      <w:bookmarkStart w:id="591" w:name="_Toc409509371"/>
      <w:bookmarkStart w:id="592" w:name="_Toc409509654"/>
      <w:bookmarkStart w:id="593" w:name="_Toc409509937"/>
      <w:bookmarkStart w:id="594" w:name="_Toc409510220"/>
      <w:bookmarkStart w:id="595" w:name="_Toc409595699"/>
      <w:bookmarkStart w:id="596" w:name="_Toc409606874"/>
      <w:bookmarkStart w:id="597" w:name="_Toc408418414"/>
      <w:bookmarkStart w:id="598" w:name="_Toc409085643"/>
      <w:bookmarkStart w:id="599" w:name="_Toc409085920"/>
      <w:bookmarkStart w:id="600" w:name="_Toc409086197"/>
      <w:bookmarkStart w:id="601" w:name="_Toc409248807"/>
      <w:bookmarkStart w:id="602" w:name="_Toc409255387"/>
      <w:bookmarkStart w:id="603" w:name="_Toc409255667"/>
      <w:bookmarkStart w:id="604" w:name="_Toc409255947"/>
      <w:bookmarkStart w:id="605" w:name="_Toc409256227"/>
      <w:bookmarkStart w:id="606" w:name="_Toc409256507"/>
      <w:bookmarkStart w:id="607" w:name="_Toc409270202"/>
      <w:bookmarkStart w:id="608" w:name="_Toc409270482"/>
      <w:bookmarkStart w:id="609" w:name="_Toc409509090"/>
      <w:bookmarkStart w:id="610" w:name="_Toc409509372"/>
      <w:bookmarkStart w:id="611" w:name="_Toc409509655"/>
      <w:bookmarkStart w:id="612" w:name="_Toc409509938"/>
      <w:bookmarkStart w:id="613" w:name="_Toc409510221"/>
      <w:bookmarkStart w:id="614" w:name="_Toc409595700"/>
      <w:bookmarkStart w:id="615" w:name="_Toc409606875"/>
      <w:bookmarkStart w:id="616" w:name="_Toc408418415"/>
      <w:bookmarkStart w:id="617" w:name="_Toc409085644"/>
      <w:bookmarkStart w:id="618" w:name="_Toc409085921"/>
      <w:bookmarkStart w:id="619" w:name="_Toc409086198"/>
      <w:bookmarkStart w:id="620" w:name="_Toc409248808"/>
      <w:bookmarkStart w:id="621" w:name="_Toc409255388"/>
      <w:bookmarkStart w:id="622" w:name="_Toc409255668"/>
      <w:bookmarkStart w:id="623" w:name="_Toc409255948"/>
      <w:bookmarkStart w:id="624" w:name="_Toc409256228"/>
      <w:bookmarkStart w:id="625" w:name="_Toc409256508"/>
      <w:bookmarkStart w:id="626" w:name="_Toc409270203"/>
      <w:bookmarkStart w:id="627" w:name="_Toc409270483"/>
      <w:bookmarkStart w:id="628" w:name="_Toc409509091"/>
      <w:bookmarkStart w:id="629" w:name="_Toc409509373"/>
      <w:bookmarkStart w:id="630" w:name="_Toc409509656"/>
      <w:bookmarkStart w:id="631" w:name="_Toc409509939"/>
      <w:bookmarkStart w:id="632" w:name="_Toc409510222"/>
      <w:bookmarkStart w:id="633" w:name="_Toc409595701"/>
      <w:bookmarkStart w:id="634" w:name="_Toc409606876"/>
      <w:bookmarkStart w:id="635" w:name="_Toc408418416"/>
      <w:bookmarkStart w:id="636" w:name="_Toc409085645"/>
      <w:bookmarkStart w:id="637" w:name="_Toc409085922"/>
      <w:bookmarkStart w:id="638" w:name="_Toc409086199"/>
      <w:bookmarkStart w:id="639" w:name="_Toc409248809"/>
      <w:bookmarkStart w:id="640" w:name="_Toc409255389"/>
      <w:bookmarkStart w:id="641" w:name="_Toc409255669"/>
      <w:bookmarkStart w:id="642" w:name="_Toc409255949"/>
      <w:bookmarkStart w:id="643" w:name="_Toc409256229"/>
      <w:bookmarkStart w:id="644" w:name="_Toc409256509"/>
      <w:bookmarkStart w:id="645" w:name="_Toc409270204"/>
      <w:bookmarkStart w:id="646" w:name="_Toc409270484"/>
      <w:bookmarkStart w:id="647" w:name="_Toc409509092"/>
      <w:bookmarkStart w:id="648" w:name="_Toc409509374"/>
      <w:bookmarkStart w:id="649" w:name="_Toc409509657"/>
      <w:bookmarkStart w:id="650" w:name="_Toc409509940"/>
      <w:bookmarkStart w:id="651" w:name="_Toc409510223"/>
      <w:bookmarkStart w:id="652" w:name="_Toc409595702"/>
      <w:bookmarkStart w:id="653" w:name="_Toc409606877"/>
      <w:bookmarkStart w:id="654" w:name="_Toc408418417"/>
      <w:bookmarkStart w:id="655" w:name="_Toc409085646"/>
      <w:bookmarkStart w:id="656" w:name="_Toc409085923"/>
      <w:bookmarkStart w:id="657" w:name="_Toc409086200"/>
      <w:bookmarkStart w:id="658" w:name="_Toc409248810"/>
      <w:bookmarkStart w:id="659" w:name="_Toc409255390"/>
      <w:bookmarkStart w:id="660" w:name="_Toc409255670"/>
      <w:bookmarkStart w:id="661" w:name="_Toc409255950"/>
      <w:bookmarkStart w:id="662" w:name="_Toc409256230"/>
      <w:bookmarkStart w:id="663" w:name="_Toc409256510"/>
      <w:bookmarkStart w:id="664" w:name="_Toc409270205"/>
      <w:bookmarkStart w:id="665" w:name="_Toc409270485"/>
      <w:bookmarkStart w:id="666" w:name="_Toc409509093"/>
      <w:bookmarkStart w:id="667" w:name="_Toc409509375"/>
      <w:bookmarkStart w:id="668" w:name="_Toc409509658"/>
      <w:bookmarkStart w:id="669" w:name="_Toc409509941"/>
      <w:bookmarkStart w:id="670" w:name="_Toc409510224"/>
      <w:bookmarkStart w:id="671" w:name="_Toc409595703"/>
      <w:bookmarkStart w:id="672" w:name="_Toc409606878"/>
      <w:bookmarkStart w:id="673" w:name="_Toc408418418"/>
      <w:bookmarkStart w:id="674" w:name="_Toc409085647"/>
      <w:bookmarkStart w:id="675" w:name="_Toc409085924"/>
      <w:bookmarkStart w:id="676" w:name="_Toc409086201"/>
      <w:bookmarkStart w:id="677" w:name="_Toc409248811"/>
      <w:bookmarkStart w:id="678" w:name="_Toc409255391"/>
      <w:bookmarkStart w:id="679" w:name="_Toc409255671"/>
      <w:bookmarkStart w:id="680" w:name="_Toc409255951"/>
      <w:bookmarkStart w:id="681" w:name="_Toc409256231"/>
      <w:bookmarkStart w:id="682" w:name="_Toc409256511"/>
      <w:bookmarkStart w:id="683" w:name="_Toc409270206"/>
      <w:bookmarkStart w:id="684" w:name="_Toc409270486"/>
      <w:bookmarkStart w:id="685" w:name="_Toc409509094"/>
      <w:bookmarkStart w:id="686" w:name="_Toc409509376"/>
      <w:bookmarkStart w:id="687" w:name="_Toc409509659"/>
      <w:bookmarkStart w:id="688" w:name="_Toc409509942"/>
      <w:bookmarkStart w:id="689" w:name="_Toc409510225"/>
      <w:bookmarkStart w:id="690" w:name="_Toc409595704"/>
      <w:bookmarkStart w:id="691" w:name="_Toc409606879"/>
      <w:bookmarkStart w:id="692" w:name="_Toc408418419"/>
      <w:bookmarkStart w:id="693" w:name="_Toc409085648"/>
      <w:bookmarkStart w:id="694" w:name="_Toc409085925"/>
      <w:bookmarkStart w:id="695" w:name="_Toc409086202"/>
      <w:bookmarkStart w:id="696" w:name="_Toc409248812"/>
      <w:bookmarkStart w:id="697" w:name="_Toc409255392"/>
      <w:bookmarkStart w:id="698" w:name="_Toc409255672"/>
      <w:bookmarkStart w:id="699" w:name="_Toc409255952"/>
      <w:bookmarkStart w:id="700" w:name="_Toc409256232"/>
      <w:bookmarkStart w:id="701" w:name="_Toc409256512"/>
      <w:bookmarkStart w:id="702" w:name="_Toc409270207"/>
      <w:bookmarkStart w:id="703" w:name="_Toc409270487"/>
      <w:bookmarkStart w:id="704" w:name="_Toc409509095"/>
      <w:bookmarkStart w:id="705" w:name="_Toc409509377"/>
      <w:bookmarkStart w:id="706" w:name="_Toc409509660"/>
      <w:bookmarkStart w:id="707" w:name="_Toc409509943"/>
      <w:bookmarkStart w:id="708" w:name="_Toc409510226"/>
      <w:bookmarkStart w:id="709" w:name="_Toc409595705"/>
      <w:bookmarkStart w:id="710" w:name="_Toc409606880"/>
      <w:bookmarkStart w:id="711" w:name="_Toc408418420"/>
      <w:bookmarkStart w:id="712" w:name="_Toc409085649"/>
      <w:bookmarkStart w:id="713" w:name="_Toc409085926"/>
      <w:bookmarkStart w:id="714" w:name="_Toc409086203"/>
      <w:bookmarkStart w:id="715" w:name="_Toc409248813"/>
      <w:bookmarkStart w:id="716" w:name="_Toc409255393"/>
      <w:bookmarkStart w:id="717" w:name="_Toc409255673"/>
      <w:bookmarkStart w:id="718" w:name="_Toc409255953"/>
      <w:bookmarkStart w:id="719" w:name="_Toc409256233"/>
      <w:bookmarkStart w:id="720" w:name="_Toc409256513"/>
      <w:bookmarkStart w:id="721" w:name="_Toc409270208"/>
      <w:bookmarkStart w:id="722" w:name="_Toc409270488"/>
      <w:bookmarkStart w:id="723" w:name="_Toc409509096"/>
      <w:bookmarkStart w:id="724" w:name="_Toc409509378"/>
      <w:bookmarkStart w:id="725" w:name="_Toc409509661"/>
      <w:bookmarkStart w:id="726" w:name="_Toc409509944"/>
      <w:bookmarkStart w:id="727" w:name="_Toc409510227"/>
      <w:bookmarkStart w:id="728" w:name="_Toc409595706"/>
      <w:bookmarkStart w:id="729" w:name="_Toc409606881"/>
      <w:bookmarkStart w:id="730" w:name="_Toc408418421"/>
      <w:bookmarkStart w:id="731" w:name="_Toc409085650"/>
      <w:bookmarkStart w:id="732" w:name="_Toc409085927"/>
      <w:bookmarkStart w:id="733" w:name="_Toc409086204"/>
      <w:bookmarkStart w:id="734" w:name="_Toc409248814"/>
      <w:bookmarkStart w:id="735" w:name="_Toc409255394"/>
      <w:bookmarkStart w:id="736" w:name="_Toc409255674"/>
      <w:bookmarkStart w:id="737" w:name="_Toc409255954"/>
      <w:bookmarkStart w:id="738" w:name="_Toc409256234"/>
      <w:bookmarkStart w:id="739" w:name="_Toc409256514"/>
      <w:bookmarkStart w:id="740" w:name="_Toc409270209"/>
      <w:bookmarkStart w:id="741" w:name="_Toc409270489"/>
      <w:bookmarkStart w:id="742" w:name="_Toc409509097"/>
      <w:bookmarkStart w:id="743" w:name="_Toc409509379"/>
      <w:bookmarkStart w:id="744" w:name="_Toc409509662"/>
      <w:bookmarkStart w:id="745" w:name="_Toc409509945"/>
      <w:bookmarkStart w:id="746" w:name="_Toc409510228"/>
      <w:bookmarkStart w:id="747" w:name="_Toc409595707"/>
      <w:bookmarkStart w:id="748" w:name="_Toc409606882"/>
      <w:bookmarkStart w:id="749" w:name="_Toc408418422"/>
      <w:bookmarkStart w:id="750" w:name="_Toc409085651"/>
      <w:bookmarkStart w:id="751" w:name="_Toc409085928"/>
      <w:bookmarkStart w:id="752" w:name="_Toc409086205"/>
      <w:bookmarkStart w:id="753" w:name="_Toc409248815"/>
      <w:bookmarkStart w:id="754" w:name="_Toc409255395"/>
      <w:bookmarkStart w:id="755" w:name="_Toc409255675"/>
      <w:bookmarkStart w:id="756" w:name="_Toc409255955"/>
      <w:bookmarkStart w:id="757" w:name="_Toc409256235"/>
      <w:bookmarkStart w:id="758" w:name="_Toc409256515"/>
      <w:bookmarkStart w:id="759" w:name="_Toc409270210"/>
      <w:bookmarkStart w:id="760" w:name="_Toc409270490"/>
      <w:bookmarkStart w:id="761" w:name="_Toc409509098"/>
      <w:bookmarkStart w:id="762" w:name="_Toc409509380"/>
      <w:bookmarkStart w:id="763" w:name="_Toc409509663"/>
      <w:bookmarkStart w:id="764" w:name="_Toc409509946"/>
      <w:bookmarkStart w:id="765" w:name="_Toc409510229"/>
      <w:bookmarkStart w:id="766" w:name="_Toc409595708"/>
      <w:bookmarkStart w:id="767" w:name="_Toc409606883"/>
      <w:bookmarkStart w:id="768" w:name="_Toc408418423"/>
      <w:bookmarkStart w:id="769" w:name="_Toc409085652"/>
      <w:bookmarkStart w:id="770" w:name="_Toc409085929"/>
      <w:bookmarkStart w:id="771" w:name="_Toc409086206"/>
      <w:bookmarkStart w:id="772" w:name="_Toc409248816"/>
      <w:bookmarkStart w:id="773" w:name="_Toc409255396"/>
      <w:bookmarkStart w:id="774" w:name="_Toc409255676"/>
      <w:bookmarkStart w:id="775" w:name="_Toc409255956"/>
      <w:bookmarkStart w:id="776" w:name="_Toc409256236"/>
      <w:bookmarkStart w:id="777" w:name="_Toc409256516"/>
      <w:bookmarkStart w:id="778" w:name="_Toc409270211"/>
      <w:bookmarkStart w:id="779" w:name="_Toc409270491"/>
      <w:bookmarkStart w:id="780" w:name="_Toc409509099"/>
      <w:bookmarkStart w:id="781" w:name="_Toc409509381"/>
      <w:bookmarkStart w:id="782" w:name="_Toc409509664"/>
      <w:bookmarkStart w:id="783" w:name="_Toc409509947"/>
      <w:bookmarkStart w:id="784" w:name="_Toc409510230"/>
      <w:bookmarkStart w:id="785" w:name="_Toc409595709"/>
      <w:bookmarkStart w:id="786" w:name="_Toc409606884"/>
      <w:bookmarkStart w:id="787" w:name="_Toc408418424"/>
      <w:bookmarkStart w:id="788" w:name="_Toc409085653"/>
      <w:bookmarkStart w:id="789" w:name="_Toc409085930"/>
      <w:bookmarkStart w:id="790" w:name="_Toc409086207"/>
      <w:bookmarkStart w:id="791" w:name="_Toc409248817"/>
      <w:bookmarkStart w:id="792" w:name="_Toc409255397"/>
      <w:bookmarkStart w:id="793" w:name="_Toc409255677"/>
      <w:bookmarkStart w:id="794" w:name="_Toc409255957"/>
      <w:bookmarkStart w:id="795" w:name="_Toc409256237"/>
      <w:bookmarkStart w:id="796" w:name="_Toc409256517"/>
      <w:bookmarkStart w:id="797" w:name="_Toc409270212"/>
      <w:bookmarkStart w:id="798" w:name="_Toc409270492"/>
      <w:bookmarkStart w:id="799" w:name="_Toc409509100"/>
      <w:bookmarkStart w:id="800" w:name="_Toc409509382"/>
      <w:bookmarkStart w:id="801" w:name="_Toc409509665"/>
      <w:bookmarkStart w:id="802" w:name="_Toc409509948"/>
      <w:bookmarkStart w:id="803" w:name="_Toc409510231"/>
      <w:bookmarkStart w:id="804" w:name="_Toc409595710"/>
      <w:bookmarkStart w:id="805" w:name="_Toc409606885"/>
      <w:bookmarkStart w:id="806" w:name="_Toc408418425"/>
      <w:bookmarkStart w:id="807" w:name="_Toc409085654"/>
      <w:bookmarkStart w:id="808" w:name="_Toc409085931"/>
      <w:bookmarkStart w:id="809" w:name="_Toc409086208"/>
      <w:bookmarkStart w:id="810" w:name="_Toc409248818"/>
      <w:bookmarkStart w:id="811" w:name="_Toc409255398"/>
      <w:bookmarkStart w:id="812" w:name="_Toc409255678"/>
      <w:bookmarkStart w:id="813" w:name="_Toc409255958"/>
      <w:bookmarkStart w:id="814" w:name="_Toc409256238"/>
      <w:bookmarkStart w:id="815" w:name="_Toc409256518"/>
      <w:bookmarkStart w:id="816" w:name="_Toc409270213"/>
      <w:bookmarkStart w:id="817" w:name="_Toc409270493"/>
      <w:bookmarkStart w:id="818" w:name="_Toc409509101"/>
      <w:bookmarkStart w:id="819" w:name="_Toc409509383"/>
      <w:bookmarkStart w:id="820" w:name="_Toc409509666"/>
      <w:bookmarkStart w:id="821" w:name="_Toc409509949"/>
      <w:bookmarkStart w:id="822" w:name="_Toc409510232"/>
      <w:bookmarkStart w:id="823" w:name="_Toc409595711"/>
      <w:bookmarkStart w:id="824" w:name="_Toc409606886"/>
      <w:bookmarkStart w:id="825" w:name="_Toc408418426"/>
      <w:bookmarkStart w:id="826" w:name="_Toc409085655"/>
      <w:bookmarkStart w:id="827" w:name="_Toc409085932"/>
      <w:bookmarkStart w:id="828" w:name="_Toc409086209"/>
      <w:bookmarkStart w:id="829" w:name="_Toc409248819"/>
      <w:bookmarkStart w:id="830" w:name="_Toc409255399"/>
      <w:bookmarkStart w:id="831" w:name="_Toc409255679"/>
      <w:bookmarkStart w:id="832" w:name="_Toc409255959"/>
      <w:bookmarkStart w:id="833" w:name="_Toc409256239"/>
      <w:bookmarkStart w:id="834" w:name="_Toc409256519"/>
      <w:bookmarkStart w:id="835" w:name="_Toc409270214"/>
      <w:bookmarkStart w:id="836" w:name="_Toc409270494"/>
      <w:bookmarkStart w:id="837" w:name="_Toc409509102"/>
      <w:bookmarkStart w:id="838" w:name="_Toc409509384"/>
      <w:bookmarkStart w:id="839" w:name="_Toc409509667"/>
      <w:bookmarkStart w:id="840" w:name="_Toc409509950"/>
      <w:bookmarkStart w:id="841" w:name="_Toc409510233"/>
      <w:bookmarkStart w:id="842" w:name="_Toc409595712"/>
      <w:bookmarkStart w:id="843" w:name="_Toc409606887"/>
      <w:bookmarkStart w:id="844" w:name="_Toc408418438"/>
      <w:bookmarkStart w:id="845" w:name="_Toc409085667"/>
      <w:bookmarkStart w:id="846" w:name="_Toc409085944"/>
      <w:bookmarkStart w:id="847" w:name="_Toc409086221"/>
      <w:bookmarkStart w:id="848" w:name="_Toc409248831"/>
      <w:bookmarkStart w:id="849" w:name="_Toc409255411"/>
      <w:bookmarkStart w:id="850" w:name="_Toc409255691"/>
      <w:bookmarkStart w:id="851" w:name="_Toc409255971"/>
      <w:bookmarkStart w:id="852" w:name="_Toc409256251"/>
      <w:bookmarkStart w:id="853" w:name="_Toc409256531"/>
      <w:bookmarkStart w:id="854" w:name="_Toc409270226"/>
      <w:bookmarkStart w:id="855" w:name="_Toc409270506"/>
      <w:bookmarkStart w:id="856" w:name="_Toc409509114"/>
      <w:bookmarkStart w:id="857" w:name="_Toc409509396"/>
      <w:bookmarkStart w:id="858" w:name="_Toc409509679"/>
      <w:bookmarkStart w:id="859" w:name="_Toc409509962"/>
      <w:bookmarkStart w:id="860" w:name="_Toc409510245"/>
      <w:bookmarkStart w:id="861" w:name="_Toc409595724"/>
      <w:bookmarkStart w:id="862" w:name="_Toc409606899"/>
      <w:bookmarkStart w:id="863" w:name="_Toc408418439"/>
      <w:bookmarkStart w:id="864" w:name="_Toc409085668"/>
      <w:bookmarkStart w:id="865" w:name="_Toc409085945"/>
      <w:bookmarkStart w:id="866" w:name="_Toc409086222"/>
      <w:bookmarkStart w:id="867" w:name="_Toc409248832"/>
      <w:bookmarkStart w:id="868" w:name="_Toc409255412"/>
      <w:bookmarkStart w:id="869" w:name="_Toc409255692"/>
      <w:bookmarkStart w:id="870" w:name="_Toc409255972"/>
      <w:bookmarkStart w:id="871" w:name="_Toc409256252"/>
      <w:bookmarkStart w:id="872" w:name="_Toc409256532"/>
      <w:bookmarkStart w:id="873" w:name="_Toc409270227"/>
      <w:bookmarkStart w:id="874" w:name="_Toc409270507"/>
      <w:bookmarkStart w:id="875" w:name="_Toc409509115"/>
      <w:bookmarkStart w:id="876" w:name="_Toc409509397"/>
      <w:bookmarkStart w:id="877" w:name="_Toc409509680"/>
      <w:bookmarkStart w:id="878" w:name="_Toc409509963"/>
      <w:bookmarkStart w:id="879" w:name="_Toc409510246"/>
      <w:bookmarkStart w:id="880" w:name="_Toc409595725"/>
      <w:bookmarkStart w:id="881" w:name="_Toc409606900"/>
      <w:bookmarkEnd w:id="278"/>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r w:rsidRPr="00332FCD">
        <w:rPr>
          <w:rFonts w:ascii="Andes" w:eastAsiaTheme="majorEastAsia" w:hAnsi="Andes" w:cstheme="majorBidi"/>
          <w:bCs w:val="0"/>
          <w:color w:val="C45911"/>
          <w:sz w:val="32"/>
          <w:szCs w:val="32"/>
        </w:rPr>
        <w:t xml:space="preserve">Non-respect </w:t>
      </w:r>
    </w:p>
    <w:p w14:paraId="718F1B3B" w14:textId="3FC871B5" w:rsidR="00535E52" w:rsidRPr="00332FCD" w:rsidRDefault="009428CB" w:rsidP="00882278">
      <w:pPr>
        <w:pStyle w:val="Paragraphedeliste"/>
        <w:numPr>
          <w:ilvl w:val="1"/>
          <w:numId w:val="13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Si la Banque établit que l’Emprunteur n’a pas respecté </w:t>
      </w:r>
      <w:r w:rsidR="00C745C6" w:rsidRPr="00332FCD">
        <w:rPr>
          <w:rFonts w:ascii="Andes" w:hAnsi="Andes" w:cs="Arial"/>
          <w:sz w:val="22"/>
          <w:szCs w:val="22"/>
        </w:rPr>
        <w:t xml:space="preserve">les conditions de passation des marchés énoncées dans l’Accord Juridique, elle peut, outre l’exercice des recours prévus dans ledit Accord, prendre toute mesure appropriée et, notamment, déclarer la passation </w:t>
      </w:r>
      <w:r w:rsidR="000B65D7" w:rsidRPr="00332FCD">
        <w:rPr>
          <w:rFonts w:ascii="Andes" w:hAnsi="Andes" w:cs="Arial"/>
          <w:sz w:val="22"/>
          <w:szCs w:val="22"/>
        </w:rPr>
        <w:t xml:space="preserve">des marchés non conforme </w:t>
      </w:r>
      <w:r w:rsidR="000B65D7" w:rsidRPr="00332FCD">
        <w:rPr>
          <w:rFonts w:ascii="Andes" w:hAnsi="Andes" w:cs="Arial"/>
          <w:sz w:val="22"/>
          <w:szCs w:val="22"/>
        </w:rPr>
        <w:lastRenderedPageBreak/>
        <w:t>(par exemple, pour ne pas avoir donné suite aux plaintes dans les conditions prévues par les dispositions applicables</w:t>
      </w:r>
      <w:r w:rsidR="009C1ABF">
        <w:rPr>
          <w:rFonts w:ascii="Andes" w:hAnsi="Andes" w:cs="Arial"/>
          <w:sz w:val="22"/>
          <w:szCs w:val="22"/>
        </w:rPr>
        <w:t xml:space="preserve">, </w:t>
      </w:r>
      <w:r w:rsidR="00CA3971">
        <w:rPr>
          <w:rFonts w:ascii="Andes" w:hAnsi="Andes" w:cs="Arial"/>
          <w:sz w:val="22"/>
          <w:szCs w:val="22"/>
        </w:rPr>
        <w:t>utilisation des Critères notés</w:t>
      </w:r>
      <w:r w:rsidR="001517C6">
        <w:rPr>
          <w:rFonts w:ascii="Andes" w:hAnsi="Andes" w:cs="Arial"/>
          <w:sz w:val="22"/>
          <w:szCs w:val="22"/>
        </w:rPr>
        <w:t xml:space="preserve"> et pondérations minimales, etc.</w:t>
      </w:r>
      <w:r w:rsidR="000B65D7" w:rsidRPr="00332FCD">
        <w:rPr>
          <w:rFonts w:ascii="Andes" w:hAnsi="Andes" w:cs="Arial"/>
          <w:sz w:val="22"/>
          <w:szCs w:val="22"/>
        </w:rPr>
        <w:t xml:space="preserve">). </w:t>
      </w:r>
    </w:p>
    <w:p w14:paraId="1A14A2AB" w14:textId="4234D33A" w:rsidR="00724F89" w:rsidRPr="00332FCD" w:rsidRDefault="000B65D7" w:rsidP="003C30CC">
      <w:pPr>
        <w:pStyle w:val="Paragraphedeliste"/>
        <w:numPr>
          <w:ilvl w:val="1"/>
          <w:numId w:val="280"/>
        </w:numPr>
        <w:spacing w:before="0" w:line="240" w:lineRule="auto"/>
        <w:ind w:left="634" w:hanging="634"/>
        <w:contextualSpacing w:val="0"/>
        <w:rPr>
          <w:rFonts w:ascii="Andes" w:hAnsi="Andes" w:cs="Arial"/>
          <w:sz w:val="22"/>
          <w:szCs w:val="22"/>
        </w:rPr>
      </w:pPr>
      <w:r w:rsidRPr="00332FCD">
        <w:rPr>
          <w:rFonts w:ascii="Andes" w:hAnsi="Andes" w:cs="Arial"/>
          <w:sz w:val="22"/>
          <w:szCs w:val="22"/>
        </w:rPr>
        <w:t>Même une fois le marché attribué après réception d’un avis de non-objection de la Banque, celle-ci</w:t>
      </w:r>
      <w:r w:rsidR="00C7582A" w:rsidRPr="00332FCD">
        <w:rPr>
          <w:rFonts w:ascii="Andes" w:hAnsi="Andes" w:cs="Arial"/>
          <w:sz w:val="22"/>
          <w:szCs w:val="22"/>
        </w:rPr>
        <w:t xml:space="preserve"> garde la possibilité de </w:t>
      </w:r>
      <w:r w:rsidRPr="00332FCD">
        <w:rPr>
          <w:rFonts w:ascii="Andes" w:hAnsi="Andes" w:cs="Arial"/>
          <w:sz w:val="22"/>
          <w:szCs w:val="22"/>
        </w:rPr>
        <w:t>prendre</w:t>
      </w:r>
      <w:r w:rsidR="00C7582A" w:rsidRPr="00332FCD">
        <w:rPr>
          <w:rFonts w:ascii="Andes" w:hAnsi="Andes" w:cs="Arial"/>
          <w:sz w:val="22"/>
          <w:szCs w:val="22"/>
        </w:rPr>
        <w:t xml:space="preserve"> les </w:t>
      </w:r>
      <w:r w:rsidRPr="00332FCD">
        <w:rPr>
          <w:rFonts w:ascii="Andes" w:hAnsi="Andes" w:cs="Arial"/>
          <w:sz w:val="22"/>
          <w:szCs w:val="22"/>
        </w:rPr>
        <w:t>mesures appropriées et</w:t>
      </w:r>
      <w:r w:rsidR="00C7582A" w:rsidRPr="00332FCD">
        <w:rPr>
          <w:rFonts w:ascii="Andes" w:hAnsi="Andes" w:cs="Arial"/>
          <w:sz w:val="22"/>
          <w:szCs w:val="22"/>
        </w:rPr>
        <w:t xml:space="preserve"> d’exercer </w:t>
      </w:r>
      <w:r w:rsidRPr="00332FCD">
        <w:rPr>
          <w:rFonts w:ascii="Andes" w:hAnsi="Andes" w:cs="Arial"/>
          <w:sz w:val="22"/>
          <w:szCs w:val="22"/>
        </w:rPr>
        <w:t>des recours,</w:t>
      </w:r>
      <w:r w:rsidR="00C34979" w:rsidRPr="00332FCD">
        <w:rPr>
          <w:rFonts w:ascii="Andes" w:hAnsi="Andes" w:cs="Arial"/>
          <w:sz w:val="22"/>
          <w:szCs w:val="22"/>
        </w:rPr>
        <w:t xml:space="preserve"> que le projet soit ou non clos,</w:t>
      </w:r>
      <w:r w:rsidRPr="00332FCD">
        <w:rPr>
          <w:rFonts w:ascii="Andes" w:hAnsi="Andes" w:cs="Arial"/>
          <w:sz w:val="22"/>
          <w:szCs w:val="22"/>
        </w:rPr>
        <w:t xml:space="preserve"> </w:t>
      </w:r>
      <w:r w:rsidR="00C34979" w:rsidRPr="00332FCD">
        <w:rPr>
          <w:rFonts w:ascii="Andes" w:hAnsi="Andes" w:cs="Arial"/>
          <w:sz w:val="22"/>
          <w:szCs w:val="22"/>
        </w:rPr>
        <w:t>si elle</w:t>
      </w:r>
      <w:r w:rsidR="00C7582A" w:rsidRPr="00332FCD">
        <w:rPr>
          <w:rFonts w:ascii="Andes" w:hAnsi="Andes" w:cs="Arial"/>
          <w:sz w:val="22"/>
          <w:szCs w:val="22"/>
        </w:rPr>
        <w:t xml:space="preserve"> établit </w:t>
      </w:r>
      <w:r w:rsidR="00C34979" w:rsidRPr="00332FCD">
        <w:rPr>
          <w:rFonts w:ascii="Andes" w:hAnsi="Andes" w:cs="Arial"/>
          <w:sz w:val="22"/>
          <w:szCs w:val="22"/>
        </w:rPr>
        <w:t>qu’elle a donné</w:t>
      </w:r>
      <w:r w:rsidR="005143B3" w:rsidRPr="00332FCD">
        <w:rPr>
          <w:rFonts w:ascii="Andes" w:hAnsi="Andes" w:cs="Arial"/>
          <w:sz w:val="22"/>
          <w:szCs w:val="22"/>
        </w:rPr>
        <w:t xml:space="preserve"> son avis </w:t>
      </w:r>
      <w:r w:rsidR="00C7582A" w:rsidRPr="00332FCD">
        <w:rPr>
          <w:rFonts w:ascii="Andes" w:hAnsi="Andes" w:cs="Arial"/>
          <w:sz w:val="22"/>
          <w:szCs w:val="22"/>
        </w:rPr>
        <w:t>de non-objection</w:t>
      </w:r>
      <w:r w:rsidR="005143B3" w:rsidRPr="00332FCD">
        <w:rPr>
          <w:rFonts w:ascii="Andes" w:hAnsi="Andes" w:cs="Arial"/>
          <w:sz w:val="22"/>
          <w:szCs w:val="22"/>
        </w:rPr>
        <w:t>,</w:t>
      </w:r>
      <w:r w:rsidR="00C7582A" w:rsidRPr="00332FCD">
        <w:rPr>
          <w:rFonts w:ascii="Andes" w:hAnsi="Andes" w:cs="Arial"/>
          <w:sz w:val="22"/>
          <w:szCs w:val="22"/>
        </w:rPr>
        <w:t xml:space="preserve"> ou de règlement satisfaisant de la plainte</w:t>
      </w:r>
      <w:r w:rsidR="005143B3" w:rsidRPr="00332FCD">
        <w:rPr>
          <w:rFonts w:ascii="Andes" w:hAnsi="Andes" w:cs="Arial"/>
          <w:sz w:val="22"/>
          <w:szCs w:val="22"/>
        </w:rPr>
        <w:t>,</w:t>
      </w:r>
      <w:r w:rsidR="00C7582A" w:rsidRPr="00332FCD">
        <w:rPr>
          <w:rFonts w:ascii="Andes" w:hAnsi="Andes" w:cs="Arial"/>
          <w:sz w:val="22"/>
          <w:szCs w:val="22"/>
        </w:rPr>
        <w:t xml:space="preserve"> sur la base de la communication par l’Emprunteur d’informations incomplètes, erronées ou volontairement inexactes, ou que </w:t>
      </w:r>
      <w:r w:rsidR="00770BBF" w:rsidRPr="00332FCD">
        <w:rPr>
          <w:rFonts w:ascii="Andes" w:hAnsi="Andes" w:cs="Arial"/>
          <w:sz w:val="22"/>
          <w:szCs w:val="22"/>
        </w:rPr>
        <w:t>les conditions et modalités du marché ont été considérablement modifiées sans</w:t>
      </w:r>
      <w:r w:rsidR="005143B3" w:rsidRPr="00332FCD">
        <w:rPr>
          <w:rFonts w:ascii="Andes" w:hAnsi="Andes" w:cs="Arial"/>
          <w:sz w:val="22"/>
          <w:szCs w:val="22"/>
        </w:rPr>
        <w:t xml:space="preserve"> obtention de son </w:t>
      </w:r>
      <w:r w:rsidR="00770BBF" w:rsidRPr="00332FCD">
        <w:rPr>
          <w:rFonts w:ascii="Andes" w:hAnsi="Andes" w:cs="Arial"/>
          <w:sz w:val="22"/>
          <w:szCs w:val="22"/>
        </w:rPr>
        <w:t xml:space="preserve">avis de non-objection. </w:t>
      </w:r>
    </w:p>
    <w:p w14:paraId="24B133E5" w14:textId="44D7F8B8" w:rsidR="00C811D2" w:rsidRPr="00332FCD" w:rsidRDefault="00770BBF" w:rsidP="00DA3824">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882" w:name="_Toc404234511"/>
      <w:bookmarkStart w:id="883" w:name="_Toc404234713"/>
      <w:bookmarkStart w:id="884" w:name="_Toc404235245"/>
      <w:bookmarkStart w:id="885" w:name="_Toc404235535"/>
      <w:bookmarkStart w:id="886" w:name="_Toc404235712"/>
      <w:bookmarkStart w:id="887" w:name="_Toc404235975"/>
      <w:bookmarkStart w:id="888" w:name="_Toc404236145"/>
      <w:bookmarkStart w:id="889" w:name="_Toc404236315"/>
      <w:bookmarkStart w:id="890" w:name="_Toc404236484"/>
      <w:bookmarkStart w:id="891" w:name="_Toc404236653"/>
      <w:bookmarkStart w:id="892" w:name="_Toc404236821"/>
      <w:bookmarkStart w:id="893" w:name="_Toc404236989"/>
      <w:bookmarkStart w:id="894" w:name="_Toc404755618"/>
      <w:bookmarkStart w:id="895" w:name="_Toc405205409"/>
      <w:bookmarkStart w:id="896" w:name="_Toc404234512"/>
      <w:bookmarkStart w:id="897" w:name="_Toc404234714"/>
      <w:bookmarkStart w:id="898" w:name="_Toc404235246"/>
      <w:bookmarkStart w:id="899" w:name="_Toc404235536"/>
      <w:bookmarkStart w:id="900" w:name="_Toc404235713"/>
      <w:bookmarkStart w:id="901" w:name="_Toc404235976"/>
      <w:bookmarkStart w:id="902" w:name="_Toc404236146"/>
      <w:bookmarkStart w:id="903" w:name="_Toc404236316"/>
      <w:bookmarkStart w:id="904" w:name="_Toc404236485"/>
      <w:bookmarkStart w:id="905" w:name="_Toc404236654"/>
      <w:bookmarkStart w:id="906" w:name="_Toc404236822"/>
      <w:bookmarkStart w:id="907" w:name="_Toc404236990"/>
      <w:bookmarkStart w:id="908" w:name="_Toc404755619"/>
      <w:bookmarkStart w:id="909" w:name="_Toc405205410"/>
      <w:bookmarkStart w:id="910" w:name="_Toc404234513"/>
      <w:bookmarkStart w:id="911" w:name="_Toc404234715"/>
      <w:bookmarkStart w:id="912" w:name="_Toc404235247"/>
      <w:bookmarkStart w:id="913" w:name="_Toc404235537"/>
      <w:bookmarkStart w:id="914" w:name="_Toc404235714"/>
      <w:bookmarkStart w:id="915" w:name="_Toc404235977"/>
      <w:bookmarkStart w:id="916" w:name="_Toc404236147"/>
      <w:bookmarkStart w:id="917" w:name="_Toc404236317"/>
      <w:bookmarkStart w:id="918" w:name="_Toc404236486"/>
      <w:bookmarkStart w:id="919" w:name="_Toc404236655"/>
      <w:bookmarkStart w:id="920" w:name="_Toc404236823"/>
      <w:bookmarkStart w:id="921" w:name="_Toc404236991"/>
      <w:bookmarkStart w:id="922" w:name="_Toc404755620"/>
      <w:bookmarkStart w:id="923" w:name="_Toc405205411"/>
      <w:bookmarkStart w:id="924" w:name="_Toc404234514"/>
      <w:bookmarkStart w:id="925" w:name="_Toc404234716"/>
      <w:bookmarkStart w:id="926" w:name="_Toc404235248"/>
      <w:bookmarkStart w:id="927" w:name="_Toc404235538"/>
      <w:bookmarkStart w:id="928" w:name="_Toc404235715"/>
      <w:bookmarkStart w:id="929" w:name="_Toc404235978"/>
      <w:bookmarkStart w:id="930" w:name="_Toc404236148"/>
      <w:bookmarkStart w:id="931" w:name="_Toc404236318"/>
      <w:bookmarkStart w:id="932" w:name="_Toc404236487"/>
      <w:bookmarkStart w:id="933" w:name="_Toc404236656"/>
      <w:bookmarkStart w:id="934" w:name="_Toc404236824"/>
      <w:bookmarkStart w:id="935" w:name="_Toc404236992"/>
      <w:bookmarkStart w:id="936" w:name="_Toc404755621"/>
      <w:bookmarkStart w:id="937" w:name="_Toc405205412"/>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r w:rsidRPr="00332FCD">
        <w:rPr>
          <w:rFonts w:ascii="Andes" w:eastAsiaTheme="majorEastAsia" w:hAnsi="Andes" w:cstheme="majorBidi"/>
          <w:bCs w:val="0"/>
          <w:color w:val="C45911"/>
          <w:sz w:val="32"/>
          <w:szCs w:val="32"/>
        </w:rPr>
        <w:t>Plaintes relatives à la passation des marchés</w:t>
      </w:r>
    </w:p>
    <w:p w14:paraId="3D208D64" w14:textId="6B5A87C2" w:rsidR="005858D6" w:rsidRPr="00332FCD" w:rsidRDefault="00741811" w:rsidP="003C30CC">
      <w:pPr>
        <w:pStyle w:val="Paragraphedeliste"/>
        <w:numPr>
          <w:ilvl w:val="1"/>
          <w:numId w:val="280"/>
        </w:numPr>
        <w:spacing w:before="0" w:line="240" w:lineRule="auto"/>
        <w:ind w:left="634" w:hanging="634"/>
        <w:contextualSpacing w:val="0"/>
        <w:rPr>
          <w:rFonts w:ascii="Andes" w:hAnsi="Andes" w:cs="Arial"/>
          <w:sz w:val="22"/>
          <w:szCs w:val="22"/>
        </w:rPr>
      </w:pPr>
      <w:r w:rsidRPr="00332FCD">
        <w:rPr>
          <w:rFonts w:ascii="Andes" w:hAnsi="Andes" w:cs="Arial"/>
          <w:sz w:val="22"/>
          <w:szCs w:val="22"/>
        </w:rPr>
        <w:t>Les plaintes relatives à la passation des marchés (les Plaintes) sont soumises en temps</w:t>
      </w:r>
      <w:r w:rsidR="005143B3" w:rsidRPr="00332FCD">
        <w:rPr>
          <w:rFonts w:ascii="Andes" w:hAnsi="Andes" w:cs="Arial"/>
          <w:sz w:val="22"/>
          <w:szCs w:val="22"/>
        </w:rPr>
        <w:t xml:space="preserve"> voulu </w:t>
      </w:r>
      <w:r w:rsidRPr="00332FCD">
        <w:rPr>
          <w:rFonts w:ascii="Andes" w:hAnsi="Andes" w:cs="Arial"/>
          <w:sz w:val="22"/>
          <w:szCs w:val="22"/>
        </w:rPr>
        <w:t>à l’Emprunteur, pendant la phase</w:t>
      </w:r>
      <w:r w:rsidR="005143B3" w:rsidRPr="00332FCD">
        <w:rPr>
          <w:rFonts w:ascii="Andes" w:hAnsi="Andes" w:cs="Arial"/>
          <w:sz w:val="22"/>
          <w:szCs w:val="22"/>
        </w:rPr>
        <w:t xml:space="preserve"> correspondante </w:t>
      </w:r>
      <w:r w:rsidRPr="00332FCD">
        <w:rPr>
          <w:rFonts w:ascii="Andes" w:hAnsi="Andes" w:cs="Arial"/>
          <w:sz w:val="22"/>
          <w:szCs w:val="22"/>
        </w:rPr>
        <w:t>du processus de passation des marchés</w:t>
      </w:r>
      <w:r w:rsidR="005143B3" w:rsidRPr="00332FCD">
        <w:rPr>
          <w:rFonts w:ascii="Andes" w:hAnsi="Andes" w:cs="Arial"/>
          <w:sz w:val="22"/>
          <w:szCs w:val="22"/>
        </w:rPr>
        <w:t xml:space="preserve">. Une fois les </w:t>
      </w:r>
      <w:r w:rsidR="00FE621C" w:rsidRPr="00332FCD">
        <w:rPr>
          <w:rFonts w:ascii="Andes" w:hAnsi="Andes" w:cs="Arial"/>
          <w:sz w:val="22"/>
          <w:szCs w:val="22"/>
        </w:rPr>
        <w:t>P</w:t>
      </w:r>
      <w:r w:rsidR="005143B3" w:rsidRPr="00332FCD">
        <w:rPr>
          <w:rFonts w:ascii="Andes" w:hAnsi="Andes" w:cs="Arial"/>
          <w:sz w:val="22"/>
          <w:szCs w:val="22"/>
        </w:rPr>
        <w:t xml:space="preserve">laintes </w:t>
      </w:r>
      <w:r w:rsidR="008C3CB3" w:rsidRPr="00332FCD">
        <w:rPr>
          <w:rFonts w:ascii="Andes" w:hAnsi="Andes" w:cs="Arial"/>
          <w:sz w:val="22"/>
          <w:szCs w:val="22"/>
        </w:rPr>
        <w:t xml:space="preserve">déposées </w:t>
      </w:r>
      <w:r w:rsidRPr="00332FCD">
        <w:rPr>
          <w:rFonts w:ascii="Andes" w:hAnsi="Andes" w:cs="Arial"/>
          <w:sz w:val="22"/>
          <w:szCs w:val="22"/>
        </w:rPr>
        <w:t xml:space="preserve">dans ces conditions, l’Emprunteur y donne suite rapidement et équitablement. Le dépôt et le règlement des Plaintes en temps voulu sont d’une importance fondamentale </w:t>
      </w:r>
      <w:r w:rsidR="008C3CB3" w:rsidRPr="00332FCD">
        <w:rPr>
          <w:rFonts w:ascii="Andes" w:hAnsi="Andes" w:cs="Arial"/>
          <w:sz w:val="22"/>
          <w:szCs w:val="22"/>
        </w:rPr>
        <w:t>pour éviter tout retard ou perturbation inutile dans le projet</w:t>
      </w:r>
      <w:r w:rsidR="005143B3" w:rsidRPr="00332FCD">
        <w:rPr>
          <w:rFonts w:ascii="Andes" w:hAnsi="Andes" w:cs="Arial"/>
          <w:sz w:val="22"/>
          <w:szCs w:val="22"/>
        </w:rPr>
        <w:t>,</w:t>
      </w:r>
      <w:r w:rsidR="008C3CB3" w:rsidRPr="00332FCD">
        <w:rPr>
          <w:rFonts w:ascii="Andes" w:hAnsi="Andes" w:cs="Arial"/>
          <w:sz w:val="22"/>
          <w:szCs w:val="22"/>
        </w:rPr>
        <w:t xml:space="preserve"> dont la passation des marchés fait partie. </w:t>
      </w:r>
    </w:p>
    <w:p w14:paraId="24DD0DD2" w14:textId="252CC3C0" w:rsidR="005858D6" w:rsidRPr="00332FCD" w:rsidRDefault="008C3CB3" w:rsidP="003C30CC">
      <w:pPr>
        <w:pStyle w:val="Paragraphedeliste"/>
        <w:numPr>
          <w:ilvl w:val="1"/>
          <w:numId w:val="280"/>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Toutes les </w:t>
      </w:r>
      <w:r w:rsidR="00FE621C" w:rsidRPr="00332FCD">
        <w:rPr>
          <w:rFonts w:ascii="Andes" w:hAnsi="Andes" w:cs="Arial"/>
          <w:sz w:val="22"/>
          <w:szCs w:val="22"/>
        </w:rPr>
        <w:t>Pl</w:t>
      </w:r>
      <w:r w:rsidRPr="00332FCD">
        <w:rPr>
          <w:rFonts w:ascii="Andes" w:hAnsi="Andes" w:cs="Arial"/>
          <w:sz w:val="22"/>
          <w:szCs w:val="22"/>
        </w:rPr>
        <w:t>aintes sont enregistrées par l’Emprunteur dans le système de suivi et de contrôle</w:t>
      </w:r>
      <w:r w:rsidR="005143B3" w:rsidRPr="00332FCD">
        <w:rPr>
          <w:rFonts w:ascii="Andes" w:hAnsi="Andes" w:cs="Arial"/>
          <w:sz w:val="22"/>
          <w:szCs w:val="22"/>
        </w:rPr>
        <w:t xml:space="preserve"> prévu à cet effet</w:t>
      </w:r>
      <w:r w:rsidRPr="00332FCD">
        <w:rPr>
          <w:rFonts w:ascii="Andes" w:hAnsi="Andes" w:cs="Arial"/>
          <w:sz w:val="22"/>
          <w:szCs w:val="22"/>
        </w:rPr>
        <w:t>, dans</w:t>
      </w:r>
      <w:r w:rsidR="004C4E0B" w:rsidRPr="00332FCD">
        <w:rPr>
          <w:rFonts w:ascii="Andes" w:hAnsi="Andes" w:cs="Arial"/>
          <w:sz w:val="22"/>
          <w:szCs w:val="22"/>
        </w:rPr>
        <w:t xml:space="preserve"> des </w:t>
      </w:r>
      <w:r w:rsidRPr="00332FCD">
        <w:rPr>
          <w:rFonts w:ascii="Andes" w:hAnsi="Andes" w:cs="Arial"/>
          <w:sz w:val="22"/>
          <w:szCs w:val="22"/>
        </w:rPr>
        <w:t xml:space="preserve">conditions arrêtées d’un commun accord par la Banque et l’Emprunteur. </w:t>
      </w:r>
    </w:p>
    <w:p w14:paraId="4F67F89F" w14:textId="045B2B1F" w:rsidR="005858D6" w:rsidRPr="00332FCD" w:rsidRDefault="008C3CB3" w:rsidP="003C30CC">
      <w:pPr>
        <w:pStyle w:val="Paragraphedeliste"/>
        <w:numPr>
          <w:ilvl w:val="1"/>
          <w:numId w:val="280"/>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Les </w:t>
      </w:r>
      <w:r w:rsidR="00FE621C" w:rsidRPr="00332FCD">
        <w:rPr>
          <w:rFonts w:ascii="Andes" w:hAnsi="Andes" w:cs="Arial"/>
          <w:sz w:val="22"/>
          <w:szCs w:val="22"/>
        </w:rPr>
        <w:t>P</w:t>
      </w:r>
      <w:r w:rsidRPr="00332FCD">
        <w:rPr>
          <w:rFonts w:ascii="Andes" w:hAnsi="Andes" w:cs="Arial"/>
          <w:sz w:val="22"/>
          <w:szCs w:val="22"/>
        </w:rPr>
        <w:t>laintes relatives à des marchés pour lesquels le</w:t>
      </w:r>
      <w:r w:rsidR="006B46BE">
        <w:rPr>
          <w:rFonts w:ascii="Andes" w:hAnsi="Andes" w:cs="Arial"/>
          <w:sz w:val="22"/>
          <w:szCs w:val="22"/>
        </w:rPr>
        <w:t>s</w:t>
      </w:r>
      <w:r w:rsidRPr="00332FCD">
        <w:rPr>
          <w:rFonts w:ascii="Andes" w:hAnsi="Andes" w:cs="Arial"/>
          <w:sz w:val="22"/>
          <w:szCs w:val="22"/>
        </w:rPr>
        <w:t xml:space="preserve"> </w:t>
      </w:r>
      <w:r w:rsidR="006B46BE">
        <w:rPr>
          <w:rFonts w:ascii="Andes" w:hAnsi="Andes" w:cs="Arial"/>
          <w:sz w:val="22"/>
          <w:szCs w:val="22"/>
        </w:rPr>
        <w:t>DTPM</w:t>
      </w:r>
      <w:r w:rsidRPr="00332FCD">
        <w:rPr>
          <w:rFonts w:ascii="Andes" w:hAnsi="Andes" w:cs="Arial"/>
          <w:sz w:val="22"/>
          <w:szCs w:val="22"/>
        </w:rPr>
        <w:t xml:space="preserve"> doi</w:t>
      </w:r>
      <w:r w:rsidR="006B46BE">
        <w:rPr>
          <w:rFonts w:ascii="Andes" w:hAnsi="Andes" w:cs="Arial"/>
          <w:sz w:val="22"/>
          <w:szCs w:val="22"/>
        </w:rPr>
        <w:t>ven</w:t>
      </w:r>
      <w:r w:rsidRPr="00332FCD">
        <w:rPr>
          <w:rFonts w:ascii="Andes" w:hAnsi="Andes" w:cs="Arial"/>
          <w:sz w:val="22"/>
          <w:szCs w:val="22"/>
        </w:rPr>
        <w:t>t être utilisé</w:t>
      </w:r>
      <w:r w:rsidR="006B46BE">
        <w:rPr>
          <w:rFonts w:ascii="Andes" w:hAnsi="Andes" w:cs="Arial"/>
          <w:sz w:val="22"/>
          <w:szCs w:val="22"/>
        </w:rPr>
        <w:t>s</w:t>
      </w:r>
      <w:r w:rsidR="000119F2" w:rsidRPr="00332FCD">
        <w:rPr>
          <w:rFonts w:ascii="Andes" w:hAnsi="Andes" w:cs="Arial"/>
          <w:sz w:val="22"/>
          <w:szCs w:val="22"/>
        </w:rPr>
        <w:t xml:space="preserve"> sont administrées et instruites dans les conditions prévues à l’annexe </w:t>
      </w:r>
      <w:r w:rsidR="005858D6" w:rsidRPr="00332FCD">
        <w:rPr>
          <w:rFonts w:ascii="Andes" w:hAnsi="Andes" w:cs="Arial"/>
          <w:sz w:val="22"/>
          <w:szCs w:val="22"/>
        </w:rPr>
        <w:t xml:space="preserve">III, </w:t>
      </w:r>
      <w:r w:rsidR="000119F2" w:rsidRPr="00332FCD">
        <w:rPr>
          <w:rFonts w:ascii="Andes" w:hAnsi="Andes" w:cs="Arial"/>
          <w:sz w:val="22"/>
          <w:szCs w:val="22"/>
        </w:rPr>
        <w:t>Plaintes relatives à la passation des marchés</w:t>
      </w:r>
      <w:r w:rsidR="00FE621C" w:rsidRPr="00332FCD">
        <w:rPr>
          <w:rFonts w:ascii="Andes" w:hAnsi="Andes" w:cs="Arial"/>
          <w:sz w:val="22"/>
          <w:szCs w:val="22"/>
        </w:rPr>
        <w:t xml:space="preserve">. </w:t>
      </w:r>
      <w:r w:rsidR="000119F2" w:rsidRPr="00332FCD">
        <w:rPr>
          <w:rFonts w:ascii="Andes" w:hAnsi="Andes" w:cs="Arial"/>
          <w:sz w:val="22"/>
          <w:szCs w:val="22"/>
        </w:rPr>
        <w:t>Les marchés pour lesquels l’</w:t>
      </w:r>
      <w:r w:rsidR="001D623B" w:rsidRPr="00332FCD">
        <w:rPr>
          <w:rFonts w:ascii="Andes" w:hAnsi="Andes" w:cs="Arial"/>
          <w:sz w:val="22"/>
          <w:szCs w:val="22"/>
        </w:rPr>
        <w:t xml:space="preserve">Emprunteur </w:t>
      </w:r>
      <w:r w:rsidR="000119F2" w:rsidRPr="00332FCD">
        <w:rPr>
          <w:rFonts w:ascii="Andes" w:hAnsi="Andes" w:cs="Arial"/>
          <w:sz w:val="22"/>
          <w:szCs w:val="22"/>
        </w:rPr>
        <w:t>doit utiliser le</w:t>
      </w:r>
      <w:r w:rsidR="006B46BE">
        <w:rPr>
          <w:rFonts w:ascii="Andes" w:hAnsi="Andes" w:cs="Arial"/>
          <w:sz w:val="22"/>
          <w:szCs w:val="22"/>
        </w:rPr>
        <w:t>s</w:t>
      </w:r>
      <w:r w:rsidR="000119F2" w:rsidRPr="00332FCD">
        <w:rPr>
          <w:rFonts w:ascii="Andes" w:hAnsi="Andes" w:cs="Arial"/>
          <w:sz w:val="22"/>
          <w:szCs w:val="22"/>
        </w:rPr>
        <w:t xml:space="preserve"> DTPM sont indiqués </w:t>
      </w:r>
      <w:r w:rsidR="001D623B" w:rsidRPr="00332FCD">
        <w:rPr>
          <w:rFonts w:ascii="Andes" w:hAnsi="Andes" w:cs="Arial"/>
          <w:sz w:val="22"/>
          <w:szCs w:val="22"/>
        </w:rPr>
        <w:t>dans le Plan de Passation des Marchés du projet</w:t>
      </w:r>
      <w:r w:rsidR="006934A1" w:rsidRPr="00332FCD">
        <w:rPr>
          <w:rFonts w:ascii="Andes" w:hAnsi="Andes" w:cs="Arial"/>
          <w:sz w:val="22"/>
          <w:szCs w:val="22"/>
        </w:rPr>
        <w:t>.</w:t>
      </w:r>
    </w:p>
    <w:p w14:paraId="62B9C29A" w14:textId="0EC14F44" w:rsidR="005858D6" w:rsidRPr="00332FCD" w:rsidRDefault="001D623B" w:rsidP="003C30CC">
      <w:pPr>
        <w:pStyle w:val="Paragraphedeliste"/>
        <w:numPr>
          <w:ilvl w:val="1"/>
          <w:numId w:val="280"/>
        </w:numPr>
        <w:spacing w:before="0" w:line="240" w:lineRule="auto"/>
        <w:ind w:left="634" w:hanging="634"/>
        <w:contextualSpacing w:val="0"/>
        <w:rPr>
          <w:rFonts w:ascii="Andes" w:hAnsi="Andes" w:cs="Arial"/>
          <w:sz w:val="22"/>
          <w:szCs w:val="22"/>
        </w:rPr>
      </w:pPr>
      <w:r w:rsidRPr="00332FCD">
        <w:rPr>
          <w:rFonts w:ascii="Andes" w:hAnsi="Andes" w:cs="Arial"/>
          <w:sz w:val="22"/>
          <w:szCs w:val="22"/>
        </w:rPr>
        <w:t>Lorsque le</w:t>
      </w:r>
      <w:r w:rsidR="006B46BE">
        <w:rPr>
          <w:rFonts w:ascii="Andes" w:hAnsi="Andes" w:cs="Arial"/>
          <w:sz w:val="22"/>
          <w:szCs w:val="22"/>
        </w:rPr>
        <w:t>s</w:t>
      </w:r>
      <w:r w:rsidRPr="00332FCD">
        <w:rPr>
          <w:rFonts w:ascii="Andes" w:hAnsi="Andes" w:cs="Arial"/>
          <w:sz w:val="22"/>
          <w:szCs w:val="22"/>
        </w:rPr>
        <w:t xml:space="preserve"> DTPM doi</w:t>
      </w:r>
      <w:r w:rsidR="006B46BE">
        <w:rPr>
          <w:rFonts w:ascii="Andes" w:hAnsi="Andes" w:cs="Arial"/>
          <w:sz w:val="22"/>
          <w:szCs w:val="22"/>
        </w:rPr>
        <w:t>ven</w:t>
      </w:r>
      <w:r w:rsidRPr="00332FCD">
        <w:rPr>
          <w:rFonts w:ascii="Andes" w:hAnsi="Andes" w:cs="Arial"/>
          <w:sz w:val="22"/>
          <w:szCs w:val="22"/>
        </w:rPr>
        <w:t>t être utilisé</w:t>
      </w:r>
      <w:r w:rsidR="006B46BE">
        <w:rPr>
          <w:rFonts w:ascii="Andes" w:hAnsi="Andes" w:cs="Arial"/>
          <w:sz w:val="22"/>
          <w:szCs w:val="22"/>
        </w:rPr>
        <w:t>s</w:t>
      </w:r>
      <w:r w:rsidRPr="00332FCD">
        <w:rPr>
          <w:rFonts w:ascii="Andes" w:hAnsi="Andes" w:cs="Arial"/>
          <w:sz w:val="22"/>
          <w:szCs w:val="22"/>
        </w:rPr>
        <w:t xml:space="preserve">, </w:t>
      </w:r>
      <w:r w:rsidR="008822BD" w:rsidRPr="00332FCD">
        <w:rPr>
          <w:rFonts w:ascii="Andes" w:hAnsi="Andes" w:cs="Arial"/>
          <w:sz w:val="22"/>
          <w:szCs w:val="22"/>
        </w:rPr>
        <w:t xml:space="preserve">un </w:t>
      </w:r>
      <w:r w:rsidR="004C4E0B" w:rsidRPr="00332FCD">
        <w:rPr>
          <w:rFonts w:ascii="Andes" w:hAnsi="Andes" w:cs="Arial"/>
          <w:sz w:val="22"/>
          <w:szCs w:val="22"/>
        </w:rPr>
        <w:t xml:space="preserve">Délai </w:t>
      </w:r>
      <w:r w:rsidR="00E82604" w:rsidRPr="00332FCD">
        <w:rPr>
          <w:rFonts w:ascii="Andes" w:hAnsi="Andes" w:cs="Arial"/>
          <w:sz w:val="22"/>
          <w:szCs w:val="22"/>
        </w:rPr>
        <w:t>d’</w:t>
      </w:r>
      <w:r w:rsidR="00160553" w:rsidRPr="00332FCD">
        <w:rPr>
          <w:rFonts w:ascii="Andes" w:hAnsi="Andes" w:cs="Arial"/>
          <w:sz w:val="22"/>
          <w:szCs w:val="22"/>
        </w:rPr>
        <w:t>A</w:t>
      </w:r>
      <w:r w:rsidR="00E82604" w:rsidRPr="00332FCD">
        <w:rPr>
          <w:rFonts w:ascii="Andes" w:hAnsi="Andes" w:cs="Arial"/>
          <w:sz w:val="22"/>
          <w:szCs w:val="22"/>
        </w:rPr>
        <w:t xml:space="preserve">ttente </w:t>
      </w:r>
      <w:r w:rsidR="00FE621C" w:rsidRPr="00332FCD">
        <w:rPr>
          <w:rFonts w:ascii="Andes" w:hAnsi="Andes" w:cs="Arial"/>
          <w:sz w:val="22"/>
          <w:szCs w:val="22"/>
        </w:rPr>
        <w:t>s'applique,</w:t>
      </w:r>
      <w:r w:rsidR="008822BD" w:rsidRPr="00332FCD">
        <w:rPr>
          <w:rFonts w:ascii="Andes" w:hAnsi="Andes" w:cs="Arial"/>
          <w:sz w:val="22"/>
          <w:szCs w:val="22"/>
        </w:rPr>
        <w:t xml:space="preserve"> sauf disposition contraire du </w:t>
      </w:r>
      <w:r w:rsidR="00FE621C" w:rsidRPr="00332FCD">
        <w:rPr>
          <w:rFonts w:ascii="Andes" w:hAnsi="Andes" w:cs="Arial"/>
          <w:sz w:val="22"/>
          <w:szCs w:val="22"/>
        </w:rPr>
        <w:t>paragraphe</w:t>
      </w:r>
      <w:r w:rsidR="00FE621C" w:rsidRPr="00332FCD">
        <w:rPr>
          <w:rFonts w:ascii="Calibri" w:hAnsi="Calibri" w:cs="Calibri"/>
          <w:sz w:val="22"/>
          <w:szCs w:val="22"/>
        </w:rPr>
        <w:t> </w:t>
      </w:r>
      <w:r w:rsidR="00683450" w:rsidRPr="00332FCD">
        <w:rPr>
          <w:rFonts w:ascii="Andes" w:hAnsi="Andes" w:cs="Arial"/>
          <w:sz w:val="22"/>
          <w:szCs w:val="22"/>
        </w:rPr>
        <w:t>5.8</w:t>
      </w:r>
      <w:r w:rsidR="00C55958">
        <w:rPr>
          <w:rFonts w:ascii="Andes" w:hAnsi="Andes" w:cs="Arial"/>
          <w:sz w:val="22"/>
          <w:szCs w:val="22"/>
        </w:rPr>
        <w:t>1</w:t>
      </w:r>
      <w:r w:rsidR="005858D6" w:rsidRPr="00332FCD">
        <w:rPr>
          <w:rFonts w:ascii="Andes" w:hAnsi="Andes" w:cs="Arial"/>
          <w:sz w:val="22"/>
          <w:szCs w:val="22"/>
        </w:rPr>
        <w:t>.</w:t>
      </w:r>
    </w:p>
    <w:p w14:paraId="0B6B7BCB" w14:textId="290A9CE0" w:rsidR="002B636E" w:rsidRPr="00332FCD" w:rsidRDefault="00EA0BBD" w:rsidP="003C30CC">
      <w:pPr>
        <w:pStyle w:val="Paragraphedeliste"/>
        <w:numPr>
          <w:ilvl w:val="1"/>
          <w:numId w:val="280"/>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Les </w:t>
      </w:r>
      <w:r w:rsidR="00FE621C" w:rsidRPr="00332FCD">
        <w:rPr>
          <w:rFonts w:ascii="Andes" w:hAnsi="Andes" w:cs="Arial"/>
          <w:sz w:val="22"/>
          <w:szCs w:val="22"/>
        </w:rPr>
        <w:t>p</w:t>
      </w:r>
      <w:r w:rsidRPr="00332FCD">
        <w:rPr>
          <w:rFonts w:ascii="Andes" w:hAnsi="Andes" w:cs="Arial"/>
          <w:sz w:val="22"/>
          <w:szCs w:val="22"/>
        </w:rPr>
        <w:t>laintes, autres que celles couvertes par l’</w:t>
      </w:r>
      <w:r w:rsidR="00CD3917">
        <w:rPr>
          <w:rFonts w:ascii="Andes" w:hAnsi="Andes" w:cs="Arial"/>
          <w:sz w:val="22"/>
          <w:szCs w:val="22"/>
        </w:rPr>
        <w:t>A</w:t>
      </w:r>
      <w:r w:rsidRPr="00332FCD">
        <w:rPr>
          <w:rFonts w:ascii="Andes" w:hAnsi="Andes" w:cs="Arial"/>
          <w:sz w:val="22"/>
          <w:szCs w:val="22"/>
        </w:rPr>
        <w:t xml:space="preserve">nnexe </w:t>
      </w:r>
      <w:r w:rsidR="002B636E" w:rsidRPr="00332FCD">
        <w:rPr>
          <w:rFonts w:ascii="Andes" w:hAnsi="Andes" w:cs="Arial"/>
          <w:sz w:val="22"/>
          <w:szCs w:val="22"/>
        </w:rPr>
        <w:t>III</w:t>
      </w:r>
      <w:r w:rsidR="00C40FD9" w:rsidRPr="00332FCD">
        <w:rPr>
          <w:rFonts w:ascii="Andes" w:hAnsi="Andes" w:cs="Arial"/>
          <w:sz w:val="22"/>
          <w:szCs w:val="22"/>
        </w:rPr>
        <w:t>,</w:t>
      </w:r>
      <w:r w:rsidR="002B636E" w:rsidRPr="00332FCD">
        <w:rPr>
          <w:rFonts w:ascii="Andes" w:hAnsi="Andes" w:cs="Arial"/>
          <w:sz w:val="22"/>
          <w:szCs w:val="22"/>
        </w:rPr>
        <w:t xml:space="preserve"> </w:t>
      </w:r>
      <w:r w:rsidRPr="00332FCD">
        <w:rPr>
          <w:rFonts w:ascii="Andes" w:hAnsi="Andes" w:cs="Arial"/>
          <w:sz w:val="22"/>
          <w:szCs w:val="22"/>
        </w:rPr>
        <w:t>Plaintes relatives à la passation des marchés</w:t>
      </w:r>
      <w:r w:rsidR="009F7892" w:rsidRPr="00332FCD">
        <w:rPr>
          <w:rFonts w:ascii="Andes" w:hAnsi="Andes" w:cs="Arial"/>
          <w:sz w:val="22"/>
          <w:szCs w:val="22"/>
        </w:rPr>
        <w:t>,</w:t>
      </w:r>
      <w:r w:rsidRPr="00332FCD">
        <w:rPr>
          <w:rFonts w:ascii="Andes" w:hAnsi="Andes" w:cs="Arial"/>
          <w:sz w:val="22"/>
          <w:szCs w:val="22"/>
        </w:rPr>
        <w:t xml:space="preserve"> sont instruites par l’Emprunteur</w:t>
      </w:r>
      <w:r w:rsidR="004C4E0B" w:rsidRPr="00332FCD">
        <w:rPr>
          <w:rFonts w:ascii="Andes" w:hAnsi="Andes" w:cs="Arial"/>
          <w:sz w:val="22"/>
          <w:szCs w:val="22"/>
        </w:rPr>
        <w:t xml:space="preserve"> conformément aux règles </w:t>
      </w:r>
      <w:r w:rsidRPr="00332FCD">
        <w:rPr>
          <w:rFonts w:ascii="Andes" w:hAnsi="Andes" w:cs="Arial"/>
          <w:sz w:val="22"/>
          <w:szCs w:val="22"/>
        </w:rPr>
        <w:t>et procédures applicables à l’examen des plaintes</w:t>
      </w:r>
      <w:r w:rsidR="004C4E0B" w:rsidRPr="00332FCD">
        <w:rPr>
          <w:rFonts w:ascii="Andes" w:hAnsi="Andes" w:cs="Arial"/>
          <w:sz w:val="22"/>
          <w:szCs w:val="22"/>
        </w:rPr>
        <w:t xml:space="preserve">, dans des conditions approuvées </w:t>
      </w:r>
      <w:r w:rsidRPr="00332FCD">
        <w:rPr>
          <w:rFonts w:ascii="Andes" w:hAnsi="Andes" w:cs="Arial"/>
          <w:sz w:val="22"/>
          <w:szCs w:val="22"/>
        </w:rPr>
        <w:t xml:space="preserve">par la Banque. </w:t>
      </w:r>
    </w:p>
    <w:p w14:paraId="3578D92A" w14:textId="287A808F" w:rsidR="005858D6" w:rsidRPr="00332FCD" w:rsidRDefault="00696950" w:rsidP="003C30CC">
      <w:pPr>
        <w:pStyle w:val="Paragraphedeliste"/>
        <w:numPr>
          <w:ilvl w:val="1"/>
          <w:numId w:val="280"/>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Les Plaintes qui comportent des allégations de Fraude ou de Corruption pourraient </w:t>
      </w:r>
      <w:r w:rsidR="004C4E0B" w:rsidRPr="00332FCD">
        <w:rPr>
          <w:rFonts w:ascii="Andes" w:hAnsi="Andes" w:cs="Arial"/>
          <w:sz w:val="22"/>
          <w:szCs w:val="22"/>
        </w:rPr>
        <w:t>nécessiter une prise en charge particulière</w:t>
      </w:r>
      <w:r w:rsidRPr="00332FCD">
        <w:rPr>
          <w:rFonts w:ascii="Andes" w:hAnsi="Andes" w:cs="Arial"/>
          <w:sz w:val="22"/>
          <w:szCs w:val="22"/>
        </w:rPr>
        <w:t>. L’</w:t>
      </w:r>
      <w:r w:rsidR="004C4E0B" w:rsidRPr="00332FCD">
        <w:rPr>
          <w:rFonts w:ascii="Andes" w:hAnsi="Andes" w:cs="Arial"/>
          <w:sz w:val="22"/>
          <w:szCs w:val="22"/>
        </w:rPr>
        <w:t xml:space="preserve">Emprunteur </w:t>
      </w:r>
      <w:r w:rsidRPr="00332FCD">
        <w:rPr>
          <w:rFonts w:ascii="Andes" w:hAnsi="Andes" w:cs="Arial"/>
          <w:sz w:val="22"/>
          <w:szCs w:val="22"/>
        </w:rPr>
        <w:t xml:space="preserve">et la Banque </w:t>
      </w:r>
      <w:r w:rsidR="00E82604" w:rsidRPr="00332FCD">
        <w:rPr>
          <w:rFonts w:ascii="Andes" w:hAnsi="Andes" w:cs="Arial"/>
          <w:sz w:val="22"/>
          <w:szCs w:val="22"/>
        </w:rPr>
        <w:t xml:space="preserve">doivent </w:t>
      </w:r>
      <w:r w:rsidRPr="00332FCD">
        <w:rPr>
          <w:rFonts w:ascii="Andes" w:hAnsi="Andes" w:cs="Arial"/>
          <w:sz w:val="22"/>
          <w:szCs w:val="22"/>
        </w:rPr>
        <w:t>se consulte</w:t>
      </w:r>
      <w:r w:rsidR="00E82604" w:rsidRPr="00332FCD">
        <w:rPr>
          <w:rFonts w:ascii="Andes" w:hAnsi="Andes" w:cs="Arial"/>
          <w:sz w:val="22"/>
          <w:szCs w:val="22"/>
        </w:rPr>
        <w:t>r</w:t>
      </w:r>
      <w:r w:rsidRPr="00332FCD">
        <w:rPr>
          <w:rFonts w:ascii="Andes" w:hAnsi="Andes" w:cs="Arial"/>
          <w:sz w:val="22"/>
          <w:szCs w:val="22"/>
        </w:rPr>
        <w:t xml:space="preserve"> pour déterminer toutes mesures supplémentaires pouvant s’avérer nécessaires. </w:t>
      </w:r>
    </w:p>
    <w:p w14:paraId="782FDF7F" w14:textId="32B63C04" w:rsidR="00C811D2" w:rsidRPr="00332FCD" w:rsidRDefault="00813B7A" w:rsidP="00DA3824">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Fraude et C</w:t>
      </w:r>
      <w:r w:rsidR="00696950" w:rsidRPr="00332FCD">
        <w:rPr>
          <w:rFonts w:ascii="Andes" w:eastAsiaTheme="majorEastAsia" w:hAnsi="Andes" w:cstheme="majorBidi"/>
          <w:bCs w:val="0"/>
          <w:color w:val="C45911"/>
          <w:sz w:val="32"/>
          <w:szCs w:val="32"/>
        </w:rPr>
        <w:t>orruption</w:t>
      </w:r>
    </w:p>
    <w:p w14:paraId="74CFB3FD" w14:textId="294D2D4C" w:rsidR="00D34DC5" w:rsidRDefault="004C4E0B" w:rsidP="006B46BE">
      <w:pPr>
        <w:pStyle w:val="Paragraphedeliste"/>
        <w:numPr>
          <w:ilvl w:val="1"/>
          <w:numId w:val="280"/>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La </w:t>
      </w:r>
      <w:r w:rsidR="00696950" w:rsidRPr="00332FCD">
        <w:rPr>
          <w:rFonts w:ascii="Andes" w:hAnsi="Andes" w:cs="Arial"/>
          <w:sz w:val="22"/>
          <w:szCs w:val="22"/>
        </w:rPr>
        <w:t>Banque exige l’application et le respect de ses Directives pour la lutte contre la corruption</w:t>
      </w:r>
      <w:r w:rsidRPr="00332FCD">
        <w:rPr>
          <w:rFonts w:ascii="Andes" w:hAnsi="Andes" w:cs="Arial"/>
          <w:sz w:val="22"/>
          <w:szCs w:val="22"/>
        </w:rPr>
        <w:t>,</w:t>
      </w:r>
      <w:r w:rsidR="00696950" w:rsidRPr="00332FCD">
        <w:rPr>
          <w:rFonts w:ascii="Andes" w:hAnsi="Andes" w:cs="Arial"/>
          <w:sz w:val="22"/>
          <w:szCs w:val="22"/>
        </w:rPr>
        <w:t xml:space="preserve"> y compris</w:t>
      </w:r>
      <w:r w:rsidR="0064266F">
        <w:rPr>
          <w:rFonts w:ascii="Andes" w:hAnsi="Andes" w:cs="Arial"/>
          <w:sz w:val="22"/>
          <w:szCs w:val="22"/>
        </w:rPr>
        <w:t>,</w:t>
      </w:r>
      <w:r w:rsidRPr="00332FCD">
        <w:rPr>
          <w:rFonts w:ascii="Andes" w:hAnsi="Andes" w:cs="Arial"/>
          <w:sz w:val="22"/>
          <w:szCs w:val="22"/>
        </w:rPr>
        <w:t xml:space="preserve"> </w:t>
      </w:r>
      <w:r w:rsidR="0064266F">
        <w:rPr>
          <w:rFonts w:ascii="Andes" w:hAnsi="Andes" w:cs="Arial"/>
          <w:sz w:val="22"/>
          <w:szCs w:val="22"/>
        </w:rPr>
        <w:t>mais</w:t>
      </w:r>
      <w:r w:rsidR="00401351">
        <w:rPr>
          <w:rFonts w:ascii="Andes" w:hAnsi="Andes" w:cs="Arial"/>
          <w:sz w:val="22"/>
          <w:szCs w:val="22"/>
        </w:rPr>
        <w:t xml:space="preserve"> sans </w:t>
      </w:r>
      <w:r w:rsidR="0064266F">
        <w:rPr>
          <w:rFonts w:ascii="Andes" w:hAnsi="Andes" w:cs="Arial"/>
          <w:sz w:val="22"/>
          <w:szCs w:val="22"/>
        </w:rPr>
        <w:t xml:space="preserve">s’y limiter, </w:t>
      </w:r>
      <w:r w:rsidRPr="00332FCD">
        <w:rPr>
          <w:rFonts w:ascii="Andes" w:hAnsi="Andes" w:cs="Arial"/>
          <w:sz w:val="22"/>
          <w:szCs w:val="22"/>
        </w:rPr>
        <w:t xml:space="preserve"> </w:t>
      </w:r>
      <w:r w:rsidR="009C72A1" w:rsidRPr="00882278">
        <w:rPr>
          <w:rFonts w:ascii="Andes" w:hAnsi="Andes" w:cs="Arial"/>
          <w:sz w:val="22"/>
          <w:szCs w:val="22"/>
        </w:rPr>
        <w:t xml:space="preserve">le droit de la Banque </w:t>
      </w:r>
      <w:r w:rsidR="00696950" w:rsidRPr="00332FCD">
        <w:rPr>
          <w:rFonts w:ascii="Andes" w:hAnsi="Andes" w:cs="Arial"/>
          <w:sz w:val="22"/>
          <w:szCs w:val="22"/>
        </w:rPr>
        <w:t>droit</w:t>
      </w:r>
      <w:r w:rsidR="009E6FD5" w:rsidRPr="00332FCD">
        <w:rPr>
          <w:rFonts w:ascii="Andes" w:hAnsi="Andes" w:cs="Arial"/>
          <w:sz w:val="22"/>
          <w:szCs w:val="22"/>
        </w:rPr>
        <w:t xml:space="preserve"> d’infliger des sanctions </w:t>
      </w:r>
      <w:r w:rsidR="00696950" w:rsidRPr="00332FCD">
        <w:rPr>
          <w:rFonts w:ascii="Andes" w:hAnsi="Andes" w:cs="Arial"/>
          <w:sz w:val="22"/>
          <w:szCs w:val="22"/>
        </w:rPr>
        <w:t xml:space="preserve">et ses droits d’inspection et d’audit. Pour plus de détails, voir </w:t>
      </w:r>
      <w:r w:rsidR="001517C6">
        <w:rPr>
          <w:rFonts w:ascii="Andes" w:hAnsi="Andes" w:cs="Arial"/>
          <w:sz w:val="22"/>
          <w:szCs w:val="22"/>
        </w:rPr>
        <w:t>A</w:t>
      </w:r>
      <w:r w:rsidR="00696950" w:rsidRPr="00332FCD">
        <w:rPr>
          <w:rFonts w:ascii="Andes" w:hAnsi="Andes" w:cs="Arial"/>
          <w:sz w:val="22"/>
          <w:szCs w:val="22"/>
        </w:rPr>
        <w:t xml:space="preserve">nnexe </w:t>
      </w:r>
      <w:r w:rsidR="00871B06" w:rsidRPr="00332FCD">
        <w:rPr>
          <w:rFonts w:ascii="Andes" w:hAnsi="Andes" w:cs="Arial"/>
          <w:sz w:val="22"/>
          <w:szCs w:val="22"/>
        </w:rPr>
        <w:t xml:space="preserve">IV, </w:t>
      </w:r>
      <w:r w:rsidR="00696950" w:rsidRPr="00332FCD">
        <w:rPr>
          <w:rFonts w:ascii="Andes" w:hAnsi="Andes" w:cs="Arial"/>
          <w:sz w:val="22"/>
          <w:szCs w:val="22"/>
        </w:rPr>
        <w:t>Fraude et corruption</w:t>
      </w:r>
      <w:r w:rsidR="00D34DC5">
        <w:rPr>
          <w:rFonts w:ascii="Andes" w:hAnsi="Andes" w:cs="Arial"/>
          <w:sz w:val="22"/>
          <w:szCs w:val="22"/>
        </w:rPr>
        <w:t>.</w:t>
      </w:r>
    </w:p>
    <w:p w14:paraId="4566162E" w14:textId="60DEC528" w:rsidR="00D34DC5" w:rsidRDefault="00D34DC5" w:rsidP="00D34DC5">
      <w:pPr>
        <w:pStyle w:val="Paragraphedeliste"/>
        <w:spacing w:before="0" w:line="240" w:lineRule="auto"/>
        <w:ind w:left="634"/>
        <w:contextualSpacing w:val="0"/>
        <w:rPr>
          <w:rFonts w:ascii="Andes" w:hAnsi="Andes" w:cs="Arial"/>
          <w:sz w:val="22"/>
          <w:szCs w:val="22"/>
        </w:rPr>
      </w:pPr>
    </w:p>
    <w:p w14:paraId="5D3E70C9" w14:textId="2EF90750" w:rsidR="00D34DC5" w:rsidRPr="003C30CC" w:rsidRDefault="00D34DC5" w:rsidP="003C30CC">
      <w:pPr>
        <w:pStyle w:val="Paragraphedeliste"/>
        <w:spacing w:before="0" w:line="240" w:lineRule="auto"/>
        <w:contextualSpacing w:val="0"/>
        <w:rPr>
          <w:rFonts w:ascii="Andes" w:eastAsiaTheme="majorEastAsia" w:hAnsi="Andes" w:cstheme="majorBidi"/>
          <w:b/>
          <w:color w:val="C45911"/>
          <w:sz w:val="32"/>
          <w:szCs w:val="32"/>
        </w:rPr>
      </w:pPr>
      <w:r w:rsidRPr="003C30CC">
        <w:rPr>
          <w:rFonts w:ascii="Andes" w:eastAsiaTheme="majorEastAsia" w:hAnsi="Andes" w:cstheme="majorBidi"/>
          <w:b/>
          <w:color w:val="C45911"/>
          <w:sz w:val="32"/>
          <w:szCs w:val="32"/>
        </w:rPr>
        <w:t>Disqualification des Firmes</w:t>
      </w:r>
    </w:p>
    <w:p w14:paraId="49268864" w14:textId="331774EE" w:rsidR="00D34DC5" w:rsidRPr="003C30CC" w:rsidRDefault="00D34DC5" w:rsidP="003C30CC">
      <w:pPr>
        <w:pStyle w:val="Paragraphedeliste"/>
        <w:numPr>
          <w:ilvl w:val="1"/>
          <w:numId w:val="280"/>
        </w:numPr>
        <w:spacing w:before="0" w:line="240" w:lineRule="auto"/>
        <w:ind w:left="634" w:hanging="634"/>
        <w:contextualSpacing w:val="0"/>
        <w:rPr>
          <w:rFonts w:ascii="Andes" w:hAnsi="Andes" w:cs="Arial"/>
          <w:sz w:val="22"/>
          <w:szCs w:val="22"/>
        </w:rPr>
        <w:sectPr w:rsidR="00D34DC5" w:rsidRPr="003C30CC" w:rsidSect="00AA3E7A">
          <w:headerReference w:type="default" r:id="rId19"/>
          <w:footnotePr>
            <w:numRestart w:val="eachSect"/>
          </w:footnotePr>
          <w:pgSz w:w="12240" w:h="15840"/>
          <w:pgMar w:top="1872" w:right="1440" w:bottom="1440" w:left="1440" w:header="720" w:footer="720" w:gutter="0"/>
          <w:cols w:space="720"/>
          <w:docGrid w:linePitch="360"/>
        </w:sectPr>
      </w:pPr>
      <w:r>
        <w:rPr>
          <w:rFonts w:ascii="Andes" w:hAnsi="Andes" w:cs="Arial"/>
          <w:sz w:val="22"/>
          <w:szCs w:val="22"/>
        </w:rPr>
        <w:t>La Banque peut disqualifier une firme d’être attributaire d</w:t>
      </w:r>
      <w:r w:rsidR="00E948C6">
        <w:rPr>
          <w:rFonts w:ascii="Andes" w:hAnsi="Andes" w:cs="Arial"/>
          <w:sz w:val="22"/>
          <w:szCs w:val="22"/>
        </w:rPr>
        <w:t>’u</w:t>
      </w:r>
      <w:r>
        <w:rPr>
          <w:rFonts w:ascii="Andes" w:hAnsi="Andes" w:cs="Arial"/>
          <w:sz w:val="22"/>
          <w:szCs w:val="22"/>
        </w:rPr>
        <w:t xml:space="preserve">n marché, financé en tout ou partie par la Banque, pour une période de deux ans si la firme a été reconnue </w:t>
      </w:r>
      <w:r w:rsidR="00E948C6">
        <w:rPr>
          <w:rFonts w:ascii="Andes" w:hAnsi="Andes" w:cs="Arial"/>
          <w:sz w:val="22"/>
          <w:szCs w:val="22"/>
        </w:rPr>
        <w:t xml:space="preserve">en non-conformité avec les </w:t>
      </w:r>
      <w:r w:rsidR="00E948C6">
        <w:rPr>
          <w:rFonts w:ascii="Andes" w:hAnsi="Andes" w:cs="Arial"/>
          <w:sz w:val="22"/>
          <w:szCs w:val="22"/>
        </w:rPr>
        <w:lastRenderedPageBreak/>
        <w:t>obligations contractuelles en matière d</w:t>
      </w:r>
      <w:r>
        <w:rPr>
          <w:rFonts w:ascii="Andes" w:hAnsi="Andes" w:cs="Arial"/>
          <w:sz w:val="22"/>
          <w:szCs w:val="22"/>
        </w:rPr>
        <w:t>e</w:t>
      </w:r>
      <w:r w:rsidR="00E948C6">
        <w:rPr>
          <w:rFonts w:ascii="Andes" w:hAnsi="Andes" w:cs="Arial"/>
          <w:sz w:val="22"/>
          <w:szCs w:val="22"/>
        </w:rPr>
        <w:t xml:space="preserve"> Prévention et de Réponse EAS/HS. La détermination de la non-conformité doit être effectuée selon les procédures spécifiées dans le DTPM applicable.</w:t>
      </w:r>
      <w:r>
        <w:rPr>
          <w:rFonts w:ascii="Andes" w:hAnsi="Andes" w:cs="Arial"/>
          <w:sz w:val="22"/>
          <w:szCs w:val="22"/>
        </w:rPr>
        <w:t xml:space="preserve"> </w:t>
      </w:r>
    </w:p>
    <w:p w14:paraId="4336DFA9" w14:textId="7C4550C8" w:rsidR="00901BCC" w:rsidRPr="00332FCD" w:rsidRDefault="000C3B06" w:rsidP="00FA0EEE">
      <w:pPr>
        <w:pStyle w:val="REGsH1"/>
        <w:jc w:val="both"/>
      </w:pPr>
      <w:bookmarkStart w:id="938" w:name="_Toc453544268"/>
      <w:r w:rsidRPr="00332FCD">
        <w:rPr>
          <w:rFonts w:cs="Microsoft Sans Serif"/>
          <w:noProof/>
          <w:color w:val="002060"/>
          <w:lang w:val="en-US"/>
        </w:rPr>
        <w:lastRenderedPageBreak/>
        <mc:AlternateContent>
          <mc:Choice Requires="wps">
            <w:drawing>
              <wp:anchor distT="0" distB="0" distL="114300" distR="114300" simplePos="0" relativeHeight="251666432" behindDoc="0" locked="0" layoutInCell="1" allowOverlap="1" wp14:anchorId="6C475562" wp14:editId="62A9DCA9">
                <wp:simplePos x="0" y="0"/>
                <wp:positionH relativeFrom="page">
                  <wp:posOffset>0</wp:posOffset>
                </wp:positionH>
                <wp:positionV relativeFrom="paragraph">
                  <wp:posOffset>-1190320</wp:posOffset>
                </wp:positionV>
                <wp:extent cx="8082951" cy="1379855"/>
                <wp:effectExtent l="0" t="0" r="0" b="0"/>
                <wp:wrapNone/>
                <wp:docPr id="10" name="Rectangle 10"/>
                <wp:cNvGraphicFramePr/>
                <a:graphic xmlns:a="http://schemas.openxmlformats.org/drawingml/2006/main">
                  <a:graphicData uri="http://schemas.microsoft.com/office/word/2010/wordprocessingShape">
                    <wps:wsp>
                      <wps:cNvSpPr/>
                      <wps:spPr>
                        <a:xfrm>
                          <a:off x="0" y="0"/>
                          <a:ext cx="8082951" cy="1379855"/>
                        </a:xfrm>
                        <a:prstGeom prst="rect">
                          <a:avLst/>
                        </a:prstGeom>
                        <a:solidFill>
                          <a:srgbClr val="002060"/>
                        </a:solidFill>
                        <a:ln w="12700" cap="flat" cmpd="sng" algn="ctr">
                          <a:noFill/>
                          <a:prstDash val="solid"/>
                          <a:miter lim="800000"/>
                        </a:ln>
                        <a:effectLst/>
                      </wps:spPr>
                      <wps:txbx>
                        <w:txbxContent>
                          <w:p w14:paraId="42C42B81" w14:textId="4367A0F1" w:rsidR="00A41794" w:rsidRPr="005E2862" w:rsidRDefault="00A41794" w:rsidP="0034437A">
                            <w:pPr>
                              <w:ind w:left="3600" w:hanging="2250"/>
                              <w:rPr>
                                <w:rFonts w:ascii="Andes" w:hAnsi="Andes"/>
                                <w:sz w:val="44"/>
                                <w:szCs w:val="44"/>
                              </w:rPr>
                            </w:pPr>
                            <w:r w:rsidRPr="005E2862">
                              <w:rPr>
                                <w:rFonts w:ascii="Andes" w:hAnsi="Andes"/>
                                <w:sz w:val="44"/>
                                <w:szCs w:val="44"/>
                              </w:rPr>
                              <w:t>Section IV.</w:t>
                            </w:r>
                            <w:r w:rsidRPr="005E2862">
                              <w:rPr>
                                <w:rFonts w:ascii="Andes" w:hAnsi="Andes"/>
                                <w:sz w:val="44"/>
                                <w:szCs w:val="44"/>
                              </w:rPr>
                              <w:tab/>
                            </w:r>
                            <w:r w:rsidR="00A90805">
                              <w:rPr>
                                <w:rFonts w:ascii="Andes" w:hAnsi="Andes"/>
                                <w:sz w:val="44"/>
                                <w:szCs w:val="44"/>
                              </w:rPr>
                              <w:t>SPMPD</w:t>
                            </w:r>
                            <w:r w:rsidR="00A90805" w:rsidRPr="005E2862">
                              <w:rPr>
                                <w:rFonts w:ascii="Andes" w:hAnsi="Andes"/>
                                <w:sz w:val="44"/>
                                <w:szCs w:val="44"/>
                              </w:rPr>
                              <w:t xml:space="preserve"> </w:t>
                            </w:r>
                            <w:r w:rsidRPr="005E2862">
                              <w:rPr>
                                <w:rFonts w:ascii="Andes" w:hAnsi="Andes"/>
                                <w:sz w:val="44"/>
                                <w:szCs w:val="44"/>
                              </w:rPr>
                              <w:t xml:space="preserve">et Plan </w:t>
                            </w:r>
                            <w:r>
                              <w:rPr>
                                <w:rFonts w:ascii="Andes" w:hAnsi="Andes"/>
                                <w:sz w:val="44"/>
                                <w:szCs w:val="44"/>
                              </w:rPr>
                              <w:t>de Passation des Marchés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6C475562" id="Rectangle 10" o:spid="_x0000_s1033" style="position:absolute;left:0;text-align:left;margin-left:0;margin-top:-93.75pt;width:636.45pt;height:108.65pt;z-index:2516664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" fillcolor="#002060" stroked="f" strokeweight="1pt">
                <v:textbox>
                  <w:txbxContent>
                    <w:p w14:paraId="42C42B81" w14:textId="4367A0F1" w:rsidR="00A41794" w:rsidRPr="005E2862" w:rsidRDefault="00A41794" w:rsidP="0034437A">
                      <w:pPr>
                        <w:ind w:left="3600" w:hanging="2250"/>
                        <w:rPr>
                          <w:rFonts w:ascii="Andes" w:hAnsi="Andes"/>
                          <w:sz w:val="44"/>
                          <w:szCs w:val="44"/>
                        </w:rPr>
                      </w:pPr>
                      <w:r w:rsidRPr="005E2862">
                        <w:rPr>
                          <w:rFonts w:ascii="Andes" w:hAnsi="Andes"/>
                          <w:sz w:val="44"/>
                          <w:szCs w:val="44"/>
                        </w:rPr>
                        <w:t>Section IV.</w:t>
                      </w:r>
                      <w:r w:rsidRPr="005E2862">
                        <w:rPr>
                          <w:rFonts w:ascii="Andes" w:hAnsi="Andes"/>
                          <w:sz w:val="44"/>
                          <w:szCs w:val="44"/>
                        </w:rPr>
                        <w:tab/>
                      </w:r>
                      <w:r w:rsidR="00A90805">
                        <w:rPr>
                          <w:rFonts w:ascii="Andes" w:hAnsi="Andes"/>
                          <w:sz w:val="44"/>
                          <w:szCs w:val="44"/>
                        </w:rPr>
                        <w:t>SPMPD</w:t>
                      </w:r>
                      <w:r w:rsidR="00A90805" w:rsidRPr="005E2862">
                        <w:rPr>
                          <w:rFonts w:ascii="Andes" w:hAnsi="Andes"/>
                          <w:sz w:val="44"/>
                          <w:szCs w:val="44"/>
                        </w:rPr>
                        <w:t xml:space="preserve"> </w:t>
                      </w:r>
                      <w:r w:rsidRPr="005E2862">
                        <w:rPr>
                          <w:rFonts w:ascii="Andes" w:hAnsi="Andes"/>
                          <w:sz w:val="44"/>
                          <w:szCs w:val="44"/>
                        </w:rPr>
                        <w:t xml:space="preserve">et Plan </w:t>
                      </w:r>
                      <w:r>
                        <w:rPr>
                          <w:rFonts w:ascii="Andes" w:hAnsi="Andes"/>
                          <w:sz w:val="44"/>
                          <w:szCs w:val="44"/>
                        </w:rPr>
                        <w:t>de Passation des Marchés</w:t>
                      </w:r>
                    </w:p>
                  </w:txbxContent>
                </v:textbox>
                <w10:wrap anchorx="page"/>
              </v:rect>
            </w:pict>
          </mc:Fallback>
        </mc:AlternateContent>
      </w:r>
      <w:r w:rsidR="00EA632A" w:rsidRPr="00332FCD">
        <w:t>Section IV</w:t>
      </w:r>
      <w:r w:rsidR="00FE621C" w:rsidRPr="00332FCD">
        <w:t xml:space="preserve">. </w:t>
      </w:r>
      <w:r w:rsidR="00EA632A" w:rsidRPr="00332FCD">
        <w:t xml:space="preserve">PPSD and </w:t>
      </w:r>
      <w:proofErr w:type="spellStart"/>
      <w:r w:rsidR="00EA632A" w:rsidRPr="00332FCD">
        <w:t>Procurement</w:t>
      </w:r>
      <w:proofErr w:type="spellEnd"/>
      <w:r w:rsidR="00EA632A" w:rsidRPr="00332FCD">
        <w:t xml:space="preserve"> Plan</w:t>
      </w:r>
      <w:bookmarkEnd w:id="938"/>
    </w:p>
    <w:p w14:paraId="0B098B6D" w14:textId="26663CBF" w:rsidR="005E2862" w:rsidRPr="00332FCD" w:rsidRDefault="005E2862" w:rsidP="007B600F">
      <w:pPr>
        <w:pStyle w:val="Style2"/>
        <w:keepNext/>
        <w:keepLines/>
        <w:widowControl/>
        <w:tabs>
          <w:tab w:val="left" w:pos="1710"/>
        </w:tabs>
        <w:autoSpaceDE/>
        <w:autoSpaceDN/>
        <w:adjustRightInd/>
        <w:spacing w:before="200" w:after="200"/>
        <w:contextualSpacing w:val="0"/>
        <w:outlineLvl w:val="0"/>
        <w:rPr>
          <w:rFonts w:ascii="Andes" w:eastAsiaTheme="majorEastAsia" w:hAnsi="Andes" w:cstheme="majorBidi"/>
          <w:bCs w:val="0"/>
          <w:color w:val="C45911"/>
          <w:sz w:val="32"/>
          <w:szCs w:val="32"/>
        </w:rPr>
      </w:pPr>
      <w:bookmarkStart w:id="939" w:name="_Toc453170848"/>
      <w:bookmarkStart w:id="940" w:name="_Toc453544269"/>
      <w:r w:rsidRPr="00332FCD">
        <w:rPr>
          <w:rFonts w:ascii="Andes" w:eastAsiaTheme="majorEastAsia" w:hAnsi="Andes" w:cstheme="majorBidi"/>
          <w:bCs w:val="0"/>
          <w:color w:val="C45911"/>
          <w:sz w:val="32"/>
          <w:szCs w:val="32"/>
        </w:rPr>
        <w:t xml:space="preserve">Stratégie de passation des marchés du projet pour promouvoir le développement </w:t>
      </w:r>
      <w:bookmarkEnd w:id="939"/>
      <w:bookmarkEnd w:id="940"/>
    </w:p>
    <w:p w14:paraId="1821FD21" w14:textId="617105E5" w:rsidR="00380012" w:rsidRPr="00882278" w:rsidRDefault="00380012" w:rsidP="00882278">
      <w:pPr>
        <w:pStyle w:val="Paragraphedeliste"/>
        <w:numPr>
          <w:ilvl w:val="0"/>
          <w:numId w:val="77"/>
        </w:numPr>
        <w:spacing w:before="0" w:line="240" w:lineRule="auto"/>
        <w:ind w:left="634" w:hanging="634"/>
        <w:contextualSpacing w:val="0"/>
        <w:rPr>
          <w:rFonts w:ascii="Andes" w:hAnsi="Andes" w:cs="Arial"/>
          <w:sz w:val="22"/>
          <w:szCs w:val="22"/>
        </w:rPr>
      </w:pPr>
      <w:r w:rsidRPr="00882278">
        <w:rPr>
          <w:rFonts w:ascii="Andes" w:hAnsi="Andes" w:cs="Arial"/>
          <w:sz w:val="22"/>
          <w:szCs w:val="22"/>
        </w:rPr>
        <w:t>La Banque demande à l'</w:t>
      </w:r>
      <w:r w:rsidR="00AC7DF4">
        <w:rPr>
          <w:rFonts w:ascii="Andes" w:hAnsi="Andes" w:cs="Arial"/>
          <w:sz w:val="22"/>
          <w:szCs w:val="22"/>
        </w:rPr>
        <w:t>E</w:t>
      </w:r>
      <w:r w:rsidRPr="00882278">
        <w:rPr>
          <w:rFonts w:ascii="Andes" w:hAnsi="Andes" w:cs="Arial"/>
          <w:sz w:val="22"/>
          <w:szCs w:val="22"/>
        </w:rPr>
        <w:t xml:space="preserve">mprunteur d'élaborer une </w:t>
      </w:r>
      <w:r w:rsidR="00AC7DF4">
        <w:rPr>
          <w:rFonts w:ascii="Andes" w:hAnsi="Andes" w:cs="Arial"/>
          <w:sz w:val="22"/>
          <w:szCs w:val="22"/>
        </w:rPr>
        <w:t>S</w:t>
      </w:r>
      <w:r w:rsidRPr="00882278">
        <w:rPr>
          <w:rFonts w:ascii="Andes" w:hAnsi="Andes" w:cs="Arial"/>
          <w:sz w:val="22"/>
          <w:szCs w:val="22"/>
        </w:rPr>
        <w:t xml:space="preserve">tratégie de </w:t>
      </w:r>
      <w:r w:rsidR="00AC7DF4">
        <w:rPr>
          <w:rFonts w:ascii="Andes" w:hAnsi="Andes" w:cs="Arial"/>
          <w:sz w:val="22"/>
          <w:szCs w:val="22"/>
        </w:rPr>
        <w:t>P</w:t>
      </w:r>
      <w:r w:rsidRPr="00882278">
        <w:rPr>
          <w:rFonts w:ascii="Andes" w:hAnsi="Andes" w:cs="Arial"/>
          <w:sz w:val="22"/>
          <w:szCs w:val="22"/>
        </w:rPr>
        <w:t xml:space="preserve">assation des </w:t>
      </w:r>
      <w:r w:rsidR="00AC7DF4">
        <w:rPr>
          <w:rFonts w:ascii="Andes" w:hAnsi="Andes" w:cs="Arial"/>
          <w:sz w:val="22"/>
          <w:szCs w:val="22"/>
        </w:rPr>
        <w:t>M</w:t>
      </w:r>
      <w:r w:rsidRPr="00882278">
        <w:rPr>
          <w:rFonts w:ascii="Andes" w:hAnsi="Andes" w:cs="Arial"/>
          <w:sz w:val="22"/>
          <w:szCs w:val="22"/>
        </w:rPr>
        <w:t>archés</w:t>
      </w:r>
      <w:r w:rsidR="00AC7DF4">
        <w:rPr>
          <w:rFonts w:ascii="Andes" w:hAnsi="Andes" w:cs="Arial"/>
          <w:sz w:val="22"/>
          <w:szCs w:val="22"/>
        </w:rPr>
        <w:t xml:space="preserve"> </w:t>
      </w:r>
      <w:r w:rsidRPr="00882278">
        <w:rPr>
          <w:rFonts w:ascii="Andes" w:hAnsi="Andes" w:cs="Arial"/>
          <w:sz w:val="22"/>
          <w:szCs w:val="22"/>
        </w:rPr>
        <w:t xml:space="preserve">pour le </w:t>
      </w:r>
      <w:r w:rsidR="00AC7DF4">
        <w:rPr>
          <w:rFonts w:ascii="Andes" w:hAnsi="Andes" w:cs="Arial"/>
          <w:sz w:val="22"/>
          <w:szCs w:val="22"/>
        </w:rPr>
        <w:t>D</w:t>
      </w:r>
      <w:r w:rsidRPr="00882278">
        <w:rPr>
          <w:rFonts w:ascii="Andes" w:hAnsi="Andes" w:cs="Arial"/>
          <w:sz w:val="22"/>
          <w:szCs w:val="22"/>
        </w:rPr>
        <w:t>éveloppement (</w:t>
      </w:r>
      <w:r w:rsidR="00AC7DF4">
        <w:rPr>
          <w:rFonts w:ascii="Andes" w:hAnsi="Andes" w:cs="Arial"/>
          <w:sz w:val="22"/>
          <w:szCs w:val="22"/>
        </w:rPr>
        <w:t>SPMP</w:t>
      </w:r>
      <w:r w:rsidRPr="00882278">
        <w:rPr>
          <w:rFonts w:ascii="Andes" w:hAnsi="Andes" w:cs="Arial"/>
          <w:sz w:val="22"/>
          <w:szCs w:val="22"/>
        </w:rPr>
        <w:t xml:space="preserve">D) pour chaque projet financé dans le cadre de </w:t>
      </w:r>
      <w:r w:rsidR="005332C1">
        <w:rPr>
          <w:rFonts w:ascii="Andes" w:hAnsi="Andes" w:cs="Arial"/>
          <w:sz w:val="22"/>
          <w:szCs w:val="22"/>
        </w:rPr>
        <w:t>FPI</w:t>
      </w:r>
      <w:r w:rsidRPr="00882278">
        <w:rPr>
          <w:rFonts w:ascii="Andes" w:hAnsi="Andes" w:cs="Arial"/>
          <w:sz w:val="22"/>
          <w:szCs w:val="22"/>
        </w:rPr>
        <w:t>. La longueur, le niveau de détail et l'analyse d</w:t>
      </w:r>
      <w:r w:rsidR="005332C1">
        <w:rPr>
          <w:rFonts w:ascii="Andes" w:hAnsi="Andes" w:cs="Arial"/>
          <w:sz w:val="22"/>
          <w:szCs w:val="22"/>
        </w:rPr>
        <w:t>e la</w:t>
      </w:r>
      <w:r w:rsidRPr="00882278">
        <w:rPr>
          <w:rFonts w:ascii="Andes" w:hAnsi="Andes" w:cs="Arial"/>
          <w:sz w:val="22"/>
          <w:szCs w:val="22"/>
        </w:rPr>
        <w:t xml:space="preserve"> </w:t>
      </w:r>
      <w:r w:rsidR="005332C1">
        <w:rPr>
          <w:rFonts w:ascii="Andes" w:hAnsi="Andes" w:cs="Arial"/>
          <w:sz w:val="22"/>
          <w:szCs w:val="22"/>
        </w:rPr>
        <w:t>SPMPD</w:t>
      </w:r>
      <w:r w:rsidRPr="00882278">
        <w:rPr>
          <w:rFonts w:ascii="Andes" w:hAnsi="Andes" w:cs="Arial"/>
          <w:sz w:val="22"/>
          <w:szCs w:val="22"/>
        </w:rPr>
        <w:t xml:space="preserve"> doivent être proportionnels au risque, à la valeur et à la complexité </w:t>
      </w:r>
      <w:r w:rsidR="00B52350">
        <w:rPr>
          <w:rFonts w:ascii="Andes" w:hAnsi="Andes" w:cs="Arial"/>
          <w:sz w:val="22"/>
          <w:szCs w:val="22"/>
        </w:rPr>
        <w:t>des acquisitions</w:t>
      </w:r>
      <w:r w:rsidRPr="00882278">
        <w:rPr>
          <w:rFonts w:ascii="Andes" w:hAnsi="Andes" w:cs="Arial"/>
          <w:sz w:val="22"/>
          <w:szCs w:val="22"/>
        </w:rPr>
        <w:t xml:space="preserve"> du projet. Voir l'</w:t>
      </w:r>
      <w:r w:rsidR="00B52350">
        <w:rPr>
          <w:rFonts w:ascii="Andes" w:hAnsi="Andes" w:cs="Arial"/>
          <w:sz w:val="22"/>
          <w:szCs w:val="22"/>
        </w:rPr>
        <w:t>A</w:t>
      </w:r>
      <w:r w:rsidRPr="00882278">
        <w:rPr>
          <w:rFonts w:ascii="Andes" w:hAnsi="Andes" w:cs="Arial"/>
          <w:sz w:val="22"/>
          <w:szCs w:val="22"/>
        </w:rPr>
        <w:t>nnexe V pour plus d'informations.</w:t>
      </w:r>
    </w:p>
    <w:p w14:paraId="6AF8A145" w14:textId="5A46BA45" w:rsidR="00380012" w:rsidRDefault="00380012" w:rsidP="002207C7">
      <w:pPr>
        <w:pStyle w:val="Paragraphedeliste"/>
        <w:numPr>
          <w:ilvl w:val="0"/>
          <w:numId w:val="77"/>
        </w:numPr>
        <w:spacing w:before="0" w:line="240" w:lineRule="auto"/>
        <w:ind w:left="634" w:hanging="634"/>
        <w:contextualSpacing w:val="0"/>
        <w:rPr>
          <w:rFonts w:ascii="Andes" w:hAnsi="Andes" w:cs="Arial"/>
          <w:sz w:val="22"/>
          <w:szCs w:val="22"/>
        </w:rPr>
      </w:pPr>
      <w:r w:rsidRPr="00882278">
        <w:rPr>
          <w:rFonts w:ascii="Andes" w:hAnsi="Andes" w:cs="Arial"/>
          <w:sz w:val="22"/>
          <w:szCs w:val="22"/>
        </w:rPr>
        <w:t>L</w:t>
      </w:r>
      <w:r w:rsidR="00276EDF">
        <w:rPr>
          <w:rFonts w:ascii="Andes" w:hAnsi="Andes" w:cs="Arial"/>
          <w:sz w:val="22"/>
          <w:szCs w:val="22"/>
        </w:rPr>
        <w:t>a SPMPD doit</w:t>
      </w:r>
      <w:r w:rsidRPr="00882278">
        <w:rPr>
          <w:rFonts w:ascii="Andes" w:hAnsi="Andes" w:cs="Arial"/>
          <w:sz w:val="22"/>
          <w:szCs w:val="22"/>
        </w:rPr>
        <w:t xml:space="preserve"> traite</w:t>
      </w:r>
      <w:r w:rsidR="00276EDF">
        <w:rPr>
          <w:rFonts w:ascii="Andes" w:hAnsi="Andes" w:cs="Arial"/>
          <w:sz w:val="22"/>
          <w:szCs w:val="22"/>
        </w:rPr>
        <w:t>r</w:t>
      </w:r>
      <w:r w:rsidRPr="00882278">
        <w:rPr>
          <w:rFonts w:ascii="Andes" w:hAnsi="Andes" w:cs="Arial"/>
          <w:sz w:val="22"/>
          <w:szCs w:val="22"/>
        </w:rPr>
        <w:t xml:space="preserve"> de la manière dont les activités de passation de marchés soutiennent les objectifs de développement du projet et permettent d'</w:t>
      </w:r>
      <w:r w:rsidR="00CC39E8" w:rsidRPr="00332FCD">
        <w:rPr>
          <w:rFonts w:ascii="Andes" w:hAnsi="Andes" w:cs="Arial"/>
          <w:sz w:val="22"/>
          <w:szCs w:val="22"/>
        </w:rPr>
        <w:t>optimiser l’utilisation des ressources</w:t>
      </w:r>
      <w:r w:rsidRPr="00882278">
        <w:rPr>
          <w:rFonts w:ascii="Andes" w:hAnsi="Andes" w:cs="Arial"/>
          <w:sz w:val="22"/>
          <w:szCs w:val="22"/>
        </w:rPr>
        <w:t xml:space="preserve"> dans le cadre d'une approche fondée sur les risques. L</w:t>
      </w:r>
      <w:r w:rsidR="00DB5563">
        <w:rPr>
          <w:rFonts w:ascii="Andes" w:hAnsi="Andes" w:cs="Arial"/>
          <w:sz w:val="22"/>
          <w:szCs w:val="22"/>
        </w:rPr>
        <w:t>a SPMPD</w:t>
      </w:r>
      <w:r w:rsidRPr="00882278">
        <w:rPr>
          <w:rFonts w:ascii="Andes" w:hAnsi="Andes" w:cs="Arial"/>
          <w:sz w:val="22"/>
          <w:szCs w:val="22"/>
        </w:rPr>
        <w:t xml:space="preserve"> </w:t>
      </w:r>
      <w:r w:rsidR="00DB5563">
        <w:rPr>
          <w:rFonts w:ascii="Andes" w:hAnsi="Andes" w:cs="Arial"/>
          <w:sz w:val="22"/>
          <w:szCs w:val="22"/>
        </w:rPr>
        <w:t xml:space="preserve">doit </w:t>
      </w:r>
      <w:r w:rsidRPr="00882278">
        <w:rPr>
          <w:rFonts w:ascii="Andes" w:hAnsi="Andes" w:cs="Arial"/>
          <w:sz w:val="22"/>
          <w:szCs w:val="22"/>
        </w:rPr>
        <w:t>décri</w:t>
      </w:r>
      <w:r w:rsidR="00DB5563">
        <w:rPr>
          <w:rFonts w:ascii="Andes" w:hAnsi="Andes" w:cs="Arial"/>
          <w:sz w:val="22"/>
          <w:szCs w:val="22"/>
        </w:rPr>
        <w:t>re</w:t>
      </w:r>
      <w:r w:rsidRPr="00882278">
        <w:rPr>
          <w:rFonts w:ascii="Andes" w:hAnsi="Andes" w:cs="Arial"/>
          <w:sz w:val="22"/>
          <w:szCs w:val="22"/>
        </w:rPr>
        <w:t xml:space="preserve"> les objectifs de l'</w:t>
      </w:r>
      <w:r w:rsidR="00A149B4">
        <w:rPr>
          <w:rFonts w:ascii="Andes" w:hAnsi="Andes" w:cs="Arial"/>
          <w:sz w:val="22"/>
          <w:szCs w:val="22"/>
        </w:rPr>
        <w:t>E</w:t>
      </w:r>
      <w:r w:rsidRPr="00882278">
        <w:rPr>
          <w:rFonts w:ascii="Andes" w:hAnsi="Andes" w:cs="Arial"/>
          <w:sz w:val="22"/>
          <w:szCs w:val="22"/>
        </w:rPr>
        <w:t xml:space="preserve">mprunteur en matière de passation de marchés (y compris l'approche proposée, le plan d'engagement du marché, la méthodologie d'évaluation, les étapes de l'évaluation, les </w:t>
      </w:r>
      <w:r w:rsidR="00DB23D2">
        <w:rPr>
          <w:rFonts w:ascii="Andes" w:hAnsi="Andes" w:cs="Arial"/>
          <w:sz w:val="22"/>
          <w:szCs w:val="22"/>
        </w:rPr>
        <w:t>C</w:t>
      </w:r>
      <w:r w:rsidRPr="00882278">
        <w:rPr>
          <w:rFonts w:ascii="Andes" w:hAnsi="Andes" w:cs="Arial"/>
          <w:sz w:val="22"/>
          <w:szCs w:val="22"/>
        </w:rPr>
        <w:t xml:space="preserve">ritères cotés spécifiques [et leur hiérarchisation et pondération proposées], le recours à l'ingénierie de la valeur, à la négociation, etc. </w:t>
      </w:r>
      <w:r w:rsidR="00F722F5">
        <w:rPr>
          <w:rFonts w:ascii="Andes" w:hAnsi="Andes" w:cs="Arial"/>
          <w:sz w:val="22"/>
          <w:szCs w:val="22"/>
        </w:rPr>
        <w:t xml:space="preserve">) et </w:t>
      </w:r>
      <w:r w:rsidR="00382137">
        <w:rPr>
          <w:rFonts w:ascii="Andes" w:hAnsi="Andes" w:cs="Arial"/>
          <w:sz w:val="22"/>
          <w:szCs w:val="22"/>
        </w:rPr>
        <w:t>justifier l</w:t>
      </w:r>
      <w:r w:rsidR="00F722F5" w:rsidRPr="00332FCD">
        <w:rPr>
          <w:rFonts w:ascii="Andes" w:hAnsi="Andes" w:cs="Arial"/>
          <w:sz w:val="22"/>
          <w:szCs w:val="22"/>
        </w:rPr>
        <w:t>es méthodes de sélection retenues dans le Plan de Passation des Marchés</w:t>
      </w:r>
      <w:r w:rsidR="00D72ED9">
        <w:rPr>
          <w:rFonts w:ascii="Andes" w:hAnsi="Andes" w:cs="Arial"/>
          <w:sz w:val="22"/>
          <w:szCs w:val="22"/>
        </w:rPr>
        <w:t>.</w:t>
      </w:r>
    </w:p>
    <w:p w14:paraId="3DB05233" w14:textId="2A580C64" w:rsidR="00510848" w:rsidRPr="00FB17CE" w:rsidRDefault="00510848" w:rsidP="00FB17CE">
      <w:pPr>
        <w:pStyle w:val="Paragraphedeliste"/>
        <w:numPr>
          <w:ilvl w:val="0"/>
          <w:numId w:val="77"/>
        </w:numPr>
        <w:spacing w:before="0" w:line="240" w:lineRule="auto"/>
        <w:ind w:left="634" w:hanging="634"/>
        <w:contextualSpacing w:val="0"/>
        <w:rPr>
          <w:rFonts w:ascii="Andes" w:hAnsi="Andes" w:cs="Arial"/>
          <w:sz w:val="22"/>
          <w:szCs w:val="22"/>
        </w:rPr>
      </w:pPr>
      <w:r w:rsidRPr="00882278">
        <w:rPr>
          <w:rFonts w:ascii="Andes" w:hAnsi="Andes" w:cs="Arial"/>
          <w:sz w:val="22"/>
          <w:szCs w:val="22"/>
        </w:rPr>
        <w:t>L'Emprunteur</w:t>
      </w:r>
      <w:r w:rsidR="0056300C" w:rsidRPr="00FB17CE">
        <w:rPr>
          <w:rFonts w:ascii="Andes" w:hAnsi="Andes" w:cs="Arial"/>
          <w:sz w:val="22"/>
          <w:szCs w:val="22"/>
        </w:rPr>
        <w:t xml:space="preserve"> doit</w:t>
      </w:r>
      <w:r w:rsidRPr="00882278">
        <w:rPr>
          <w:rFonts w:ascii="Andes" w:hAnsi="Andes" w:cs="Arial"/>
          <w:sz w:val="22"/>
          <w:szCs w:val="22"/>
        </w:rPr>
        <w:t xml:space="preserve"> prépare</w:t>
      </w:r>
      <w:r w:rsidR="0056300C" w:rsidRPr="00FB17CE">
        <w:rPr>
          <w:rFonts w:ascii="Andes" w:hAnsi="Andes" w:cs="Arial"/>
          <w:sz w:val="22"/>
          <w:szCs w:val="22"/>
        </w:rPr>
        <w:t>r</w:t>
      </w:r>
      <w:r w:rsidRPr="00882278">
        <w:rPr>
          <w:rFonts w:ascii="Andes" w:hAnsi="Andes" w:cs="Arial"/>
          <w:sz w:val="22"/>
          <w:szCs w:val="22"/>
        </w:rPr>
        <w:t xml:space="preserve"> </w:t>
      </w:r>
      <w:r w:rsidR="0056300C" w:rsidRPr="00FB17CE">
        <w:rPr>
          <w:rFonts w:ascii="Andes" w:hAnsi="Andes" w:cs="Arial"/>
          <w:sz w:val="22"/>
          <w:szCs w:val="22"/>
        </w:rPr>
        <w:t>la SPMPD</w:t>
      </w:r>
      <w:r w:rsidRPr="00882278">
        <w:rPr>
          <w:rFonts w:ascii="Andes" w:hAnsi="Andes" w:cs="Arial"/>
          <w:sz w:val="22"/>
          <w:szCs w:val="22"/>
        </w:rPr>
        <w:t xml:space="preserve"> pendant la préparation du projet et la Banque examine et approuve </w:t>
      </w:r>
      <w:r w:rsidR="00802A66" w:rsidRPr="00FB17CE">
        <w:rPr>
          <w:rFonts w:ascii="Andes" w:hAnsi="Andes" w:cs="Arial"/>
          <w:sz w:val="22"/>
          <w:szCs w:val="22"/>
        </w:rPr>
        <w:t>la SPMPD</w:t>
      </w:r>
      <w:r w:rsidRPr="00882278">
        <w:rPr>
          <w:rFonts w:ascii="Andes" w:hAnsi="Andes" w:cs="Arial"/>
          <w:sz w:val="22"/>
          <w:szCs w:val="22"/>
        </w:rPr>
        <w:t xml:space="preserve"> dans le cadre des négociations du prêt. L'Emprunteur </w:t>
      </w:r>
      <w:r w:rsidR="00802A66" w:rsidRPr="00FB17CE">
        <w:rPr>
          <w:rFonts w:ascii="Andes" w:hAnsi="Andes" w:cs="Arial"/>
          <w:sz w:val="22"/>
          <w:szCs w:val="22"/>
        </w:rPr>
        <w:t xml:space="preserve">doit </w:t>
      </w:r>
      <w:r w:rsidRPr="00882278">
        <w:rPr>
          <w:rFonts w:ascii="Andes" w:hAnsi="Andes" w:cs="Arial"/>
          <w:sz w:val="22"/>
          <w:szCs w:val="22"/>
        </w:rPr>
        <w:t>met</w:t>
      </w:r>
      <w:r w:rsidR="00802A66" w:rsidRPr="00FB17CE">
        <w:rPr>
          <w:rFonts w:ascii="Andes" w:hAnsi="Andes" w:cs="Arial"/>
          <w:sz w:val="22"/>
          <w:szCs w:val="22"/>
        </w:rPr>
        <w:t>tre</w:t>
      </w:r>
      <w:r w:rsidRPr="00882278">
        <w:rPr>
          <w:rFonts w:ascii="Andes" w:hAnsi="Andes" w:cs="Arial"/>
          <w:sz w:val="22"/>
          <w:szCs w:val="22"/>
        </w:rPr>
        <w:t xml:space="preserve"> régulièrement à jour </w:t>
      </w:r>
      <w:r w:rsidR="00802A66" w:rsidRPr="00FB17CE">
        <w:rPr>
          <w:rFonts w:ascii="Andes" w:hAnsi="Andes" w:cs="Arial"/>
          <w:sz w:val="22"/>
          <w:szCs w:val="22"/>
        </w:rPr>
        <w:t>la SPMPD</w:t>
      </w:r>
      <w:r w:rsidRPr="00882278">
        <w:rPr>
          <w:rFonts w:ascii="Andes" w:hAnsi="Andes" w:cs="Arial"/>
          <w:sz w:val="22"/>
          <w:szCs w:val="22"/>
        </w:rPr>
        <w:t xml:space="preserve">, au moins une fois par an ou plus fréquemment à la demande de la Banque, notamment pour tenir compte de toute mise à jour résultant de l'Engagement précoce </w:t>
      </w:r>
      <w:r w:rsidR="00802A66" w:rsidRPr="00FB17CE">
        <w:rPr>
          <w:rFonts w:ascii="Andes" w:hAnsi="Andes" w:cs="Arial"/>
          <w:sz w:val="22"/>
          <w:szCs w:val="22"/>
        </w:rPr>
        <w:t>du</w:t>
      </w:r>
      <w:r w:rsidRPr="00882278">
        <w:rPr>
          <w:rFonts w:ascii="Andes" w:hAnsi="Andes" w:cs="Arial"/>
          <w:sz w:val="22"/>
          <w:szCs w:val="22"/>
        </w:rPr>
        <w:t xml:space="preserve"> marché. L'Emprunteur</w:t>
      </w:r>
      <w:r w:rsidR="00FB17CE" w:rsidRPr="00FB17CE">
        <w:rPr>
          <w:rFonts w:ascii="Andes" w:hAnsi="Andes" w:cs="Arial"/>
          <w:sz w:val="22"/>
          <w:szCs w:val="22"/>
        </w:rPr>
        <w:t xml:space="preserve"> doit</w:t>
      </w:r>
      <w:r w:rsidRPr="00882278">
        <w:rPr>
          <w:rFonts w:ascii="Andes" w:hAnsi="Andes" w:cs="Arial"/>
          <w:sz w:val="22"/>
          <w:szCs w:val="22"/>
        </w:rPr>
        <w:t xml:space="preserve"> soumet</w:t>
      </w:r>
      <w:r w:rsidR="00FB17CE" w:rsidRPr="00FB17CE">
        <w:rPr>
          <w:rFonts w:ascii="Andes" w:hAnsi="Andes" w:cs="Arial"/>
          <w:sz w:val="22"/>
          <w:szCs w:val="22"/>
        </w:rPr>
        <w:t>tre</w:t>
      </w:r>
      <w:r w:rsidRPr="00882278">
        <w:rPr>
          <w:rFonts w:ascii="Andes" w:hAnsi="Andes" w:cs="Arial"/>
          <w:sz w:val="22"/>
          <w:szCs w:val="22"/>
        </w:rPr>
        <w:t xml:space="preserve"> les mises à jour </w:t>
      </w:r>
      <w:r w:rsidR="00FB17CE" w:rsidRPr="00FB17CE">
        <w:rPr>
          <w:rFonts w:ascii="Andes" w:hAnsi="Andes" w:cs="Arial"/>
          <w:sz w:val="22"/>
          <w:szCs w:val="22"/>
        </w:rPr>
        <w:t>de la SPMPD</w:t>
      </w:r>
      <w:r w:rsidRPr="00882278">
        <w:rPr>
          <w:rFonts w:ascii="Andes" w:hAnsi="Andes" w:cs="Arial"/>
          <w:sz w:val="22"/>
          <w:szCs w:val="22"/>
        </w:rPr>
        <w:t xml:space="preserve"> à la Banque pour examen et approbation.</w:t>
      </w:r>
    </w:p>
    <w:p w14:paraId="2A10D7D0" w14:textId="5F578196" w:rsidR="00D72ED9" w:rsidRPr="00882278" w:rsidRDefault="00D72ED9" w:rsidP="00882278">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color w:val="C45911"/>
          <w:sz w:val="32"/>
          <w:szCs w:val="32"/>
        </w:rPr>
      </w:pPr>
      <w:r w:rsidRPr="00882278">
        <w:rPr>
          <w:rFonts w:ascii="Andes" w:eastAsiaTheme="majorEastAsia" w:hAnsi="Andes" w:cstheme="majorBidi"/>
          <w:bCs w:val="0"/>
          <w:color w:val="C45911"/>
          <w:sz w:val="32"/>
          <w:szCs w:val="32"/>
        </w:rPr>
        <w:t xml:space="preserve">Engagement précoce </w:t>
      </w:r>
      <w:r w:rsidR="00286221">
        <w:rPr>
          <w:rFonts w:ascii="Andes" w:eastAsiaTheme="majorEastAsia" w:hAnsi="Andes" w:cstheme="majorBidi"/>
          <w:bCs w:val="0"/>
          <w:color w:val="C45911"/>
          <w:sz w:val="32"/>
          <w:szCs w:val="32"/>
        </w:rPr>
        <w:t>du</w:t>
      </w:r>
      <w:r w:rsidRPr="00882278">
        <w:rPr>
          <w:rFonts w:ascii="Andes" w:eastAsiaTheme="majorEastAsia" w:hAnsi="Andes" w:cstheme="majorBidi"/>
          <w:bCs w:val="0"/>
          <w:color w:val="C45911"/>
          <w:sz w:val="32"/>
          <w:szCs w:val="32"/>
        </w:rPr>
        <w:t xml:space="preserve"> marché</w:t>
      </w:r>
    </w:p>
    <w:p w14:paraId="63341D67" w14:textId="5E04CF0E" w:rsidR="00D72ED9" w:rsidRPr="00882278" w:rsidRDefault="00D72ED9" w:rsidP="00882278">
      <w:pPr>
        <w:pStyle w:val="Paragraphedeliste"/>
        <w:numPr>
          <w:ilvl w:val="0"/>
          <w:numId w:val="77"/>
        </w:numPr>
        <w:spacing w:before="0" w:line="240" w:lineRule="auto"/>
        <w:ind w:left="634" w:hanging="634"/>
        <w:contextualSpacing w:val="0"/>
        <w:rPr>
          <w:rFonts w:ascii="Andes" w:hAnsi="Andes" w:cs="Arial"/>
          <w:sz w:val="22"/>
          <w:szCs w:val="22"/>
        </w:rPr>
      </w:pPr>
      <w:r w:rsidRPr="00882278">
        <w:rPr>
          <w:rFonts w:ascii="Andes" w:hAnsi="Andes" w:cs="Arial"/>
          <w:sz w:val="22"/>
          <w:szCs w:val="22"/>
        </w:rPr>
        <w:t xml:space="preserve">Tous les projets faisant l'objet de </w:t>
      </w:r>
      <w:r w:rsidR="002401A3">
        <w:rPr>
          <w:rFonts w:ascii="Andes" w:hAnsi="Andes" w:cs="Arial"/>
          <w:sz w:val="22"/>
          <w:szCs w:val="22"/>
        </w:rPr>
        <w:t>contrats</w:t>
      </w:r>
      <w:r w:rsidRPr="00882278">
        <w:rPr>
          <w:rFonts w:ascii="Andes" w:hAnsi="Andes" w:cs="Arial"/>
          <w:sz w:val="22"/>
          <w:szCs w:val="22"/>
        </w:rPr>
        <w:t xml:space="preserve"> </w:t>
      </w:r>
      <w:r w:rsidR="005B23D8">
        <w:rPr>
          <w:rFonts w:ascii="Andes" w:hAnsi="Andes" w:cs="Arial"/>
          <w:sz w:val="22"/>
          <w:szCs w:val="22"/>
        </w:rPr>
        <w:t xml:space="preserve">à passer </w:t>
      </w:r>
      <w:r w:rsidR="00B62051">
        <w:rPr>
          <w:rFonts w:ascii="Andes" w:hAnsi="Andes" w:cs="Arial"/>
          <w:sz w:val="22"/>
          <w:szCs w:val="22"/>
        </w:rPr>
        <w:t>par mise en concurrence</w:t>
      </w:r>
      <w:r w:rsidRPr="00882278">
        <w:rPr>
          <w:rFonts w:ascii="Andes" w:hAnsi="Andes" w:cs="Arial"/>
          <w:sz w:val="22"/>
          <w:szCs w:val="22"/>
        </w:rPr>
        <w:t xml:space="preserve"> internation</w:t>
      </w:r>
      <w:r w:rsidR="00B62051">
        <w:rPr>
          <w:rFonts w:ascii="Andes" w:hAnsi="Andes" w:cs="Arial"/>
          <w:sz w:val="22"/>
          <w:szCs w:val="22"/>
        </w:rPr>
        <w:t>ale</w:t>
      </w:r>
      <w:r w:rsidRPr="00882278">
        <w:rPr>
          <w:rFonts w:ascii="Andes" w:hAnsi="Andes" w:cs="Arial"/>
          <w:sz w:val="22"/>
          <w:szCs w:val="22"/>
        </w:rPr>
        <w:t xml:space="preserve"> dont le coût est estimé à 10 millions </w:t>
      </w:r>
      <w:r w:rsidR="005B23D8">
        <w:rPr>
          <w:rFonts w:ascii="Andes" w:hAnsi="Andes" w:cs="Arial"/>
          <w:sz w:val="22"/>
          <w:szCs w:val="22"/>
        </w:rPr>
        <w:t>de dollars des Etats-Unis</w:t>
      </w:r>
      <w:r w:rsidRPr="00882278">
        <w:rPr>
          <w:rFonts w:ascii="Andes" w:hAnsi="Andes" w:cs="Arial"/>
          <w:sz w:val="22"/>
          <w:szCs w:val="22"/>
        </w:rPr>
        <w:t xml:space="preserve"> ou plus doivent </w:t>
      </w:r>
      <w:r w:rsidR="00F01FE7">
        <w:rPr>
          <w:rFonts w:ascii="Andes" w:hAnsi="Andes" w:cs="Arial"/>
          <w:sz w:val="22"/>
          <w:szCs w:val="22"/>
        </w:rPr>
        <w:t>faire l’objet</w:t>
      </w:r>
      <w:r w:rsidRPr="00882278">
        <w:rPr>
          <w:rFonts w:ascii="Andes" w:hAnsi="Andes" w:cs="Arial"/>
          <w:sz w:val="22"/>
          <w:szCs w:val="22"/>
        </w:rPr>
        <w:t xml:space="preserve"> </w:t>
      </w:r>
      <w:r w:rsidR="00F01FE7">
        <w:rPr>
          <w:rFonts w:ascii="Andes" w:hAnsi="Andes" w:cs="Arial"/>
          <w:sz w:val="22"/>
          <w:szCs w:val="22"/>
        </w:rPr>
        <w:t>d’</w:t>
      </w:r>
      <w:r w:rsidRPr="00882278">
        <w:rPr>
          <w:rFonts w:ascii="Andes" w:hAnsi="Andes" w:cs="Arial"/>
          <w:sz w:val="22"/>
          <w:szCs w:val="22"/>
        </w:rPr>
        <w:t xml:space="preserve">un </w:t>
      </w:r>
      <w:r w:rsidR="00F01FE7">
        <w:rPr>
          <w:rFonts w:ascii="Andes" w:hAnsi="Andes" w:cs="Arial"/>
          <w:sz w:val="22"/>
          <w:szCs w:val="22"/>
        </w:rPr>
        <w:t>E</w:t>
      </w:r>
      <w:r w:rsidRPr="00882278">
        <w:rPr>
          <w:rFonts w:ascii="Andes" w:hAnsi="Andes" w:cs="Arial"/>
          <w:sz w:val="22"/>
          <w:szCs w:val="22"/>
        </w:rPr>
        <w:t xml:space="preserve">ngagement précoce du marché pour chacun de ces </w:t>
      </w:r>
      <w:r w:rsidR="002401A3">
        <w:rPr>
          <w:rFonts w:ascii="Andes" w:hAnsi="Andes" w:cs="Arial"/>
          <w:sz w:val="22"/>
          <w:szCs w:val="22"/>
        </w:rPr>
        <w:t>contrat</w:t>
      </w:r>
      <w:r w:rsidRPr="00882278">
        <w:rPr>
          <w:rFonts w:ascii="Andes" w:hAnsi="Andes" w:cs="Arial"/>
          <w:sz w:val="22"/>
          <w:szCs w:val="22"/>
        </w:rPr>
        <w:t>s. Le plan et l'approche de l'</w:t>
      </w:r>
      <w:r w:rsidR="003A0C26">
        <w:rPr>
          <w:rFonts w:ascii="Andes" w:hAnsi="Andes" w:cs="Arial"/>
          <w:sz w:val="22"/>
          <w:szCs w:val="22"/>
        </w:rPr>
        <w:t>E</w:t>
      </w:r>
      <w:r w:rsidRPr="00882278">
        <w:rPr>
          <w:rFonts w:ascii="Andes" w:hAnsi="Andes" w:cs="Arial"/>
          <w:sz w:val="22"/>
          <w:szCs w:val="22"/>
        </w:rPr>
        <w:t xml:space="preserve">ngagement précoce </w:t>
      </w:r>
      <w:r w:rsidR="003A0C26">
        <w:rPr>
          <w:rFonts w:ascii="Andes" w:hAnsi="Andes" w:cs="Arial"/>
          <w:sz w:val="22"/>
          <w:szCs w:val="22"/>
        </w:rPr>
        <w:t>du</w:t>
      </w:r>
      <w:r w:rsidRPr="00882278">
        <w:rPr>
          <w:rFonts w:ascii="Andes" w:hAnsi="Andes" w:cs="Arial"/>
          <w:sz w:val="22"/>
          <w:szCs w:val="22"/>
        </w:rPr>
        <w:t xml:space="preserve"> marché doivent être détaillés dans </w:t>
      </w:r>
      <w:r w:rsidR="003A0C26">
        <w:rPr>
          <w:rFonts w:ascii="Andes" w:hAnsi="Andes" w:cs="Arial"/>
          <w:sz w:val="22"/>
          <w:szCs w:val="22"/>
        </w:rPr>
        <w:t>le SPMPD</w:t>
      </w:r>
      <w:r w:rsidRPr="00882278">
        <w:rPr>
          <w:rFonts w:ascii="Andes" w:hAnsi="Andes" w:cs="Arial"/>
          <w:sz w:val="22"/>
          <w:szCs w:val="22"/>
        </w:rPr>
        <w:t xml:space="preserve">. L'approche prévue doit être adaptée au type de </w:t>
      </w:r>
      <w:r w:rsidR="00473D36">
        <w:rPr>
          <w:rFonts w:ascii="Andes" w:hAnsi="Andes" w:cs="Arial"/>
          <w:sz w:val="22"/>
          <w:szCs w:val="22"/>
        </w:rPr>
        <w:t>contrat</w:t>
      </w:r>
      <w:r w:rsidRPr="00882278">
        <w:rPr>
          <w:rFonts w:ascii="Andes" w:hAnsi="Andes" w:cs="Arial"/>
          <w:sz w:val="22"/>
          <w:szCs w:val="22"/>
        </w:rPr>
        <w:t xml:space="preserve"> et à l'environnement opérationnel.  </w:t>
      </w:r>
    </w:p>
    <w:p w14:paraId="6158E643" w14:textId="4B9BC598" w:rsidR="00D72ED9" w:rsidRPr="00882278" w:rsidRDefault="00D72ED9" w:rsidP="00882278">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color w:val="C45911"/>
          <w:sz w:val="32"/>
          <w:szCs w:val="32"/>
        </w:rPr>
      </w:pPr>
      <w:r w:rsidRPr="00882278">
        <w:rPr>
          <w:rFonts w:ascii="Andes" w:eastAsiaTheme="majorEastAsia" w:hAnsi="Andes" w:cstheme="majorBidi"/>
          <w:bCs w:val="0"/>
          <w:color w:val="C45911"/>
          <w:sz w:val="32"/>
          <w:szCs w:val="32"/>
        </w:rPr>
        <w:t xml:space="preserve">Plan de </w:t>
      </w:r>
      <w:r w:rsidR="00473D36">
        <w:rPr>
          <w:rFonts w:ascii="Andes" w:eastAsiaTheme="majorEastAsia" w:hAnsi="Andes" w:cstheme="majorBidi"/>
          <w:bCs w:val="0"/>
          <w:color w:val="C45911"/>
          <w:sz w:val="32"/>
          <w:szCs w:val="32"/>
        </w:rPr>
        <w:t>P</w:t>
      </w:r>
      <w:r w:rsidRPr="00882278">
        <w:rPr>
          <w:rFonts w:ascii="Andes" w:eastAsiaTheme="majorEastAsia" w:hAnsi="Andes" w:cstheme="majorBidi"/>
          <w:bCs w:val="0"/>
          <w:color w:val="C45911"/>
          <w:sz w:val="32"/>
          <w:szCs w:val="32"/>
        </w:rPr>
        <w:t>assation de</w:t>
      </w:r>
      <w:r w:rsidR="00473D36">
        <w:rPr>
          <w:rFonts w:ascii="Andes" w:eastAsiaTheme="majorEastAsia" w:hAnsi="Andes" w:cstheme="majorBidi"/>
          <w:bCs w:val="0"/>
          <w:color w:val="C45911"/>
          <w:sz w:val="32"/>
          <w:szCs w:val="32"/>
        </w:rPr>
        <w:t>s</w:t>
      </w:r>
      <w:r w:rsidRPr="00882278">
        <w:rPr>
          <w:rFonts w:ascii="Andes" w:eastAsiaTheme="majorEastAsia" w:hAnsi="Andes" w:cstheme="majorBidi"/>
          <w:bCs w:val="0"/>
          <w:color w:val="C45911"/>
          <w:sz w:val="32"/>
          <w:szCs w:val="32"/>
        </w:rPr>
        <w:t xml:space="preserve"> </w:t>
      </w:r>
      <w:r w:rsidR="00473D36">
        <w:rPr>
          <w:rFonts w:ascii="Andes" w:eastAsiaTheme="majorEastAsia" w:hAnsi="Andes" w:cstheme="majorBidi"/>
          <w:bCs w:val="0"/>
          <w:color w:val="C45911"/>
          <w:sz w:val="32"/>
          <w:szCs w:val="32"/>
        </w:rPr>
        <w:t>M</w:t>
      </w:r>
      <w:r w:rsidRPr="00882278">
        <w:rPr>
          <w:rFonts w:ascii="Andes" w:eastAsiaTheme="majorEastAsia" w:hAnsi="Andes" w:cstheme="majorBidi"/>
          <w:bCs w:val="0"/>
          <w:color w:val="C45911"/>
          <w:sz w:val="32"/>
          <w:szCs w:val="32"/>
        </w:rPr>
        <w:t>archés</w:t>
      </w:r>
    </w:p>
    <w:p w14:paraId="68EEFEC1" w14:textId="53B41EAA" w:rsidR="00380012" w:rsidRPr="000E782D" w:rsidRDefault="00D72ED9" w:rsidP="00B62CED">
      <w:pPr>
        <w:pStyle w:val="Paragraphedeliste"/>
        <w:numPr>
          <w:ilvl w:val="0"/>
          <w:numId w:val="77"/>
        </w:numPr>
        <w:spacing w:before="0" w:line="240" w:lineRule="auto"/>
        <w:ind w:left="634" w:hanging="634"/>
        <w:contextualSpacing w:val="0"/>
        <w:rPr>
          <w:rFonts w:ascii="Andes" w:hAnsi="Andes"/>
          <w:sz w:val="22"/>
          <w:szCs w:val="22"/>
        </w:rPr>
      </w:pPr>
      <w:r w:rsidRPr="00882278">
        <w:rPr>
          <w:rFonts w:ascii="Andes" w:hAnsi="Andes" w:cs="Arial"/>
          <w:sz w:val="22"/>
          <w:szCs w:val="22"/>
        </w:rPr>
        <w:t>L'</w:t>
      </w:r>
      <w:r w:rsidR="00A30F8B" w:rsidRPr="00B62CED">
        <w:rPr>
          <w:rFonts w:ascii="Andes" w:hAnsi="Andes" w:cs="Arial"/>
          <w:sz w:val="22"/>
          <w:szCs w:val="22"/>
        </w:rPr>
        <w:t>E</w:t>
      </w:r>
      <w:r w:rsidRPr="00882278">
        <w:rPr>
          <w:rFonts w:ascii="Andes" w:hAnsi="Andes" w:cs="Arial"/>
          <w:sz w:val="22"/>
          <w:szCs w:val="22"/>
        </w:rPr>
        <w:t xml:space="preserve">mprunteur </w:t>
      </w:r>
      <w:r w:rsidR="00A30F8B" w:rsidRPr="00B62CED">
        <w:rPr>
          <w:rFonts w:ascii="Andes" w:hAnsi="Andes" w:cs="Arial"/>
          <w:sz w:val="22"/>
          <w:szCs w:val="22"/>
        </w:rPr>
        <w:t xml:space="preserve">doit </w:t>
      </w:r>
      <w:r w:rsidRPr="00882278">
        <w:rPr>
          <w:rFonts w:ascii="Andes" w:hAnsi="Andes" w:cs="Arial"/>
          <w:sz w:val="22"/>
          <w:szCs w:val="22"/>
        </w:rPr>
        <w:t>prépare</w:t>
      </w:r>
      <w:r w:rsidR="00A30F8B" w:rsidRPr="00B62CED">
        <w:rPr>
          <w:rFonts w:ascii="Andes" w:hAnsi="Andes" w:cs="Arial"/>
          <w:sz w:val="22"/>
          <w:szCs w:val="22"/>
        </w:rPr>
        <w:t>r</w:t>
      </w:r>
      <w:r w:rsidRPr="00882278">
        <w:rPr>
          <w:rFonts w:ascii="Andes" w:hAnsi="Andes" w:cs="Arial"/>
          <w:sz w:val="22"/>
          <w:szCs w:val="22"/>
        </w:rPr>
        <w:t xml:space="preserve"> le </w:t>
      </w:r>
      <w:r w:rsidR="00A30F8B" w:rsidRPr="00B62CED">
        <w:rPr>
          <w:rFonts w:ascii="Andes" w:hAnsi="Andes" w:cs="Arial"/>
          <w:sz w:val="22"/>
          <w:szCs w:val="22"/>
        </w:rPr>
        <w:t>P</w:t>
      </w:r>
      <w:r w:rsidRPr="00882278">
        <w:rPr>
          <w:rFonts w:ascii="Andes" w:hAnsi="Andes" w:cs="Arial"/>
          <w:sz w:val="22"/>
          <w:szCs w:val="22"/>
        </w:rPr>
        <w:t xml:space="preserve">lan de </w:t>
      </w:r>
      <w:r w:rsidR="00A30F8B" w:rsidRPr="00B62CED">
        <w:rPr>
          <w:rFonts w:ascii="Andes" w:hAnsi="Andes" w:cs="Arial"/>
          <w:sz w:val="22"/>
          <w:szCs w:val="22"/>
        </w:rPr>
        <w:t>P</w:t>
      </w:r>
      <w:r w:rsidRPr="00882278">
        <w:rPr>
          <w:rFonts w:ascii="Andes" w:hAnsi="Andes" w:cs="Arial"/>
          <w:sz w:val="22"/>
          <w:szCs w:val="22"/>
        </w:rPr>
        <w:t xml:space="preserve">assation des </w:t>
      </w:r>
      <w:r w:rsidR="00A30F8B" w:rsidRPr="00B62CED">
        <w:rPr>
          <w:rFonts w:ascii="Andes" w:hAnsi="Andes" w:cs="Arial"/>
          <w:sz w:val="22"/>
          <w:szCs w:val="22"/>
        </w:rPr>
        <w:t>M</w:t>
      </w:r>
      <w:r w:rsidRPr="00882278">
        <w:rPr>
          <w:rFonts w:ascii="Andes" w:hAnsi="Andes" w:cs="Arial"/>
          <w:sz w:val="22"/>
          <w:szCs w:val="22"/>
        </w:rPr>
        <w:t xml:space="preserve">archés avant les négociations du prêt, et la Banque l'examine et l'approuve avant l'achèvement des négociations du prêt.  Le Plan de </w:t>
      </w:r>
      <w:r w:rsidR="00FB5D0F" w:rsidRPr="00B62CED">
        <w:rPr>
          <w:rFonts w:ascii="Andes" w:hAnsi="Andes" w:cs="Arial"/>
          <w:sz w:val="22"/>
          <w:szCs w:val="22"/>
        </w:rPr>
        <w:t>P</w:t>
      </w:r>
      <w:r w:rsidRPr="00882278">
        <w:rPr>
          <w:rFonts w:ascii="Andes" w:hAnsi="Andes" w:cs="Arial"/>
          <w:sz w:val="22"/>
          <w:szCs w:val="22"/>
        </w:rPr>
        <w:t xml:space="preserve">assation des </w:t>
      </w:r>
      <w:r w:rsidR="00FB5D0F" w:rsidRPr="00B62CED">
        <w:rPr>
          <w:rFonts w:ascii="Andes" w:hAnsi="Andes" w:cs="Arial"/>
          <w:sz w:val="22"/>
          <w:szCs w:val="22"/>
        </w:rPr>
        <w:t>M</w:t>
      </w:r>
      <w:r w:rsidRPr="00882278">
        <w:rPr>
          <w:rFonts w:ascii="Andes" w:hAnsi="Andes" w:cs="Arial"/>
          <w:sz w:val="22"/>
          <w:szCs w:val="22"/>
        </w:rPr>
        <w:t xml:space="preserve">archés est incorporé par référence dans l'Accord juridique, ce qui le rend juridiquement contraignant pour l'Emprunteur. Le </w:t>
      </w:r>
      <w:r w:rsidR="007657A4" w:rsidRPr="00B62CED">
        <w:rPr>
          <w:rFonts w:ascii="Andes" w:hAnsi="Andes" w:cs="Arial"/>
          <w:sz w:val="22"/>
          <w:szCs w:val="22"/>
        </w:rPr>
        <w:t xml:space="preserve">Plan de Passation des Marchés </w:t>
      </w:r>
      <w:r w:rsidRPr="00882278">
        <w:rPr>
          <w:rFonts w:ascii="Andes" w:hAnsi="Andes" w:cs="Arial"/>
          <w:sz w:val="22"/>
          <w:szCs w:val="22"/>
        </w:rPr>
        <w:t xml:space="preserve">initial </w:t>
      </w:r>
      <w:r w:rsidR="00D40D1E" w:rsidRPr="00B62CED">
        <w:rPr>
          <w:rFonts w:ascii="Andes" w:hAnsi="Andes" w:cs="Arial"/>
          <w:sz w:val="22"/>
          <w:szCs w:val="22"/>
        </w:rPr>
        <w:t xml:space="preserve">doit </w:t>
      </w:r>
      <w:r w:rsidRPr="00882278">
        <w:rPr>
          <w:rFonts w:ascii="Andes" w:hAnsi="Andes" w:cs="Arial"/>
          <w:sz w:val="22"/>
          <w:szCs w:val="22"/>
        </w:rPr>
        <w:t>couvr</w:t>
      </w:r>
      <w:r w:rsidR="00D40D1E" w:rsidRPr="00B62CED">
        <w:rPr>
          <w:rFonts w:ascii="Andes" w:hAnsi="Andes" w:cs="Arial"/>
          <w:sz w:val="22"/>
          <w:szCs w:val="22"/>
        </w:rPr>
        <w:t>ir</w:t>
      </w:r>
      <w:r w:rsidRPr="00882278">
        <w:rPr>
          <w:rFonts w:ascii="Andes" w:hAnsi="Andes" w:cs="Arial"/>
          <w:sz w:val="22"/>
          <w:szCs w:val="22"/>
        </w:rPr>
        <w:t xml:space="preserve"> normalement au moins les dix-huit (18) premiers mois de la mise en œuvre du projet. L'Emprunteur </w:t>
      </w:r>
      <w:r w:rsidR="00D40D1E" w:rsidRPr="00B62CED">
        <w:rPr>
          <w:rFonts w:ascii="Andes" w:hAnsi="Andes" w:cs="Arial"/>
          <w:sz w:val="22"/>
          <w:szCs w:val="22"/>
        </w:rPr>
        <w:t xml:space="preserve">doit </w:t>
      </w:r>
      <w:r w:rsidRPr="00882278">
        <w:rPr>
          <w:rFonts w:ascii="Andes" w:hAnsi="Andes" w:cs="Arial"/>
          <w:sz w:val="22"/>
          <w:szCs w:val="22"/>
        </w:rPr>
        <w:t>soumet</w:t>
      </w:r>
      <w:r w:rsidR="00D40D1E" w:rsidRPr="00B62CED">
        <w:rPr>
          <w:rFonts w:ascii="Andes" w:hAnsi="Andes" w:cs="Arial"/>
          <w:sz w:val="22"/>
          <w:szCs w:val="22"/>
        </w:rPr>
        <w:t>tre</w:t>
      </w:r>
      <w:r w:rsidRPr="00882278">
        <w:rPr>
          <w:rFonts w:ascii="Andes" w:hAnsi="Andes" w:cs="Arial"/>
          <w:sz w:val="22"/>
          <w:szCs w:val="22"/>
        </w:rPr>
        <w:t xml:space="preserve"> les mises à jour du </w:t>
      </w:r>
      <w:r w:rsidR="007657A4" w:rsidRPr="00B62CED">
        <w:rPr>
          <w:rFonts w:ascii="Andes" w:hAnsi="Andes" w:cs="Arial"/>
          <w:sz w:val="22"/>
          <w:szCs w:val="22"/>
        </w:rPr>
        <w:t xml:space="preserve">Plan de Passation des Marchés </w:t>
      </w:r>
      <w:r w:rsidRPr="00882278">
        <w:rPr>
          <w:rFonts w:ascii="Andes" w:hAnsi="Andes" w:cs="Arial"/>
          <w:sz w:val="22"/>
          <w:szCs w:val="22"/>
        </w:rPr>
        <w:t xml:space="preserve">à la Banque pour examen et approbation. Après avoir donné son accord, la Banque prend les dispositions nécessaires pour publier le </w:t>
      </w:r>
      <w:r w:rsidR="007657A4" w:rsidRPr="00B62CED">
        <w:rPr>
          <w:rFonts w:ascii="Andes" w:hAnsi="Andes" w:cs="Arial"/>
          <w:sz w:val="22"/>
          <w:szCs w:val="22"/>
        </w:rPr>
        <w:t xml:space="preserve">Plan de Passation des Marchés </w:t>
      </w:r>
      <w:r w:rsidRPr="00882278">
        <w:rPr>
          <w:rFonts w:ascii="Andes" w:hAnsi="Andes" w:cs="Arial"/>
          <w:sz w:val="22"/>
          <w:szCs w:val="22"/>
        </w:rPr>
        <w:t xml:space="preserve">et toutes ses mises à jour sur son site </w:t>
      </w:r>
      <w:r w:rsidR="00B62CED" w:rsidRPr="00B62CED">
        <w:rPr>
          <w:rFonts w:ascii="Andes" w:hAnsi="Andes" w:cs="Arial"/>
          <w:sz w:val="22"/>
          <w:szCs w:val="22"/>
        </w:rPr>
        <w:t>internet</w:t>
      </w:r>
      <w:r w:rsidRPr="00882278">
        <w:rPr>
          <w:rFonts w:ascii="Andes" w:hAnsi="Andes" w:cs="Arial"/>
          <w:sz w:val="22"/>
          <w:szCs w:val="22"/>
        </w:rPr>
        <w:t xml:space="preserve"> externe</w:t>
      </w:r>
      <w:r w:rsidR="00B62CED" w:rsidRPr="00B62CED">
        <w:rPr>
          <w:rFonts w:ascii="Andes" w:hAnsi="Andes" w:cs="Arial"/>
          <w:sz w:val="22"/>
          <w:szCs w:val="22"/>
        </w:rPr>
        <w:t>.</w:t>
      </w:r>
    </w:p>
    <w:p w14:paraId="450E668B" w14:textId="7B02EA26" w:rsidR="000E782D" w:rsidRPr="00882278" w:rsidRDefault="000E782D" w:rsidP="00882278">
      <w:pPr>
        <w:pStyle w:val="Paragraphedeliste"/>
        <w:numPr>
          <w:ilvl w:val="0"/>
          <w:numId w:val="77"/>
        </w:numPr>
        <w:spacing w:before="0" w:line="240" w:lineRule="auto"/>
        <w:ind w:left="634" w:hanging="634"/>
        <w:contextualSpacing w:val="0"/>
        <w:rPr>
          <w:rFonts w:ascii="Andes" w:hAnsi="Andes" w:cs="Arial"/>
          <w:sz w:val="22"/>
          <w:szCs w:val="22"/>
        </w:rPr>
      </w:pPr>
      <w:r w:rsidRPr="00882278">
        <w:rPr>
          <w:rFonts w:ascii="Andes" w:hAnsi="Andes" w:cs="Arial"/>
          <w:sz w:val="22"/>
          <w:szCs w:val="22"/>
        </w:rPr>
        <w:t xml:space="preserve">Le </w:t>
      </w:r>
      <w:r w:rsidRPr="00B62CED">
        <w:rPr>
          <w:rFonts w:ascii="Andes" w:hAnsi="Andes" w:cs="Arial"/>
          <w:sz w:val="22"/>
          <w:szCs w:val="22"/>
        </w:rPr>
        <w:t>P</w:t>
      </w:r>
      <w:r w:rsidRPr="001665D1">
        <w:rPr>
          <w:rFonts w:ascii="Andes" w:hAnsi="Andes" w:cs="Arial"/>
          <w:sz w:val="22"/>
          <w:szCs w:val="22"/>
        </w:rPr>
        <w:t xml:space="preserve">lan de </w:t>
      </w:r>
      <w:r w:rsidRPr="00B62CED">
        <w:rPr>
          <w:rFonts w:ascii="Andes" w:hAnsi="Andes" w:cs="Arial"/>
          <w:sz w:val="22"/>
          <w:szCs w:val="22"/>
        </w:rPr>
        <w:t>P</w:t>
      </w:r>
      <w:r w:rsidRPr="001665D1">
        <w:rPr>
          <w:rFonts w:ascii="Andes" w:hAnsi="Andes" w:cs="Arial"/>
          <w:sz w:val="22"/>
          <w:szCs w:val="22"/>
        </w:rPr>
        <w:t xml:space="preserve">assation des </w:t>
      </w:r>
      <w:r w:rsidRPr="00B62CED">
        <w:rPr>
          <w:rFonts w:ascii="Andes" w:hAnsi="Andes" w:cs="Arial"/>
          <w:sz w:val="22"/>
          <w:szCs w:val="22"/>
        </w:rPr>
        <w:t>M</w:t>
      </w:r>
      <w:r w:rsidRPr="001665D1">
        <w:rPr>
          <w:rFonts w:ascii="Andes" w:hAnsi="Andes" w:cs="Arial"/>
          <w:sz w:val="22"/>
          <w:szCs w:val="22"/>
        </w:rPr>
        <w:t>archés</w:t>
      </w:r>
      <w:r w:rsidRPr="00882278">
        <w:rPr>
          <w:rFonts w:ascii="Andes" w:hAnsi="Andes" w:cs="Arial"/>
          <w:sz w:val="22"/>
          <w:szCs w:val="22"/>
        </w:rPr>
        <w:t xml:space="preserve"> </w:t>
      </w:r>
      <w:r>
        <w:rPr>
          <w:rFonts w:ascii="Andes" w:hAnsi="Andes" w:cs="Arial"/>
          <w:sz w:val="22"/>
          <w:szCs w:val="22"/>
        </w:rPr>
        <w:t>et</w:t>
      </w:r>
      <w:r w:rsidRPr="00882278">
        <w:rPr>
          <w:rFonts w:ascii="Andes" w:hAnsi="Andes" w:cs="Arial"/>
          <w:sz w:val="22"/>
          <w:szCs w:val="22"/>
        </w:rPr>
        <w:t xml:space="preserve"> ses mises à jour </w:t>
      </w:r>
      <w:r>
        <w:rPr>
          <w:rFonts w:ascii="Andes" w:hAnsi="Andes" w:cs="Arial"/>
          <w:sz w:val="22"/>
          <w:szCs w:val="22"/>
        </w:rPr>
        <w:t xml:space="preserve">doivent </w:t>
      </w:r>
      <w:r w:rsidRPr="00882278">
        <w:rPr>
          <w:rFonts w:ascii="Andes" w:hAnsi="Andes" w:cs="Arial"/>
          <w:sz w:val="22"/>
          <w:szCs w:val="22"/>
        </w:rPr>
        <w:t>comprend</w:t>
      </w:r>
      <w:r>
        <w:rPr>
          <w:rFonts w:ascii="Andes" w:hAnsi="Andes" w:cs="Arial"/>
          <w:sz w:val="22"/>
          <w:szCs w:val="22"/>
        </w:rPr>
        <w:t>re</w:t>
      </w:r>
      <w:r w:rsidRPr="00882278">
        <w:rPr>
          <w:rFonts w:ascii="Andes" w:hAnsi="Andes" w:cs="Arial"/>
          <w:sz w:val="22"/>
          <w:szCs w:val="22"/>
        </w:rPr>
        <w:t xml:space="preserve"> :</w:t>
      </w:r>
    </w:p>
    <w:p w14:paraId="5480C5B3" w14:textId="04B2BD1E" w:rsidR="000E782D" w:rsidRPr="00882278" w:rsidRDefault="000E782D" w:rsidP="00882278">
      <w:pPr>
        <w:pStyle w:val="Paragraphedeliste"/>
        <w:numPr>
          <w:ilvl w:val="0"/>
          <w:numId w:val="288"/>
        </w:numPr>
        <w:spacing w:before="0" w:line="240" w:lineRule="auto"/>
        <w:contextualSpacing w:val="0"/>
        <w:rPr>
          <w:rFonts w:ascii="Andes" w:hAnsi="Andes" w:cs="Arial"/>
          <w:sz w:val="22"/>
          <w:szCs w:val="22"/>
        </w:rPr>
      </w:pPr>
      <w:r w:rsidRPr="00882278">
        <w:rPr>
          <w:rFonts w:ascii="Andes" w:hAnsi="Andes" w:cs="Arial"/>
          <w:sz w:val="22"/>
          <w:szCs w:val="22"/>
        </w:rPr>
        <w:t xml:space="preserve">une description </w:t>
      </w:r>
      <w:r w:rsidR="003837D5">
        <w:rPr>
          <w:rFonts w:ascii="Andes" w:hAnsi="Andes" w:cs="Arial"/>
          <w:sz w:val="22"/>
          <w:szCs w:val="22"/>
        </w:rPr>
        <w:t xml:space="preserve">succincte </w:t>
      </w:r>
      <w:r w:rsidRPr="00882278">
        <w:rPr>
          <w:rFonts w:ascii="Andes" w:hAnsi="Andes" w:cs="Arial"/>
          <w:sz w:val="22"/>
          <w:szCs w:val="22"/>
        </w:rPr>
        <w:t>des activités/</w:t>
      </w:r>
      <w:r w:rsidR="00D16C60">
        <w:rPr>
          <w:rFonts w:ascii="Andes" w:hAnsi="Andes" w:cs="Arial"/>
          <w:sz w:val="22"/>
          <w:szCs w:val="22"/>
        </w:rPr>
        <w:t>marché</w:t>
      </w:r>
      <w:r w:rsidRPr="00882278">
        <w:rPr>
          <w:rFonts w:ascii="Andes" w:hAnsi="Andes" w:cs="Arial"/>
          <w:sz w:val="22"/>
          <w:szCs w:val="22"/>
        </w:rPr>
        <w:t>s ;</w:t>
      </w:r>
    </w:p>
    <w:p w14:paraId="6B2D50BF" w14:textId="77777777" w:rsidR="000E782D" w:rsidRPr="00882278" w:rsidRDefault="000E782D" w:rsidP="00882278">
      <w:pPr>
        <w:pStyle w:val="Paragraphedeliste"/>
        <w:numPr>
          <w:ilvl w:val="0"/>
          <w:numId w:val="288"/>
        </w:numPr>
        <w:spacing w:before="0" w:line="240" w:lineRule="auto"/>
        <w:contextualSpacing w:val="0"/>
        <w:rPr>
          <w:rFonts w:ascii="Andes" w:hAnsi="Andes" w:cs="Arial"/>
          <w:sz w:val="22"/>
          <w:szCs w:val="22"/>
        </w:rPr>
      </w:pPr>
      <w:r w:rsidRPr="00882278">
        <w:rPr>
          <w:rFonts w:ascii="Andes" w:hAnsi="Andes" w:cs="Arial"/>
          <w:sz w:val="22"/>
          <w:szCs w:val="22"/>
        </w:rPr>
        <w:lastRenderedPageBreak/>
        <w:t>les méthodes de sélection à appliquer ;</w:t>
      </w:r>
    </w:p>
    <w:p w14:paraId="447F9EBB" w14:textId="311D9AFC" w:rsidR="000E782D" w:rsidRPr="00882278" w:rsidRDefault="000E782D" w:rsidP="00882278">
      <w:pPr>
        <w:pStyle w:val="Paragraphedeliste"/>
        <w:numPr>
          <w:ilvl w:val="0"/>
          <w:numId w:val="288"/>
        </w:numPr>
        <w:spacing w:before="0" w:line="240" w:lineRule="auto"/>
        <w:contextualSpacing w:val="0"/>
        <w:rPr>
          <w:rFonts w:ascii="Andes" w:hAnsi="Andes" w:cs="Arial"/>
          <w:sz w:val="22"/>
          <w:szCs w:val="22"/>
        </w:rPr>
      </w:pPr>
      <w:r w:rsidRPr="00882278">
        <w:rPr>
          <w:rFonts w:ascii="Andes" w:hAnsi="Andes" w:cs="Arial"/>
          <w:sz w:val="22"/>
          <w:szCs w:val="22"/>
        </w:rPr>
        <w:t xml:space="preserve">l'approche et la méthodologie d'évaluation, y compris l'identification des activités de passation de marchés pour lesquelles des </w:t>
      </w:r>
      <w:r w:rsidR="00281B69">
        <w:rPr>
          <w:rFonts w:ascii="Andes" w:hAnsi="Andes" w:cs="Arial"/>
          <w:sz w:val="22"/>
          <w:szCs w:val="22"/>
        </w:rPr>
        <w:t>C</w:t>
      </w:r>
      <w:r w:rsidRPr="00882278">
        <w:rPr>
          <w:rFonts w:ascii="Andes" w:hAnsi="Andes" w:cs="Arial"/>
          <w:sz w:val="22"/>
          <w:szCs w:val="22"/>
        </w:rPr>
        <w:t xml:space="preserve">ritères notés s'appliquent, y compris, le cas échéant, des </w:t>
      </w:r>
      <w:r w:rsidR="00322883">
        <w:rPr>
          <w:rFonts w:ascii="Andes" w:hAnsi="Andes" w:cs="Arial"/>
          <w:sz w:val="22"/>
          <w:szCs w:val="22"/>
        </w:rPr>
        <w:t>C</w:t>
      </w:r>
      <w:r w:rsidRPr="00882278">
        <w:rPr>
          <w:rFonts w:ascii="Andes" w:hAnsi="Andes" w:cs="Arial"/>
          <w:sz w:val="22"/>
          <w:szCs w:val="22"/>
        </w:rPr>
        <w:t xml:space="preserve">ritères notés indicatifs, </w:t>
      </w:r>
      <w:r w:rsidR="003837D5">
        <w:rPr>
          <w:rFonts w:ascii="Andes" w:hAnsi="Andes" w:cs="Arial"/>
          <w:sz w:val="22"/>
          <w:szCs w:val="22"/>
        </w:rPr>
        <w:t>la priorisation</w:t>
      </w:r>
      <w:r w:rsidRPr="00882278">
        <w:rPr>
          <w:rFonts w:ascii="Andes" w:hAnsi="Andes" w:cs="Arial"/>
          <w:sz w:val="22"/>
          <w:szCs w:val="22"/>
        </w:rPr>
        <w:t xml:space="preserve"> et la pondération proposé</w:t>
      </w:r>
      <w:r w:rsidR="003837D5">
        <w:rPr>
          <w:rFonts w:ascii="Andes" w:hAnsi="Andes" w:cs="Arial"/>
          <w:sz w:val="22"/>
          <w:szCs w:val="22"/>
        </w:rPr>
        <w:t>e</w:t>
      </w:r>
      <w:r w:rsidRPr="00882278">
        <w:rPr>
          <w:rFonts w:ascii="Andes" w:hAnsi="Andes" w:cs="Arial"/>
          <w:sz w:val="22"/>
          <w:szCs w:val="22"/>
        </w:rPr>
        <w:t>s ;</w:t>
      </w:r>
    </w:p>
    <w:p w14:paraId="6EF942C6" w14:textId="77777777" w:rsidR="000E782D" w:rsidRPr="00882278" w:rsidRDefault="000E782D" w:rsidP="00882278">
      <w:pPr>
        <w:pStyle w:val="Paragraphedeliste"/>
        <w:numPr>
          <w:ilvl w:val="0"/>
          <w:numId w:val="288"/>
        </w:numPr>
        <w:spacing w:before="0" w:line="240" w:lineRule="auto"/>
        <w:contextualSpacing w:val="0"/>
        <w:rPr>
          <w:rFonts w:ascii="Andes" w:hAnsi="Andes" w:cs="Arial"/>
          <w:sz w:val="22"/>
          <w:szCs w:val="22"/>
        </w:rPr>
      </w:pPr>
      <w:r w:rsidRPr="00882278">
        <w:rPr>
          <w:rFonts w:ascii="Andes" w:hAnsi="Andes" w:cs="Arial"/>
          <w:sz w:val="22"/>
          <w:szCs w:val="22"/>
        </w:rPr>
        <w:t>l'estimation des coûts ;</w:t>
      </w:r>
    </w:p>
    <w:p w14:paraId="6B8393C6" w14:textId="30A33D8A" w:rsidR="000E782D" w:rsidRPr="00882278" w:rsidRDefault="000E782D" w:rsidP="00882278">
      <w:pPr>
        <w:pStyle w:val="Paragraphedeliste"/>
        <w:numPr>
          <w:ilvl w:val="0"/>
          <w:numId w:val="288"/>
        </w:numPr>
        <w:spacing w:before="0" w:line="240" w:lineRule="auto"/>
        <w:contextualSpacing w:val="0"/>
        <w:rPr>
          <w:rFonts w:ascii="Andes" w:hAnsi="Andes" w:cs="Arial"/>
          <w:sz w:val="22"/>
          <w:szCs w:val="22"/>
        </w:rPr>
      </w:pPr>
      <w:r w:rsidRPr="00882278">
        <w:rPr>
          <w:rFonts w:ascii="Andes" w:hAnsi="Andes" w:cs="Arial"/>
          <w:sz w:val="22"/>
          <w:szCs w:val="22"/>
        </w:rPr>
        <w:t xml:space="preserve">les </w:t>
      </w:r>
      <w:r w:rsidR="00332989">
        <w:rPr>
          <w:rFonts w:ascii="Andes" w:hAnsi="Andes" w:cs="Arial"/>
          <w:sz w:val="22"/>
          <w:szCs w:val="22"/>
        </w:rPr>
        <w:t>calendrier</w:t>
      </w:r>
      <w:r w:rsidRPr="00882278">
        <w:rPr>
          <w:rFonts w:ascii="Andes" w:hAnsi="Andes" w:cs="Arial"/>
          <w:sz w:val="22"/>
          <w:szCs w:val="22"/>
        </w:rPr>
        <w:t>s ;</w:t>
      </w:r>
    </w:p>
    <w:p w14:paraId="31C8F7DC" w14:textId="11A713AA" w:rsidR="000E782D" w:rsidRPr="00882278" w:rsidRDefault="000E782D" w:rsidP="00882278">
      <w:pPr>
        <w:pStyle w:val="Paragraphedeliste"/>
        <w:numPr>
          <w:ilvl w:val="0"/>
          <w:numId w:val="288"/>
        </w:numPr>
        <w:spacing w:before="0" w:line="240" w:lineRule="auto"/>
        <w:contextualSpacing w:val="0"/>
        <w:rPr>
          <w:rFonts w:ascii="Andes" w:hAnsi="Andes" w:cs="Arial"/>
          <w:sz w:val="22"/>
          <w:szCs w:val="22"/>
        </w:rPr>
      </w:pPr>
      <w:r w:rsidRPr="00882278">
        <w:rPr>
          <w:rFonts w:ascii="Andes" w:hAnsi="Andes" w:cs="Arial"/>
          <w:sz w:val="22"/>
          <w:szCs w:val="22"/>
        </w:rPr>
        <w:t xml:space="preserve">les exigences </w:t>
      </w:r>
      <w:r w:rsidR="00617B03">
        <w:rPr>
          <w:rFonts w:ascii="Andes" w:hAnsi="Andes" w:cs="Arial"/>
          <w:sz w:val="22"/>
          <w:szCs w:val="22"/>
        </w:rPr>
        <w:t>d’examen</w:t>
      </w:r>
      <w:r w:rsidR="003837D5">
        <w:rPr>
          <w:rFonts w:ascii="Andes" w:hAnsi="Andes" w:cs="Arial"/>
          <w:sz w:val="22"/>
          <w:szCs w:val="22"/>
        </w:rPr>
        <w:t xml:space="preserve"> </w:t>
      </w:r>
      <w:r w:rsidR="00873D75">
        <w:rPr>
          <w:rFonts w:ascii="Andes" w:hAnsi="Andes" w:cs="Arial"/>
          <w:sz w:val="22"/>
          <w:szCs w:val="22"/>
        </w:rPr>
        <w:t>par</w:t>
      </w:r>
      <w:r w:rsidRPr="00882278">
        <w:rPr>
          <w:rFonts w:ascii="Andes" w:hAnsi="Andes" w:cs="Arial"/>
          <w:sz w:val="22"/>
          <w:szCs w:val="22"/>
        </w:rPr>
        <w:t xml:space="preserve"> la Banque;</w:t>
      </w:r>
    </w:p>
    <w:p w14:paraId="05D9802D" w14:textId="0C1A1C76" w:rsidR="000E782D" w:rsidRPr="00882278" w:rsidRDefault="000E782D" w:rsidP="00882278">
      <w:pPr>
        <w:pStyle w:val="Paragraphedeliste"/>
        <w:numPr>
          <w:ilvl w:val="0"/>
          <w:numId w:val="288"/>
        </w:numPr>
        <w:spacing w:before="0" w:line="240" w:lineRule="auto"/>
        <w:contextualSpacing w:val="0"/>
        <w:rPr>
          <w:rFonts w:ascii="Andes" w:hAnsi="Andes" w:cs="Arial"/>
          <w:sz w:val="22"/>
          <w:szCs w:val="22"/>
        </w:rPr>
      </w:pPr>
      <w:r w:rsidRPr="00882278">
        <w:rPr>
          <w:rFonts w:ascii="Andes" w:hAnsi="Andes" w:cs="Arial"/>
          <w:sz w:val="22"/>
          <w:szCs w:val="22"/>
        </w:rPr>
        <w:t xml:space="preserve">les </w:t>
      </w:r>
      <w:r w:rsidR="00873D75">
        <w:rPr>
          <w:rFonts w:ascii="Andes" w:hAnsi="Andes" w:cs="Arial"/>
          <w:sz w:val="22"/>
          <w:szCs w:val="22"/>
        </w:rPr>
        <w:t>d</w:t>
      </w:r>
      <w:r w:rsidRPr="00882278">
        <w:rPr>
          <w:rFonts w:ascii="Andes" w:hAnsi="Andes" w:cs="Arial"/>
          <w:sz w:val="22"/>
          <w:szCs w:val="22"/>
        </w:rPr>
        <w:t>ocuments de passation de marchés applicables ; et</w:t>
      </w:r>
    </w:p>
    <w:p w14:paraId="0416FC3E" w14:textId="443CFDE4" w:rsidR="000E782D" w:rsidRDefault="000E782D" w:rsidP="00125DEC">
      <w:pPr>
        <w:pStyle w:val="Paragraphedeliste"/>
        <w:numPr>
          <w:ilvl w:val="0"/>
          <w:numId w:val="288"/>
        </w:numPr>
        <w:spacing w:before="0" w:line="240" w:lineRule="auto"/>
        <w:contextualSpacing w:val="0"/>
        <w:rPr>
          <w:rFonts w:ascii="Andes" w:hAnsi="Andes" w:cs="Arial"/>
          <w:sz w:val="22"/>
          <w:szCs w:val="22"/>
        </w:rPr>
      </w:pPr>
      <w:r w:rsidRPr="00882278">
        <w:rPr>
          <w:rFonts w:ascii="Andes" w:hAnsi="Andes" w:cs="Arial"/>
          <w:sz w:val="22"/>
          <w:szCs w:val="22"/>
        </w:rPr>
        <w:t xml:space="preserve">toute autre information pertinente </w:t>
      </w:r>
      <w:r w:rsidR="00873D75" w:rsidRPr="00332FCD">
        <w:rPr>
          <w:rFonts w:ascii="Andes" w:hAnsi="Andes" w:cs="Arial"/>
          <w:sz w:val="22"/>
          <w:szCs w:val="22"/>
        </w:rPr>
        <w:t>en rapport avec la passation des marchés</w:t>
      </w:r>
      <w:r w:rsidRPr="00882278">
        <w:rPr>
          <w:rFonts w:ascii="Andes" w:hAnsi="Andes" w:cs="Arial"/>
          <w:sz w:val="22"/>
          <w:szCs w:val="22"/>
        </w:rPr>
        <w:t>.</w:t>
      </w:r>
    </w:p>
    <w:p w14:paraId="683BFB04" w14:textId="57D1E52E" w:rsidR="00255D89" w:rsidRPr="00882278" w:rsidRDefault="00CF03EE" w:rsidP="00882278">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color w:val="C45911"/>
          <w:sz w:val="32"/>
          <w:szCs w:val="32"/>
        </w:rPr>
      </w:pPr>
      <w:r>
        <w:rPr>
          <w:rFonts w:ascii="Andes" w:eastAsiaTheme="majorEastAsia" w:hAnsi="Andes" w:cstheme="majorBidi"/>
          <w:bCs w:val="0"/>
          <w:color w:val="C45911"/>
          <w:sz w:val="32"/>
          <w:szCs w:val="32"/>
        </w:rPr>
        <w:t>SPMPD</w:t>
      </w:r>
      <w:r w:rsidR="00FC2DC1">
        <w:rPr>
          <w:rFonts w:ascii="Andes" w:eastAsiaTheme="majorEastAsia" w:hAnsi="Andes" w:cstheme="majorBidi"/>
          <w:bCs w:val="0"/>
          <w:color w:val="C45911"/>
          <w:sz w:val="32"/>
          <w:szCs w:val="32"/>
        </w:rPr>
        <w:t>/Plan de Passation des Marchés</w:t>
      </w:r>
      <w:r w:rsidR="00255D89" w:rsidRPr="00882278">
        <w:rPr>
          <w:rFonts w:ascii="Andes" w:eastAsiaTheme="majorEastAsia" w:hAnsi="Andes" w:cstheme="majorBidi"/>
          <w:bCs w:val="0"/>
          <w:color w:val="C45911"/>
          <w:sz w:val="32"/>
          <w:szCs w:val="32"/>
        </w:rPr>
        <w:t xml:space="preserve"> simplifié</w:t>
      </w:r>
      <w:r w:rsidR="00FC2DC1">
        <w:rPr>
          <w:rFonts w:ascii="Andes" w:eastAsiaTheme="majorEastAsia" w:hAnsi="Andes" w:cstheme="majorBidi"/>
          <w:bCs w:val="0"/>
          <w:color w:val="C45911"/>
          <w:sz w:val="32"/>
          <w:szCs w:val="32"/>
        </w:rPr>
        <w:t>s</w:t>
      </w:r>
      <w:r w:rsidR="00255D89" w:rsidRPr="00882278">
        <w:rPr>
          <w:rFonts w:ascii="Andes" w:eastAsiaTheme="majorEastAsia" w:hAnsi="Andes" w:cstheme="majorBidi"/>
          <w:bCs w:val="0"/>
          <w:color w:val="C45911"/>
          <w:sz w:val="32"/>
          <w:szCs w:val="32"/>
        </w:rPr>
        <w:t xml:space="preserve"> dans les situations de besoin urgent d'assistance</w:t>
      </w:r>
    </w:p>
    <w:p w14:paraId="6019B758" w14:textId="63EF7A1E" w:rsidR="00255D89" w:rsidRPr="00882278" w:rsidRDefault="00255D89" w:rsidP="00882278">
      <w:pPr>
        <w:pStyle w:val="Paragraphedeliste"/>
        <w:numPr>
          <w:ilvl w:val="0"/>
          <w:numId w:val="77"/>
        </w:numPr>
        <w:spacing w:before="0" w:line="240" w:lineRule="auto"/>
        <w:ind w:left="634" w:hanging="634"/>
        <w:contextualSpacing w:val="0"/>
        <w:rPr>
          <w:rFonts w:ascii="Andes" w:hAnsi="Andes" w:cs="Arial"/>
          <w:sz w:val="22"/>
          <w:szCs w:val="22"/>
        </w:rPr>
      </w:pPr>
      <w:r w:rsidRPr="00882278">
        <w:rPr>
          <w:rFonts w:ascii="Andes" w:hAnsi="Andes" w:cs="Arial"/>
          <w:sz w:val="22"/>
          <w:szCs w:val="22"/>
        </w:rPr>
        <w:t xml:space="preserve">En cas de besoin urgent d'assistance en raison d'une catastrophe naturelle ou </w:t>
      </w:r>
      <w:r w:rsidR="00050C9C">
        <w:rPr>
          <w:rFonts w:ascii="Andes" w:hAnsi="Andes" w:cs="Arial"/>
          <w:sz w:val="22"/>
          <w:szCs w:val="22"/>
        </w:rPr>
        <w:t>d’origine hum</w:t>
      </w:r>
      <w:r w:rsidR="00050C9C">
        <w:rPr>
          <w:rFonts w:ascii="Andes" w:hAnsi="Andes" w:cs="Arial"/>
          <w:sz w:val="22"/>
          <w:szCs w:val="22"/>
        </w:rPr>
        <w:tab/>
      </w:r>
      <w:proofErr w:type="spellStart"/>
      <w:r w:rsidR="00050C9C">
        <w:rPr>
          <w:rFonts w:ascii="Andes" w:hAnsi="Andes" w:cs="Arial"/>
          <w:sz w:val="22"/>
          <w:szCs w:val="22"/>
        </w:rPr>
        <w:t>ine</w:t>
      </w:r>
      <w:proofErr w:type="spellEnd"/>
      <w:r w:rsidRPr="00882278">
        <w:rPr>
          <w:rFonts w:ascii="Andes" w:hAnsi="Andes" w:cs="Arial"/>
          <w:sz w:val="22"/>
          <w:szCs w:val="22"/>
        </w:rPr>
        <w:t xml:space="preserve"> ou de conflits reconnus par la Banque, l'Emprunteur peut :</w:t>
      </w:r>
    </w:p>
    <w:p w14:paraId="559BA494" w14:textId="132D3738" w:rsidR="00255D89" w:rsidRPr="00882278" w:rsidRDefault="00255D89" w:rsidP="00882278">
      <w:pPr>
        <w:pStyle w:val="Paragraphedeliste"/>
        <w:numPr>
          <w:ilvl w:val="0"/>
          <w:numId w:val="290"/>
        </w:numPr>
        <w:spacing w:before="0" w:line="240" w:lineRule="auto"/>
        <w:contextualSpacing w:val="0"/>
        <w:rPr>
          <w:rFonts w:ascii="Andes" w:hAnsi="Andes" w:cs="Arial"/>
          <w:sz w:val="22"/>
          <w:szCs w:val="22"/>
        </w:rPr>
      </w:pPr>
      <w:r w:rsidRPr="00882278">
        <w:rPr>
          <w:rFonts w:ascii="Andes" w:hAnsi="Andes" w:cs="Arial"/>
          <w:sz w:val="22"/>
          <w:szCs w:val="22"/>
        </w:rPr>
        <w:t xml:space="preserve">préparer </w:t>
      </w:r>
      <w:r w:rsidR="00F44136">
        <w:rPr>
          <w:rFonts w:ascii="Andes" w:hAnsi="Andes" w:cs="Arial"/>
          <w:sz w:val="22"/>
          <w:szCs w:val="22"/>
        </w:rPr>
        <w:t>une SPMPD</w:t>
      </w:r>
      <w:r w:rsidRPr="00882278">
        <w:rPr>
          <w:rFonts w:ascii="Andes" w:hAnsi="Andes" w:cs="Arial"/>
          <w:sz w:val="22"/>
          <w:szCs w:val="22"/>
        </w:rPr>
        <w:t xml:space="preserve"> simplifié</w:t>
      </w:r>
      <w:r w:rsidR="00F44136">
        <w:rPr>
          <w:rFonts w:ascii="Andes" w:hAnsi="Andes" w:cs="Arial"/>
          <w:sz w:val="22"/>
          <w:szCs w:val="22"/>
        </w:rPr>
        <w:t>e</w:t>
      </w:r>
      <w:r w:rsidRPr="00882278">
        <w:rPr>
          <w:rFonts w:ascii="Andes" w:hAnsi="Andes" w:cs="Arial"/>
          <w:sz w:val="22"/>
          <w:szCs w:val="22"/>
        </w:rPr>
        <w:t>, à condition que les modalités simplifiées de passation des marchés soient conformes aux principes fondamentaux de la Banque en matière de passation des marchés ; et/ou</w:t>
      </w:r>
    </w:p>
    <w:p w14:paraId="4F059409" w14:textId="1A5EAC04" w:rsidR="00255D89" w:rsidRPr="00882278" w:rsidRDefault="00255D89" w:rsidP="00882278">
      <w:pPr>
        <w:pStyle w:val="Paragraphedeliste"/>
        <w:numPr>
          <w:ilvl w:val="0"/>
          <w:numId w:val="290"/>
        </w:numPr>
        <w:spacing w:before="0" w:line="240" w:lineRule="auto"/>
        <w:contextualSpacing w:val="0"/>
        <w:rPr>
          <w:rFonts w:ascii="Andes" w:hAnsi="Andes" w:cs="Arial"/>
          <w:sz w:val="22"/>
          <w:szCs w:val="22"/>
        </w:rPr>
      </w:pPr>
      <w:r w:rsidRPr="00882278">
        <w:rPr>
          <w:rFonts w:ascii="Andes" w:hAnsi="Andes" w:cs="Arial"/>
          <w:sz w:val="22"/>
          <w:szCs w:val="22"/>
        </w:rPr>
        <w:t xml:space="preserve">compléter un </w:t>
      </w:r>
      <w:r w:rsidR="00404102">
        <w:rPr>
          <w:rFonts w:ascii="Andes" w:hAnsi="Andes" w:cs="Arial"/>
          <w:sz w:val="22"/>
          <w:szCs w:val="22"/>
        </w:rPr>
        <w:t>P</w:t>
      </w:r>
      <w:r w:rsidRPr="00882278">
        <w:rPr>
          <w:rFonts w:ascii="Andes" w:hAnsi="Andes" w:cs="Arial"/>
          <w:sz w:val="22"/>
          <w:szCs w:val="22"/>
        </w:rPr>
        <w:t xml:space="preserve">lan de </w:t>
      </w:r>
      <w:r w:rsidR="000205AA">
        <w:rPr>
          <w:rFonts w:ascii="Andes" w:hAnsi="Andes" w:cs="Arial"/>
          <w:sz w:val="22"/>
          <w:szCs w:val="22"/>
        </w:rPr>
        <w:t>P</w:t>
      </w:r>
      <w:r w:rsidRPr="00882278">
        <w:rPr>
          <w:rFonts w:ascii="Andes" w:hAnsi="Andes" w:cs="Arial"/>
          <w:sz w:val="22"/>
          <w:szCs w:val="22"/>
        </w:rPr>
        <w:t xml:space="preserve">assation de </w:t>
      </w:r>
      <w:r w:rsidR="000205AA">
        <w:rPr>
          <w:rFonts w:ascii="Andes" w:hAnsi="Andes" w:cs="Arial"/>
          <w:sz w:val="22"/>
          <w:szCs w:val="22"/>
        </w:rPr>
        <w:t>M</w:t>
      </w:r>
      <w:r w:rsidRPr="00882278">
        <w:rPr>
          <w:rFonts w:ascii="Andes" w:hAnsi="Andes" w:cs="Arial"/>
          <w:sz w:val="22"/>
          <w:szCs w:val="22"/>
        </w:rPr>
        <w:t xml:space="preserve">archés simplifié au cours de la phase </w:t>
      </w:r>
      <w:r w:rsidR="00873D75" w:rsidRPr="009F5D2E">
        <w:rPr>
          <w:rFonts w:ascii="Andes" w:hAnsi="Andes" w:cs="Arial"/>
          <w:sz w:val="22"/>
          <w:szCs w:val="22"/>
        </w:rPr>
        <w:t>d’exécution du projet</w:t>
      </w:r>
      <w:r w:rsidRPr="00882278">
        <w:rPr>
          <w:rFonts w:ascii="Andes" w:hAnsi="Andes" w:cs="Arial"/>
          <w:sz w:val="22"/>
          <w:szCs w:val="22"/>
        </w:rPr>
        <w:t>.</w:t>
      </w:r>
    </w:p>
    <w:p w14:paraId="595BCE63" w14:textId="6A8E9D35" w:rsidR="00590156" w:rsidRDefault="00590156" w:rsidP="000A68E8">
      <w:pPr>
        <w:pStyle w:val="Paragraphedeliste"/>
        <w:numPr>
          <w:ilvl w:val="0"/>
          <w:numId w:val="77"/>
        </w:numPr>
        <w:spacing w:before="0" w:line="240" w:lineRule="auto"/>
        <w:ind w:left="630" w:hanging="634"/>
        <w:contextualSpacing w:val="0"/>
        <w:rPr>
          <w:rFonts w:ascii="Andes" w:hAnsi="Andes" w:cs="Arial"/>
          <w:sz w:val="22"/>
          <w:szCs w:val="22"/>
        </w:rPr>
        <w:sectPr w:rsidR="00590156" w:rsidSect="00AA3E7A">
          <w:headerReference w:type="default" r:id="rId20"/>
          <w:footnotePr>
            <w:numRestart w:val="eachSect"/>
          </w:footnotePr>
          <w:pgSz w:w="12240" w:h="15840"/>
          <w:pgMar w:top="1872" w:right="1440" w:bottom="1440" w:left="1440" w:header="720" w:footer="720" w:gutter="0"/>
          <w:cols w:space="720"/>
          <w:docGrid w:linePitch="360"/>
        </w:sectPr>
      </w:pPr>
    </w:p>
    <w:p w14:paraId="33E5EFEC" w14:textId="77777777" w:rsidR="00DF259D" w:rsidRPr="00332FCD" w:rsidRDefault="000C3B06" w:rsidP="007D7C78">
      <w:pPr>
        <w:pStyle w:val="REGsH1"/>
        <w:jc w:val="both"/>
      </w:pPr>
      <w:bookmarkStart w:id="941" w:name="_Toc453544271"/>
      <w:r w:rsidRPr="00332FCD">
        <w:rPr>
          <w:rFonts w:cs="Microsoft Sans Serif"/>
          <w:noProof/>
          <w:color w:val="002060"/>
          <w:lang w:val="en-US"/>
        </w:rPr>
        <w:lastRenderedPageBreak/>
        <mc:AlternateContent>
          <mc:Choice Requires="wps">
            <w:drawing>
              <wp:anchor distT="0" distB="0" distL="114300" distR="114300" simplePos="0" relativeHeight="251623424" behindDoc="0" locked="0" layoutInCell="1" allowOverlap="1" wp14:anchorId="25EEE381" wp14:editId="29833063">
                <wp:simplePos x="0" y="0"/>
                <wp:positionH relativeFrom="margin">
                  <wp:posOffset>-953506</wp:posOffset>
                </wp:positionH>
                <wp:positionV relativeFrom="paragraph">
                  <wp:posOffset>-1183640</wp:posOffset>
                </wp:positionV>
                <wp:extent cx="8082951" cy="1379855"/>
                <wp:effectExtent l="0" t="0" r="0" b="0"/>
                <wp:wrapNone/>
                <wp:docPr id="11" name="Rectangle 11"/>
                <wp:cNvGraphicFramePr/>
                <a:graphic xmlns:a="http://schemas.openxmlformats.org/drawingml/2006/main">
                  <a:graphicData uri="http://schemas.microsoft.com/office/word/2010/wordprocessingShape">
                    <wps:wsp>
                      <wps:cNvSpPr/>
                      <wps:spPr>
                        <a:xfrm>
                          <a:off x="0" y="0"/>
                          <a:ext cx="8082951" cy="1379855"/>
                        </a:xfrm>
                        <a:prstGeom prst="rect">
                          <a:avLst/>
                        </a:prstGeom>
                        <a:solidFill>
                          <a:srgbClr val="002060"/>
                        </a:solidFill>
                        <a:ln w="12700" cap="flat" cmpd="sng" algn="ctr">
                          <a:noFill/>
                          <a:prstDash val="solid"/>
                          <a:miter lim="800000"/>
                        </a:ln>
                        <a:effectLst/>
                      </wps:spPr>
                      <wps:txbx>
                        <w:txbxContent>
                          <w:p w14:paraId="10CA8B91" w14:textId="49081ECA" w:rsidR="00A41794" w:rsidRPr="001B3998" w:rsidRDefault="00A41794" w:rsidP="001B3998">
                            <w:pPr>
                              <w:ind w:left="3060" w:hanging="2160"/>
                              <w:jc w:val="left"/>
                              <w:rPr>
                                <w:rFonts w:ascii="Andes" w:hAnsi="Andes"/>
                                <w:sz w:val="44"/>
                                <w:szCs w:val="44"/>
                              </w:rPr>
                            </w:pPr>
                            <w:r w:rsidRPr="001B3998">
                              <w:rPr>
                                <w:rFonts w:ascii="Andes" w:hAnsi="Andes"/>
                                <w:sz w:val="44"/>
                                <w:szCs w:val="44"/>
                              </w:rPr>
                              <w:t>Section V.</w:t>
                            </w:r>
                            <w:r w:rsidRPr="001B3998">
                              <w:rPr>
                                <w:rFonts w:ascii="Andes" w:hAnsi="Andes"/>
                                <w:sz w:val="44"/>
                                <w:szCs w:val="44"/>
                              </w:rPr>
                              <w:tab/>
                            </w:r>
                            <w:r>
                              <w:rPr>
                                <w:rFonts w:ascii="Andes" w:hAnsi="Andes"/>
                                <w:sz w:val="44"/>
                                <w:szCs w:val="44"/>
                              </w:rPr>
                              <w:t>Dispositions relatives à la p</w:t>
                            </w:r>
                            <w:r w:rsidRPr="001B3998">
                              <w:rPr>
                                <w:rFonts w:ascii="Andes" w:hAnsi="Andes"/>
                                <w:sz w:val="44"/>
                                <w:szCs w:val="44"/>
                              </w:rPr>
                              <w:t xml:space="preserve">assation des </w:t>
                            </w:r>
                            <w:r>
                              <w:rPr>
                                <w:rFonts w:ascii="Andes" w:hAnsi="Andes"/>
                                <w:sz w:val="44"/>
                                <w:szCs w:val="44"/>
                              </w:rPr>
                              <w:t>m</w:t>
                            </w:r>
                            <w:r w:rsidRPr="001B3998">
                              <w:rPr>
                                <w:rFonts w:ascii="Andes" w:hAnsi="Andes"/>
                                <w:sz w:val="44"/>
                                <w:szCs w:val="44"/>
                              </w:rPr>
                              <w:t>archés</w:t>
                            </w:r>
                            <w:r>
                              <w:rPr>
                                <w:rFonts w:ascii="Andes" w:hAnsi="Andes"/>
                                <w:sz w:val="44"/>
                                <w:szCs w:val="44"/>
                              </w:rPr>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25EEE381" id="Rectangle 11" o:spid="_x0000_s1034" style="position:absolute;left:0;text-align:left;margin-left:-75.1pt;margin-top:-93.2pt;width:636.45pt;height:108.65pt;z-index:251623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" fillcolor="#002060" stroked="f" strokeweight="1pt">
                <v:textbox>
                  <w:txbxContent>
                    <w:p w14:paraId="10CA8B91" w14:textId="49081ECA" w:rsidR="00A41794" w:rsidRPr="001B3998" w:rsidRDefault="00A41794" w:rsidP="001B3998">
                      <w:pPr>
                        <w:ind w:left="3060" w:hanging="2160"/>
                        <w:jc w:val="left"/>
                        <w:rPr>
                          <w:rFonts w:ascii="Andes" w:hAnsi="Andes"/>
                          <w:sz w:val="44"/>
                          <w:szCs w:val="44"/>
                        </w:rPr>
                      </w:pPr>
                      <w:r w:rsidRPr="001B3998">
                        <w:rPr>
                          <w:rFonts w:ascii="Andes" w:hAnsi="Andes"/>
                          <w:sz w:val="44"/>
                          <w:szCs w:val="44"/>
                        </w:rPr>
                        <w:t>Section V.</w:t>
                      </w:r>
                      <w:r w:rsidRPr="001B3998">
                        <w:rPr>
                          <w:rFonts w:ascii="Andes" w:hAnsi="Andes"/>
                          <w:sz w:val="44"/>
                          <w:szCs w:val="44"/>
                        </w:rPr>
                        <w:tab/>
                      </w:r>
                      <w:r>
                        <w:rPr>
                          <w:rFonts w:ascii="Andes" w:hAnsi="Andes"/>
                          <w:sz w:val="44"/>
                          <w:szCs w:val="44"/>
                        </w:rPr>
                        <w:t>Dispositions relatives à la p</w:t>
                      </w:r>
                      <w:r w:rsidRPr="001B3998">
                        <w:rPr>
                          <w:rFonts w:ascii="Andes" w:hAnsi="Andes"/>
                          <w:sz w:val="44"/>
                          <w:szCs w:val="44"/>
                        </w:rPr>
                        <w:t xml:space="preserve">assation des </w:t>
                      </w:r>
                      <w:r>
                        <w:rPr>
                          <w:rFonts w:ascii="Andes" w:hAnsi="Andes"/>
                          <w:sz w:val="44"/>
                          <w:szCs w:val="44"/>
                        </w:rPr>
                        <w:t>m</w:t>
                      </w:r>
                      <w:r w:rsidRPr="001B3998">
                        <w:rPr>
                          <w:rFonts w:ascii="Andes" w:hAnsi="Andes"/>
                          <w:sz w:val="44"/>
                          <w:szCs w:val="44"/>
                        </w:rPr>
                        <w:t>archés</w:t>
                      </w:r>
                      <w:r>
                        <w:rPr>
                          <w:rFonts w:ascii="Andes" w:hAnsi="Andes"/>
                          <w:sz w:val="44"/>
                          <w:szCs w:val="44"/>
                        </w:rPr>
                        <w:t xml:space="preserve"> </w:t>
                      </w:r>
                    </w:p>
                  </w:txbxContent>
                </v:textbox>
                <w10:wrap anchorx="margin"/>
              </v:rect>
            </w:pict>
          </mc:Fallback>
        </mc:AlternateContent>
      </w:r>
      <w:r w:rsidR="00DF259D" w:rsidRPr="00332FCD">
        <w:t>Section V</w:t>
      </w:r>
      <w:r w:rsidR="00687669" w:rsidRPr="00332FCD">
        <w:t xml:space="preserve">.  </w:t>
      </w:r>
      <w:r w:rsidR="000B2118" w:rsidRPr="00332FCD">
        <w:t xml:space="preserve">General </w:t>
      </w:r>
      <w:proofErr w:type="spellStart"/>
      <w:r w:rsidR="000B2118" w:rsidRPr="00332FCD">
        <w:t>Procurement</w:t>
      </w:r>
      <w:proofErr w:type="spellEnd"/>
      <w:r w:rsidR="000B2118" w:rsidRPr="00332FCD">
        <w:t xml:space="preserve"> Provisions</w:t>
      </w:r>
      <w:bookmarkEnd w:id="941"/>
    </w:p>
    <w:p w14:paraId="1731F2C0" w14:textId="00B80A01" w:rsidR="00970962" w:rsidRPr="00332FCD" w:rsidRDefault="00BE209B" w:rsidP="007D7C78">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Passation anticipée des marchés et contrats, et financement rétroactif</w:t>
      </w:r>
    </w:p>
    <w:p w14:paraId="723A6432" w14:textId="63729B0E" w:rsidR="00421965" w:rsidRPr="00332FCD" w:rsidRDefault="00BE209B" w:rsidP="007D7C78">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L’Emprunteur peut souhaiter conduire le processus de passation d</w:t>
      </w:r>
      <w:r w:rsidR="00D336F8" w:rsidRPr="00332FCD">
        <w:rPr>
          <w:rFonts w:ascii="Andes" w:hAnsi="Andes" w:cs="Arial"/>
          <w:sz w:val="22"/>
          <w:szCs w:val="22"/>
        </w:rPr>
        <w:t>es</w:t>
      </w:r>
      <w:r w:rsidRPr="00332FCD">
        <w:rPr>
          <w:rFonts w:ascii="Andes" w:hAnsi="Andes" w:cs="Arial"/>
          <w:sz w:val="22"/>
          <w:szCs w:val="22"/>
        </w:rPr>
        <w:t xml:space="preserve"> marché</w:t>
      </w:r>
      <w:r w:rsidR="00D336F8" w:rsidRPr="00332FCD">
        <w:rPr>
          <w:rFonts w:ascii="Andes" w:hAnsi="Andes" w:cs="Arial"/>
          <w:sz w:val="22"/>
          <w:szCs w:val="22"/>
        </w:rPr>
        <w:t>s</w:t>
      </w:r>
      <w:r w:rsidR="00D846F6" w:rsidRPr="00332FCD">
        <w:rPr>
          <w:rFonts w:ascii="Andes" w:hAnsi="Andes" w:cs="Arial"/>
          <w:sz w:val="22"/>
          <w:szCs w:val="22"/>
        </w:rPr>
        <w:t xml:space="preserve"> ou d</w:t>
      </w:r>
      <w:r w:rsidR="00D336F8" w:rsidRPr="00332FCD">
        <w:rPr>
          <w:rFonts w:ascii="Andes" w:hAnsi="Andes" w:cs="Arial"/>
          <w:sz w:val="22"/>
          <w:szCs w:val="22"/>
        </w:rPr>
        <w:t>es</w:t>
      </w:r>
      <w:r w:rsidR="00D846F6" w:rsidRPr="00332FCD">
        <w:rPr>
          <w:rFonts w:ascii="Andes" w:hAnsi="Andes" w:cs="Arial"/>
          <w:sz w:val="22"/>
          <w:szCs w:val="22"/>
        </w:rPr>
        <w:t xml:space="preserve"> contrat</w:t>
      </w:r>
      <w:r w:rsidR="00D336F8" w:rsidRPr="00332FCD">
        <w:rPr>
          <w:rFonts w:ascii="Andes" w:hAnsi="Andes" w:cs="Arial"/>
          <w:sz w:val="22"/>
          <w:szCs w:val="22"/>
        </w:rPr>
        <w:t>s</w:t>
      </w:r>
      <w:r w:rsidRPr="00332FCD">
        <w:rPr>
          <w:rFonts w:ascii="Andes" w:hAnsi="Andes" w:cs="Arial"/>
          <w:sz w:val="22"/>
          <w:szCs w:val="22"/>
        </w:rPr>
        <w:t xml:space="preserve"> avant de signer l’Accord Juridique</w:t>
      </w:r>
      <w:r w:rsidR="00D846F6" w:rsidRPr="00332FCD">
        <w:rPr>
          <w:rFonts w:ascii="Andes" w:hAnsi="Andes" w:cs="Arial"/>
          <w:sz w:val="22"/>
          <w:szCs w:val="22"/>
        </w:rPr>
        <w:t xml:space="preserve">. </w:t>
      </w:r>
      <w:r w:rsidRPr="00332FCD">
        <w:rPr>
          <w:rFonts w:ascii="Andes" w:hAnsi="Andes" w:cs="Arial"/>
          <w:sz w:val="22"/>
          <w:szCs w:val="22"/>
        </w:rPr>
        <w:t xml:space="preserve">En pareille circonstance, </w:t>
      </w:r>
      <w:r w:rsidR="00CB2ED3" w:rsidRPr="00332FCD">
        <w:rPr>
          <w:rFonts w:ascii="Andes" w:hAnsi="Andes" w:cs="Arial"/>
          <w:sz w:val="22"/>
          <w:szCs w:val="22"/>
        </w:rPr>
        <w:t>les procédures de passation des marchés</w:t>
      </w:r>
      <w:r w:rsidR="00064FD4" w:rsidRPr="00332FCD">
        <w:rPr>
          <w:rFonts w:ascii="Andes" w:hAnsi="Andes" w:cs="Arial"/>
          <w:sz w:val="22"/>
          <w:szCs w:val="22"/>
        </w:rPr>
        <w:t xml:space="preserve">, y compris celles concernant la publicité, doivent être </w:t>
      </w:r>
      <w:r w:rsidR="00FE621C" w:rsidRPr="00332FCD">
        <w:rPr>
          <w:rFonts w:ascii="Andes" w:hAnsi="Andes" w:cs="Arial"/>
          <w:sz w:val="22"/>
          <w:szCs w:val="22"/>
        </w:rPr>
        <w:t>conformes</w:t>
      </w:r>
      <w:r w:rsidR="00064FD4" w:rsidRPr="00332FCD">
        <w:rPr>
          <w:rFonts w:ascii="Andes" w:hAnsi="Andes" w:cs="Arial"/>
          <w:sz w:val="22"/>
          <w:szCs w:val="22"/>
        </w:rPr>
        <w:t xml:space="preserve"> aux </w:t>
      </w:r>
      <w:r w:rsidR="00970962" w:rsidRPr="00332FCD">
        <w:rPr>
          <w:rFonts w:ascii="Andes" w:hAnsi="Andes" w:cs="Arial"/>
          <w:sz w:val="22"/>
          <w:szCs w:val="22"/>
        </w:rPr>
        <w:t>Sections</w:t>
      </w:r>
      <w:r w:rsidR="00064FD4" w:rsidRPr="00332FCD">
        <w:rPr>
          <w:rFonts w:ascii="Calibri" w:hAnsi="Calibri" w:cs="Arial"/>
          <w:sz w:val="22"/>
          <w:szCs w:val="22"/>
        </w:rPr>
        <w:t> </w:t>
      </w:r>
      <w:r w:rsidR="00970962" w:rsidRPr="00332FCD">
        <w:rPr>
          <w:rFonts w:ascii="Andes" w:hAnsi="Andes" w:cs="Arial"/>
          <w:sz w:val="22"/>
          <w:szCs w:val="22"/>
        </w:rPr>
        <w:t>I, II</w:t>
      </w:r>
      <w:r w:rsidR="00064FD4" w:rsidRPr="00332FCD">
        <w:rPr>
          <w:rFonts w:ascii="Andes" w:hAnsi="Andes" w:cs="Arial"/>
          <w:sz w:val="22"/>
          <w:szCs w:val="22"/>
        </w:rPr>
        <w:t xml:space="preserve"> et </w:t>
      </w:r>
      <w:r w:rsidR="00970962" w:rsidRPr="00332FCD">
        <w:rPr>
          <w:rFonts w:ascii="Andes" w:hAnsi="Andes" w:cs="Arial"/>
          <w:sz w:val="22"/>
          <w:szCs w:val="22"/>
        </w:rPr>
        <w:t xml:space="preserve">III </w:t>
      </w:r>
      <w:r w:rsidR="00064FD4" w:rsidRPr="00332FCD">
        <w:rPr>
          <w:rFonts w:ascii="Andes" w:hAnsi="Andes" w:cs="Arial"/>
          <w:sz w:val="22"/>
          <w:szCs w:val="22"/>
        </w:rPr>
        <w:t>du présent Règlement de Passation des Marchés</w:t>
      </w:r>
      <w:r w:rsidR="005812B0" w:rsidRPr="00332FCD">
        <w:rPr>
          <w:rFonts w:ascii="Andes" w:hAnsi="Andes" w:cs="Arial"/>
          <w:sz w:val="22"/>
          <w:szCs w:val="22"/>
        </w:rPr>
        <w:t xml:space="preserve"> pour que le marché ou contrat qui en résultera réponde aux conditions des FPI </w:t>
      </w:r>
      <w:r w:rsidR="00A66DB3" w:rsidRPr="00332FCD">
        <w:rPr>
          <w:rFonts w:ascii="Andes" w:hAnsi="Andes" w:cs="Arial"/>
          <w:sz w:val="22"/>
          <w:szCs w:val="22"/>
        </w:rPr>
        <w:t>de la Banque</w:t>
      </w:r>
      <w:r w:rsidR="00687669" w:rsidRPr="00332FCD">
        <w:rPr>
          <w:rFonts w:ascii="Andes" w:hAnsi="Andes" w:cs="Arial"/>
          <w:sz w:val="22"/>
          <w:szCs w:val="22"/>
        </w:rPr>
        <w:t>.</w:t>
      </w:r>
      <w:r w:rsidR="005812B0" w:rsidRPr="00332FCD">
        <w:rPr>
          <w:rFonts w:ascii="Andes" w:hAnsi="Andes" w:cs="Arial"/>
          <w:sz w:val="22"/>
          <w:szCs w:val="22"/>
        </w:rPr>
        <w:t xml:space="preserve"> </w:t>
      </w:r>
      <w:r w:rsidR="00A66DB3" w:rsidRPr="00332FCD">
        <w:rPr>
          <w:rFonts w:ascii="Andes" w:hAnsi="Andes" w:cs="Arial"/>
          <w:sz w:val="22"/>
          <w:szCs w:val="22"/>
        </w:rPr>
        <w:t>L’Emprunteur qui</w:t>
      </w:r>
      <w:r w:rsidR="00503AA8" w:rsidRPr="00332FCD">
        <w:rPr>
          <w:rFonts w:ascii="Andes" w:hAnsi="Andes" w:cs="Arial"/>
          <w:sz w:val="22"/>
          <w:szCs w:val="22"/>
        </w:rPr>
        <w:t xml:space="preserve"> procède </w:t>
      </w:r>
      <w:r w:rsidR="00A66DB3" w:rsidRPr="00332FCD">
        <w:rPr>
          <w:rFonts w:ascii="Andes" w:hAnsi="Andes" w:cs="Arial"/>
          <w:sz w:val="22"/>
          <w:szCs w:val="22"/>
        </w:rPr>
        <w:t>de cette manière le fait à ses propres risques, et le fait d’avoir approuvé les procédures de passation</w:t>
      </w:r>
      <w:r w:rsidR="00D336F8" w:rsidRPr="00332FCD">
        <w:rPr>
          <w:rFonts w:ascii="Andes" w:hAnsi="Andes" w:cs="Arial"/>
          <w:sz w:val="22"/>
          <w:szCs w:val="22"/>
        </w:rPr>
        <w:t xml:space="preserve"> des marchés ou de contrats</w:t>
      </w:r>
      <w:r w:rsidR="00A66DB3" w:rsidRPr="00332FCD">
        <w:rPr>
          <w:rFonts w:ascii="Andes" w:hAnsi="Andes" w:cs="Arial"/>
          <w:sz w:val="22"/>
          <w:szCs w:val="22"/>
        </w:rPr>
        <w:t xml:space="preserve">, les documents ou les propositions d’attribution de marché </w:t>
      </w:r>
      <w:r w:rsidR="00D336F8" w:rsidRPr="00332FCD">
        <w:rPr>
          <w:rFonts w:ascii="Andes" w:hAnsi="Andes" w:cs="Arial"/>
          <w:sz w:val="22"/>
          <w:szCs w:val="22"/>
        </w:rPr>
        <w:t xml:space="preserve">ou de contrat, </w:t>
      </w:r>
      <w:r w:rsidR="00A66DB3" w:rsidRPr="00332FCD">
        <w:rPr>
          <w:rFonts w:ascii="Andes" w:hAnsi="Andes" w:cs="Arial"/>
          <w:sz w:val="22"/>
          <w:szCs w:val="22"/>
        </w:rPr>
        <w:t xml:space="preserve">n’entraîne pour la Banque aucune obligation de financer le projet en question. </w:t>
      </w:r>
    </w:p>
    <w:p w14:paraId="4522D810" w14:textId="488640F1" w:rsidR="00970962" w:rsidRPr="00332FCD" w:rsidRDefault="00A66DB3" w:rsidP="007D7C78">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Si le contrat est signé, le remboursement par la Banque de toute somme payée par l’Emprunteur au titre du marché avant la signature de l’Accord Juridique est appelé financement rétroactif et n’est autorisé que dans les limites prévues dans ledit Accord. </w:t>
      </w:r>
    </w:p>
    <w:p w14:paraId="64C7A811" w14:textId="5CF81C31" w:rsidR="005C5CFC" w:rsidRPr="00332FCD" w:rsidRDefault="00A44524" w:rsidP="007D7C78">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942" w:name="_Toc453170851"/>
      <w:bookmarkStart w:id="943" w:name="_Toc453544273"/>
      <w:r w:rsidRPr="00332FCD">
        <w:rPr>
          <w:rFonts w:ascii="Andes" w:eastAsiaTheme="majorEastAsia" w:hAnsi="Andes" w:cstheme="majorBidi"/>
          <w:bCs w:val="0"/>
          <w:color w:val="C45911"/>
          <w:sz w:val="32"/>
          <w:szCs w:val="32"/>
        </w:rPr>
        <w:t xml:space="preserve">Procédures nationales de passation des marchés </w:t>
      </w:r>
      <w:bookmarkEnd w:id="942"/>
      <w:bookmarkEnd w:id="943"/>
    </w:p>
    <w:p w14:paraId="111A8152" w14:textId="2A332FFE" w:rsidR="00351A64" w:rsidRPr="00351A64" w:rsidRDefault="006B7965" w:rsidP="00351A64">
      <w:pPr>
        <w:pStyle w:val="Paragraphedeliste"/>
        <w:numPr>
          <w:ilvl w:val="0"/>
          <w:numId w:val="78"/>
        </w:numPr>
        <w:spacing w:before="0" w:line="240" w:lineRule="auto"/>
        <w:ind w:left="634" w:hanging="634"/>
        <w:contextualSpacing w:val="0"/>
        <w:rPr>
          <w:rFonts w:ascii="Andes" w:hAnsi="Andes"/>
          <w:color w:val="000000" w:themeColor="text1"/>
          <w:sz w:val="22"/>
        </w:rPr>
      </w:pPr>
      <w:r w:rsidRPr="006B7965">
        <w:rPr>
          <w:rFonts w:ascii="Andes" w:hAnsi="Andes" w:cs="Arial"/>
          <w:sz w:val="22"/>
          <w:szCs w:val="22"/>
        </w:rPr>
        <w:t>Lors</w:t>
      </w:r>
      <w:r w:rsidR="00F77CCD">
        <w:rPr>
          <w:rFonts w:ascii="Andes" w:hAnsi="Andes" w:cs="Arial"/>
          <w:sz w:val="22"/>
          <w:szCs w:val="22"/>
        </w:rPr>
        <w:t>que le</w:t>
      </w:r>
      <w:r w:rsidR="002377F0">
        <w:rPr>
          <w:rFonts w:ascii="Andes" w:hAnsi="Andes" w:cs="Arial"/>
          <w:sz w:val="22"/>
          <w:szCs w:val="22"/>
        </w:rPr>
        <w:t xml:space="preserve"> m</w:t>
      </w:r>
      <w:r w:rsidRPr="006B7965">
        <w:rPr>
          <w:rFonts w:ascii="Andes" w:hAnsi="Andes" w:cs="Arial"/>
          <w:sz w:val="22"/>
          <w:szCs w:val="22"/>
        </w:rPr>
        <w:t>arché national</w:t>
      </w:r>
      <w:r w:rsidR="002377F0">
        <w:rPr>
          <w:rFonts w:ascii="Andes" w:hAnsi="Andes" w:cs="Arial"/>
          <w:sz w:val="22"/>
          <w:szCs w:val="22"/>
        </w:rPr>
        <w:t xml:space="preserve"> satisfait aux besoins</w:t>
      </w:r>
      <w:r w:rsidRPr="006B7965">
        <w:rPr>
          <w:rFonts w:ascii="Andes" w:hAnsi="Andes" w:cs="Arial"/>
          <w:sz w:val="22"/>
          <w:szCs w:val="22"/>
        </w:rPr>
        <w:t xml:space="preserve">, comme convenu dans le Plan de </w:t>
      </w:r>
      <w:r w:rsidR="00394692">
        <w:rPr>
          <w:rFonts w:ascii="Andes" w:hAnsi="Andes" w:cs="Arial"/>
          <w:sz w:val="22"/>
          <w:szCs w:val="22"/>
        </w:rPr>
        <w:t>P</w:t>
      </w:r>
      <w:r w:rsidRPr="006B7965">
        <w:rPr>
          <w:rFonts w:ascii="Andes" w:hAnsi="Andes" w:cs="Arial"/>
          <w:sz w:val="22"/>
          <w:szCs w:val="22"/>
        </w:rPr>
        <w:t xml:space="preserve">assation des </w:t>
      </w:r>
      <w:r w:rsidR="00394692">
        <w:rPr>
          <w:rFonts w:ascii="Andes" w:hAnsi="Andes" w:cs="Arial"/>
          <w:sz w:val="22"/>
          <w:szCs w:val="22"/>
        </w:rPr>
        <w:t>M</w:t>
      </w:r>
      <w:r w:rsidRPr="006B7965">
        <w:rPr>
          <w:rFonts w:ascii="Andes" w:hAnsi="Andes" w:cs="Arial"/>
          <w:sz w:val="22"/>
          <w:szCs w:val="22"/>
        </w:rPr>
        <w:t xml:space="preserve">archés, les procédures de passation des marchés du pays peuvent être utilisées. </w:t>
      </w:r>
      <w:r w:rsidR="00351A64" w:rsidRPr="00351A64">
        <w:rPr>
          <w:rFonts w:ascii="Andes" w:hAnsi="Andes" w:cs="Arial"/>
          <w:sz w:val="22"/>
          <w:szCs w:val="22"/>
        </w:rPr>
        <w:t xml:space="preserve">Les procédures de passation de marchés doivent être </w:t>
      </w:r>
      <w:r w:rsidR="00351A64" w:rsidRPr="00843C42">
        <w:rPr>
          <w:rFonts w:ascii="Andes" w:hAnsi="Andes" w:cs="Arial"/>
          <w:sz w:val="22"/>
          <w:szCs w:val="22"/>
        </w:rPr>
        <w:t xml:space="preserve">conformes aux </w:t>
      </w:r>
      <w:r w:rsidR="00351A64" w:rsidRPr="00843C42">
        <w:rPr>
          <w:rFonts w:ascii="Andes" w:hAnsi="Andes"/>
          <w:color w:val="000000" w:themeColor="text1"/>
          <w:sz w:val="22"/>
        </w:rPr>
        <w:t>Principes Fondamentaux de Passation des Marchés d</w:t>
      </w:r>
      <w:r w:rsidR="00351A64" w:rsidRPr="003276A5">
        <w:rPr>
          <w:rFonts w:ascii="Andes" w:hAnsi="Andes"/>
          <w:color w:val="000000" w:themeColor="text1"/>
          <w:sz w:val="22"/>
        </w:rPr>
        <w:t xml:space="preserve">e la Banque et </w:t>
      </w:r>
      <w:r w:rsidR="00843C42" w:rsidRPr="00332FCD">
        <w:rPr>
          <w:rFonts w:ascii="Andes" w:hAnsi="Andes" w:cs="Arial"/>
          <w:sz w:val="22"/>
          <w:szCs w:val="22"/>
        </w:rPr>
        <w:t>garantir que les Directives de la Banque contre la corruption, son Cadre de Sanctions et les recours contractuels visés dans l’Accord Juridique s’appliquent</w:t>
      </w:r>
      <w:r w:rsidR="00351A64">
        <w:rPr>
          <w:rFonts w:ascii="Andes" w:hAnsi="Andes"/>
          <w:color w:val="000000" w:themeColor="text1"/>
          <w:sz w:val="22"/>
        </w:rPr>
        <w:t>.</w:t>
      </w:r>
    </w:p>
    <w:p w14:paraId="189D00BD" w14:textId="1937D370" w:rsidR="005C5CFC" w:rsidRPr="00332FCD" w:rsidRDefault="00843C42" w:rsidP="007D7C78">
      <w:pPr>
        <w:pStyle w:val="Paragraphedeliste"/>
        <w:numPr>
          <w:ilvl w:val="0"/>
          <w:numId w:val="78"/>
        </w:numPr>
        <w:spacing w:before="0" w:line="240" w:lineRule="auto"/>
        <w:ind w:left="634" w:hanging="634"/>
        <w:contextualSpacing w:val="0"/>
        <w:rPr>
          <w:rFonts w:ascii="Andes" w:hAnsi="Andes" w:cs="Arial"/>
          <w:sz w:val="22"/>
          <w:szCs w:val="22"/>
        </w:rPr>
      </w:pPr>
      <w:r>
        <w:rPr>
          <w:rFonts w:ascii="Andes" w:hAnsi="Andes" w:cs="Arial"/>
          <w:sz w:val="22"/>
          <w:szCs w:val="22"/>
        </w:rPr>
        <w:t>P</w:t>
      </w:r>
      <w:r w:rsidR="006D7B77" w:rsidRPr="00332FCD">
        <w:rPr>
          <w:rFonts w:ascii="Andes" w:hAnsi="Andes" w:cs="Arial"/>
          <w:sz w:val="22"/>
          <w:szCs w:val="22"/>
        </w:rPr>
        <w:t xml:space="preserve">our </w:t>
      </w:r>
      <w:r w:rsidR="00DE7000" w:rsidRPr="00332FCD">
        <w:rPr>
          <w:rFonts w:ascii="Andes" w:hAnsi="Andes" w:cs="Arial"/>
          <w:sz w:val="22"/>
          <w:szCs w:val="22"/>
        </w:rPr>
        <w:t>un</w:t>
      </w:r>
      <w:r w:rsidR="004B41B7">
        <w:rPr>
          <w:rFonts w:ascii="Andes" w:hAnsi="Andes" w:cs="Arial"/>
          <w:sz w:val="22"/>
          <w:szCs w:val="22"/>
        </w:rPr>
        <w:t>e</w:t>
      </w:r>
      <w:r w:rsidR="00482DBC">
        <w:rPr>
          <w:rFonts w:ascii="Andes" w:hAnsi="Andes" w:cs="Arial"/>
          <w:sz w:val="22"/>
          <w:szCs w:val="22"/>
        </w:rPr>
        <w:t xml:space="preserve"> procédure de mise en concurrence ouverte au plan</w:t>
      </w:r>
      <w:r>
        <w:rPr>
          <w:rFonts w:ascii="Andes" w:hAnsi="Andes" w:cs="Arial"/>
          <w:sz w:val="22"/>
          <w:szCs w:val="22"/>
        </w:rPr>
        <w:t>,</w:t>
      </w:r>
      <w:r w:rsidR="00DE7000" w:rsidRPr="00332FCD">
        <w:rPr>
          <w:rFonts w:ascii="Andes" w:hAnsi="Andes" w:cs="Arial"/>
          <w:sz w:val="22"/>
          <w:szCs w:val="22"/>
        </w:rPr>
        <w:t xml:space="preserve"> les </w:t>
      </w:r>
      <w:r>
        <w:rPr>
          <w:rFonts w:ascii="Andes" w:hAnsi="Andes" w:cs="Arial"/>
          <w:sz w:val="22"/>
          <w:szCs w:val="22"/>
        </w:rPr>
        <w:t xml:space="preserve">dispositions </w:t>
      </w:r>
      <w:r w:rsidR="00DE7000" w:rsidRPr="00332FCD">
        <w:rPr>
          <w:rFonts w:ascii="Andes" w:hAnsi="Andes" w:cs="Arial"/>
          <w:sz w:val="22"/>
          <w:szCs w:val="22"/>
        </w:rPr>
        <w:t>suivantes</w:t>
      </w:r>
      <w:r w:rsidR="00730BDF" w:rsidRPr="00E22012">
        <w:rPr>
          <w:rFonts w:ascii="Calibri" w:hAnsi="Calibri" w:cs="Calibri"/>
          <w:sz w:val="22"/>
          <w:szCs w:val="22"/>
        </w:rPr>
        <w:t> </w:t>
      </w:r>
      <w:r w:rsidRPr="002F2334">
        <w:rPr>
          <w:rFonts w:ascii="Andes" w:hAnsi="Andes" w:cs="Arial"/>
          <w:sz w:val="22"/>
          <w:szCs w:val="22"/>
        </w:rPr>
        <w:t xml:space="preserve">sont </w:t>
      </w:r>
      <w:r w:rsidR="004B6347" w:rsidRPr="002F2334">
        <w:rPr>
          <w:rFonts w:ascii="Andes" w:hAnsi="Andes" w:cs="Arial"/>
          <w:sz w:val="22"/>
          <w:szCs w:val="22"/>
        </w:rPr>
        <w:t>applicables</w:t>
      </w:r>
      <w:r w:rsidR="004B6347" w:rsidRPr="00332FCD">
        <w:rPr>
          <w:rFonts w:ascii="Andes" w:hAnsi="Andes" w:cs="Arial"/>
          <w:sz w:val="22"/>
          <w:szCs w:val="22"/>
        </w:rPr>
        <w:t xml:space="preserve"> :</w:t>
      </w:r>
      <w:r w:rsidR="00DE7000" w:rsidRPr="00332FCD">
        <w:rPr>
          <w:rFonts w:ascii="Andes" w:hAnsi="Andes" w:cs="Arial"/>
          <w:sz w:val="22"/>
          <w:szCs w:val="22"/>
        </w:rPr>
        <w:t xml:space="preserve"> </w:t>
      </w:r>
    </w:p>
    <w:p w14:paraId="5A321FAF" w14:textId="27963BBE" w:rsidR="005C5CFC" w:rsidRPr="00332FCD" w:rsidRDefault="00DE7000" w:rsidP="007D7C78">
      <w:pPr>
        <w:pStyle w:val="Paragraphedeliste"/>
        <w:numPr>
          <w:ilvl w:val="0"/>
          <w:numId w:val="150"/>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publication de l’</w:t>
      </w:r>
      <w:r w:rsidR="00C51DF5">
        <w:rPr>
          <w:rFonts w:ascii="Andes" w:eastAsiaTheme="minorHAnsi" w:hAnsi="Andes" w:cs="Arial"/>
          <w:color w:val="000000"/>
          <w:sz w:val="22"/>
          <w:szCs w:val="22"/>
        </w:rPr>
        <w:t>Appel d’Offres/ à Propositions</w:t>
      </w:r>
      <w:r w:rsidRPr="00332FCD">
        <w:rPr>
          <w:rFonts w:ascii="Andes" w:eastAsiaTheme="minorHAnsi" w:hAnsi="Andes" w:cs="Arial"/>
          <w:color w:val="000000"/>
          <w:sz w:val="22"/>
          <w:szCs w:val="22"/>
        </w:rPr>
        <w:t xml:space="preserve"> au niveau national</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w:t>
      </w:r>
    </w:p>
    <w:p w14:paraId="4FF67249" w14:textId="60560D15" w:rsidR="005C5CFC" w:rsidRPr="00332FCD" w:rsidRDefault="00DE7000" w:rsidP="007D7C78">
      <w:pPr>
        <w:pStyle w:val="Paragraphedeliste"/>
        <w:numPr>
          <w:ilvl w:val="0"/>
          <w:numId w:val="150"/>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les entreprises éligibles de tout pays peuvent concourir</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w:t>
      </w:r>
    </w:p>
    <w:p w14:paraId="3C8B4212" w14:textId="0DB72078" w:rsidR="00710EA7" w:rsidRPr="00332FCD" w:rsidRDefault="0016399D" w:rsidP="007D7C78">
      <w:pPr>
        <w:pStyle w:val="Paragraphedeliste"/>
        <w:numPr>
          <w:ilvl w:val="0"/>
          <w:numId w:val="150"/>
        </w:numPr>
        <w:spacing w:line="240" w:lineRule="auto"/>
        <w:contextualSpacing w:val="0"/>
        <w:rPr>
          <w:rFonts w:ascii="Andes" w:eastAsiaTheme="minorHAnsi" w:hAnsi="Andes"/>
          <w:color w:val="000000"/>
          <w:sz w:val="22"/>
        </w:rPr>
      </w:pPr>
      <w:r w:rsidRPr="00332FCD">
        <w:rPr>
          <w:rFonts w:ascii="Andes" w:eastAsiaTheme="minorHAnsi" w:hAnsi="Andes"/>
          <w:color w:val="000000"/>
          <w:sz w:val="22"/>
        </w:rPr>
        <w:t xml:space="preserve">le </w:t>
      </w:r>
      <w:r w:rsidR="003A07A0" w:rsidRPr="00332FCD">
        <w:rPr>
          <w:rFonts w:ascii="Andes" w:eastAsiaTheme="minorHAnsi" w:hAnsi="Andes"/>
          <w:color w:val="000000"/>
          <w:sz w:val="22"/>
        </w:rPr>
        <w:t>dossier d’</w:t>
      </w:r>
      <w:r w:rsidR="00C51DF5">
        <w:rPr>
          <w:rFonts w:ascii="Andes" w:eastAsiaTheme="minorHAnsi" w:hAnsi="Andes"/>
          <w:color w:val="000000"/>
          <w:sz w:val="22"/>
        </w:rPr>
        <w:t>Appel d’Offres/ à Propositions</w:t>
      </w:r>
      <w:r w:rsidR="00503AA8" w:rsidRPr="00332FCD">
        <w:rPr>
          <w:rFonts w:ascii="Andes" w:eastAsiaTheme="minorHAnsi" w:hAnsi="Andes"/>
          <w:color w:val="000000"/>
          <w:sz w:val="22"/>
        </w:rPr>
        <w:t xml:space="preserve"> oblige le </w:t>
      </w:r>
      <w:r w:rsidRPr="00332FCD">
        <w:rPr>
          <w:rFonts w:ascii="Andes" w:eastAsiaTheme="minorHAnsi" w:hAnsi="Andes"/>
          <w:color w:val="000000"/>
          <w:sz w:val="22"/>
        </w:rPr>
        <w:t>Soumissionnaire/Proposant présentant une Offre/Proposition</w:t>
      </w:r>
      <w:r w:rsidR="00503AA8" w:rsidRPr="00332FCD">
        <w:rPr>
          <w:rFonts w:ascii="Andes" w:eastAsiaTheme="minorHAnsi" w:hAnsi="Andes"/>
          <w:color w:val="000000"/>
          <w:sz w:val="22"/>
        </w:rPr>
        <w:t xml:space="preserve"> à </w:t>
      </w:r>
      <w:r w:rsidRPr="00332FCD">
        <w:rPr>
          <w:rFonts w:ascii="Andes" w:eastAsiaTheme="minorHAnsi" w:hAnsi="Andes"/>
          <w:color w:val="000000"/>
          <w:sz w:val="22"/>
        </w:rPr>
        <w:t xml:space="preserve">déposer </w:t>
      </w:r>
      <w:r w:rsidR="006148A1" w:rsidRPr="00332FCD">
        <w:rPr>
          <w:rFonts w:ascii="Andes" w:eastAsiaTheme="minorHAnsi" w:hAnsi="Andes"/>
          <w:color w:val="000000"/>
          <w:sz w:val="22"/>
        </w:rPr>
        <w:t>un agrément signé,</w:t>
      </w:r>
      <w:r w:rsidR="00FE5187" w:rsidRPr="00332FCD">
        <w:rPr>
          <w:rFonts w:ascii="Andes" w:eastAsiaTheme="minorHAnsi" w:hAnsi="Andes"/>
          <w:color w:val="000000"/>
          <w:sz w:val="22"/>
        </w:rPr>
        <w:t xml:space="preserve"> qui sera joint à tout </w:t>
      </w:r>
      <w:r w:rsidR="00503AA8" w:rsidRPr="00332FCD">
        <w:rPr>
          <w:rFonts w:ascii="Andes" w:eastAsiaTheme="minorHAnsi" w:hAnsi="Andes"/>
          <w:color w:val="000000"/>
          <w:sz w:val="22"/>
        </w:rPr>
        <w:t>contrat éventuel</w:t>
      </w:r>
      <w:r w:rsidR="00FE5187" w:rsidRPr="00332FCD">
        <w:rPr>
          <w:rFonts w:ascii="Andes" w:eastAsiaTheme="minorHAnsi" w:hAnsi="Andes"/>
          <w:color w:val="000000"/>
          <w:sz w:val="22"/>
        </w:rPr>
        <w:t xml:space="preserve">, pour confirmer qu’il applique et respecte les </w:t>
      </w:r>
      <w:r w:rsidR="006148A1" w:rsidRPr="00332FCD">
        <w:rPr>
          <w:rFonts w:ascii="Andes" w:hAnsi="Andes" w:cs="Arial"/>
          <w:sz w:val="22"/>
          <w:szCs w:val="22"/>
        </w:rPr>
        <w:t>Directives</w:t>
      </w:r>
      <w:r w:rsidR="00FE5187" w:rsidRPr="00332FCD">
        <w:rPr>
          <w:rFonts w:ascii="Andes" w:hAnsi="Andes" w:cs="Arial"/>
          <w:sz w:val="22"/>
          <w:szCs w:val="22"/>
        </w:rPr>
        <w:t xml:space="preserve"> de la Banque</w:t>
      </w:r>
      <w:r w:rsidR="006148A1" w:rsidRPr="00332FCD">
        <w:rPr>
          <w:rFonts w:ascii="Andes" w:hAnsi="Andes" w:cs="Arial"/>
          <w:sz w:val="22"/>
          <w:szCs w:val="22"/>
        </w:rPr>
        <w:t xml:space="preserve"> pour la lutte contre la corruption, y compris </w:t>
      </w:r>
      <w:r w:rsidR="006F555D">
        <w:rPr>
          <w:rFonts w:ascii="Andes" w:hAnsi="Andes" w:cs="Arial"/>
          <w:sz w:val="22"/>
          <w:szCs w:val="22"/>
        </w:rPr>
        <w:t>et</w:t>
      </w:r>
      <w:r w:rsidR="00DD101E" w:rsidRPr="00332FCD">
        <w:rPr>
          <w:rFonts w:ascii="Andes" w:hAnsi="Andes" w:cs="Arial"/>
          <w:sz w:val="22"/>
          <w:szCs w:val="22"/>
        </w:rPr>
        <w:t xml:space="preserve"> sans </w:t>
      </w:r>
      <w:r w:rsidR="006F555D">
        <w:rPr>
          <w:rFonts w:ascii="Andes" w:hAnsi="Andes" w:cs="Arial"/>
          <w:sz w:val="22"/>
          <w:szCs w:val="22"/>
        </w:rPr>
        <w:t>restric</w:t>
      </w:r>
      <w:r w:rsidR="006F555D" w:rsidRPr="00332FCD">
        <w:rPr>
          <w:rFonts w:ascii="Andes" w:hAnsi="Andes" w:cs="Arial"/>
          <w:sz w:val="22"/>
          <w:szCs w:val="22"/>
        </w:rPr>
        <w:t>tion</w:t>
      </w:r>
      <w:r w:rsidR="00DD101E" w:rsidRPr="00332FCD">
        <w:rPr>
          <w:rFonts w:ascii="Andes" w:hAnsi="Andes" w:cs="Arial"/>
          <w:sz w:val="22"/>
          <w:szCs w:val="22"/>
        </w:rPr>
        <w:t>, le</w:t>
      </w:r>
      <w:r w:rsidR="006148A1" w:rsidRPr="00332FCD">
        <w:rPr>
          <w:rFonts w:ascii="Andes" w:hAnsi="Andes" w:cs="Arial"/>
          <w:sz w:val="22"/>
          <w:szCs w:val="22"/>
        </w:rPr>
        <w:t xml:space="preserve"> </w:t>
      </w:r>
      <w:proofErr w:type="gramStart"/>
      <w:r w:rsidR="006148A1" w:rsidRPr="00332FCD">
        <w:rPr>
          <w:rFonts w:ascii="Andes" w:hAnsi="Andes" w:cs="Arial"/>
          <w:sz w:val="22"/>
          <w:szCs w:val="22"/>
        </w:rPr>
        <w:t xml:space="preserve">droit </w:t>
      </w:r>
      <w:r w:rsidR="00DD101E" w:rsidRPr="00332FCD">
        <w:rPr>
          <w:rFonts w:ascii="Andes" w:hAnsi="Andes" w:cs="Arial"/>
          <w:sz w:val="22"/>
          <w:szCs w:val="22"/>
        </w:rPr>
        <w:t xml:space="preserve"> de</w:t>
      </w:r>
      <w:proofErr w:type="gramEnd"/>
      <w:r w:rsidR="00DD101E" w:rsidRPr="00332FCD">
        <w:rPr>
          <w:rFonts w:ascii="Andes" w:hAnsi="Andes" w:cs="Arial"/>
          <w:sz w:val="22"/>
          <w:szCs w:val="22"/>
        </w:rPr>
        <w:t xml:space="preserve"> la Banque</w:t>
      </w:r>
      <w:r w:rsidR="006148A1" w:rsidRPr="00332FCD">
        <w:rPr>
          <w:rFonts w:ascii="Andes" w:hAnsi="Andes" w:cs="Arial"/>
          <w:sz w:val="22"/>
          <w:szCs w:val="22"/>
        </w:rPr>
        <w:t xml:space="preserve"> </w:t>
      </w:r>
      <w:r w:rsidR="00DD101E" w:rsidRPr="00332FCD">
        <w:rPr>
          <w:rFonts w:ascii="Andes" w:hAnsi="Andes" w:cs="Arial"/>
          <w:sz w:val="22"/>
          <w:szCs w:val="22"/>
        </w:rPr>
        <w:t xml:space="preserve"> de sanctionner</w:t>
      </w:r>
      <w:r w:rsidR="006148A1" w:rsidRPr="00332FCD">
        <w:rPr>
          <w:rFonts w:ascii="Andes" w:hAnsi="Andes" w:cs="Arial"/>
          <w:sz w:val="22"/>
          <w:szCs w:val="22"/>
        </w:rPr>
        <w:t xml:space="preserve"> et </w:t>
      </w:r>
      <w:r w:rsidR="00DD101E" w:rsidRPr="00332FCD">
        <w:rPr>
          <w:rFonts w:ascii="Andes" w:hAnsi="Andes" w:cs="Arial"/>
          <w:sz w:val="22"/>
          <w:szCs w:val="22"/>
        </w:rPr>
        <w:t xml:space="preserve"> les</w:t>
      </w:r>
      <w:r w:rsidR="006148A1" w:rsidRPr="00332FCD">
        <w:rPr>
          <w:rFonts w:ascii="Andes" w:hAnsi="Andes" w:cs="Arial"/>
          <w:sz w:val="22"/>
          <w:szCs w:val="22"/>
        </w:rPr>
        <w:t xml:space="preserve"> droits </w:t>
      </w:r>
      <w:r w:rsidR="00DD101E" w:rsidRPr="00332FCD">
        <w:rPr>
          <w:rFonts w:ascii="Andes" w:hAnsi="Andes" w:cs="Arial"/>
          <w:sz w:val="22"/>
          <w:szCs w:val="22"/>
        </w:rPr>
        <w:t>de la Banque pour l</w:t>
      </w:r>
      <w:r w:rsidR="006148A1" w:rsidRPr="00332FCD">
        <w:rPr>
          <w:rFonts w:ascii="Andes" w:hAnsi="Andes" w:cs="Arial"/>
          <w:sz w:val="22"/>
          <w:szCs w:val="22"/>
        </w:rPr>
        <w:t xml:space="preserve">’inspection et </w:t>
      </w:r>
      <w:r w:rsidR="00DD101E" w:rsidRPr="00332FCD">
        <w:rPr>
          <w:rFonts w:ascii="Andes" w:hAnsi="Andes" w:cs="Arial"/>
          <w:sz w:val="22"/>
          <w:szCs w:val="22"/>
        </w:rPr>
        <w:t>l</w:t>
      </w:r>
      <w:r w:rsidR="006148A1" w:rsidRPr="00332FCD">
        <w:rPr>
          <w:rFonts w:ascii="Andes" w:hAnsi="Andes" w:cs="Arial"/>
          <w:sz w:val="22"/>
          <w:szCs w:val="22"/>
        </w:rPr>
        <w:t>’audit</w:t>
      </w:r>
      <w:r w:rsidR="00730BDF" w:rsidRPr="00332FCD">
        <w:rPr>
          <w:rFonts w:ascii="Calibri" w:hAnsi="Calibri" w:cs="Calibri"/>
          <w:sz w:val="22"/>
          <w:szCs w:val="22"/>
        </w:rPr>
        <w:t> </w:t>
      </w:r>
      <w:r w:rsidR="00730BDF" w:rsidRPr="00332FCD">
        <w:rPr>
          <w:rFonts w:ascii="Andes" w:hAnsi="Andes" w:cs="Arial"/>
          <w:sz w:val="22"/>
          <w:szCs w:val="22"/>
        </w:rPr>
        <w:t>;</w:t>
      </w:r>
    </w:p>
    <w:p w14:paraId="62E15FAD" w14:textId="6F2A01E4" w:rsidR="009F5D2E" w:rsidRDefault="009F5D2E" w:rsidP="007D7C78">
      <w:pPr>
        <w:pStyle w:val="Paragraphedeliste"/>
        <w:numPr>
          <w:ilvl w:val="0"/>
          <w:numId w:val="150"/>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 xml:space="preserve">les documents de passation des marchés contiennent des dispositions </w:t>
      </w:r>
      <w:r w:rsidR="00E0568A">
        <w:rPr>
          <w:rFonts w:ascii="Andes" w:eastAsiaTheme="minorHAnsi" w:hAnsi="Andes" w:cs="Arial"/>
          <w:color w:val="000000"/>
          <w:sz w:val="22"/>
          <w:szCs w:val="22"/>
        </w:rPr>
        <w:t xml:space="preserve">suffisantes </w:t>
      </w:r>
      <w:r>
        <w:rPr>
          <w:rFonts w:ascii="Andes" w:eastAsiaTheme="minorHAnsi" w:hAnsi="Andes" w:cs="Arial"/>
          <w:color w:val="000000"/>
          <w:sz w:val="22"/>
          <w:szCs w:val="22"/>
        </w:rPr>
        <w:t xml:space="preserve">convenues avec la Banque </w:t>
      </w:r>
      <w:r w:rsidR="00E0568A">
        <w:rPr>
          <w:rFonts w:ascii="Andes" w:eastAsiaTheme="minorHAnsi" w:hAnsi="Andes" w:cs="Arial"/>
          <w:color w:val="000000"/>
          <w:sz w:val="22"/>
          <w:szCs w:val="22"/>
        </w:rPr>
        <w:t xml:space="preserve">pour </w:t>
      </w:r>
      <w:r>
        <w:rPr>
          <w:rFonts w:ascii="Andes" w:eastAsiaTheme="minorHAnsi" w:hAnsi="Andes" w:cs="Arial"/>
          <w:color w:val="000000"/>
          <w:sz w:val="22"/>
          <w:szCs w:val="22"/>
        </w:rPr>
        <w:t xml:space="preserve">atténuer </w:t>
      </w:r>
      <w:r w:rsidR="00F350FC">
        <w:rPr>
          <w:rFonts w:ascii="Andes" w:eastAsiaTheme="minorHAnsi" w:hAnsi="Andes" w:cs="Arial"/>
          <w:color w:val="000000"/>
          <w:sz w:val="22"/>
          <w:szCs w:val="22"/>
        </w:rPr>
        <w:t>les risques et impacts environnementaux</w:t>
      </w:r>
      <w:r w:rsidR="00E0568A">
        <w:rPr>
          <w:rFonts w:ascii="Andes" w:eastAsiaTheme="minorHAnsi" w:hAnsi="Andes" w:cs="Arial"/>
          <w:color w:val="000000"/>
          <w:sz w:val="22"/>
          <w:szCs w:val="22"/>
        </w:rPr>
        <w:t xml:space="preserve"> et</w:t>
      </w:r>
      <w:r w:rsidR="00F350FC">
        <w:rPr>
          <w:rFonts w:ascii="Andes" w:eastAsiaTheme="minorHAnsi" w:hAnsi="Andes" w:cs="Arial"/>
          <w:color w:val="000000"/>
          <w:sz w:val="22"/>
          <w:szCs w:val="22"/>
        </w:rPr>
        <w:t xml:space="preserve"> sociaux (y compris </w:t>
      </w:r>
      <w:r w:rsidR="00E0568A">
        <w:rPr>
          <w:rFonts w:ascii="Andes" w:eastAsiaTheme="minorHAnsi" w:hAnsi="Andes" w:cs="Arial"/>
          <w:color w:val="000000"/>
          <w:sz w:val="22"/>
          <w:szCs w:val="22"/>
        </w:rPr>
        <w:t>EAS/HS)</w:t>
      </w:r>
      <w:r w:rsidR="00F350FC">
        <w:rPr>
          <w:rFonts w:ascii="Andes" w:eastAsiaTheme="minorHAnsi" w:hAnsi="Andes" w:cs="Arial"/>
          <w:color w:val="000000"/>
          <w:sz w:val="22"/>
          <w:szCs w:val="22"/>
        </w:rPr>
        <w:t xml:space="preserve">; </w:t>
      </w:r>
      <w:r w:rsidR="00F350FC" w:rsidRPr="00F350FC">
        <w:rPr>
          <w:rFonts w:ascii="Andes" w:eastAsiaTheme="minorHAnsi" w:hAnsi="Andes" w:cs="Arial"/>
          <w:color w:val="000000"/>
          <w:sz w:val="22"/>
          <w:szCs w:val="22"/>
        </w:rPr>
        <w:t xml:space="preserve"> </w:t>
      </w:r>
    </w:p>
    <w:p w14:paraId="4572876D" w14:textId="418C53B4" w:rsidR="005C5CFC" w:rsidRPr="00332FCD" w:rsidRDefault="00DD101E" w:rsidP="007D7C78">
      <w:pPr>
        <w:pStyle w:val="Paragraphedeliste"/>
        <w:numPr>
          <w:ilvl w:val="0"/>
          <w:numId w:val="150"/>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 xml:space="preserve">les </w:t>
      </w:r>
      <w:r w:rsidR="00B03A1A" w:rsidRPr="00332FCD">
        <w:rPr>
          <w:rFonts w:ascii="Andes" w:eastAsiaTheme="minorHAnsi" w:hAnsi="Andes" w:cs="Arial"/>
          <w:color w:val="000000"/>
          <w:sz w:val="22"/>
          <w:szCs w:val="22"/>
        </w:rPr>
        <w:t>marchés</w:t>
      </w:r>
      <w:r w:rsidRPr="00332FCD">
        <w:rPr>
          <w:rFonts w:ascii="Andes" w:eastAsiaTheme="minorHAnsi" w:hAnsi="Andes" w:cs="Arial"/>
          <w:color w:val="000000"/>
          <w:sz w:val="22"/>
          <w:szCs w:val="22"/>
        </w:rPr>
        <w:t xml:space="preserve"> doivent</w:t>
      </w:r>
      <w:r w:rsidR="00B03A1A" w:rsidRPr="00332FCD">
        <w:rPr>
          <w:rFonts w:ascii="Andes" w:eastAsiaTheme="minorHAnsi" w:hAnsi="Andes" w:cs="Arial"/>
          <w:color w:val="000000"/>
          <w:sz w:val="22"/>
          <w:szCs w:val="22"/>
        </w:rPr>
        <w:t xml:space="preserve"> comport</w:t>
      </w:r>
      <w:r w:rsidRPr="00332FCD">
        <w:rPr>
          <w:rFonts w:ascii="Andes" w:eastAsiaTheme="minorHAnsi" w:hAnsi="Andes" w:cs="Arial"/>
          <w:color w:val="000000"/>
          <w:sz w:val="22"/>
          <w:szCs w:val="22"/>
        </w:rPr>
        <w:t>er</w:t>
      </w:r>
      <w:r w:rsidR="00B03A1A" w:rsidRPr="00332FCD">
        <w:rPr>
          <w:rFonts w:ascii="Andes" w:eastAsiaTheme="minorHAnsi" w:hAnsi="Andes" w:cs="Arial"/>
          <w:color w:val="000000"/>
          <w:sz w:val="22"/>
          <w:szCs w:val="22"/>
        </w:rPr>
        <w:t xml:space="preserve"> une répartition appropriée des </w:t>
      </w:r>
      <w:r w:rsidR="00D01582">
        <w:rPr>
          <w:rFonts w:ascii="Andes" w:eastAsiaTheme="minorHAnsi" w:hAnsi="Andes" w:cs="Arial"/>
          <w:color w:val="000000"/>
          <w:sz w:val="22"/>
          <w:szCs w:val="22"/>
        </w:rPr>
        <w:t>droits</w:t>
      </w:r>
      <w:r w:rsidR="00C53DEE">
        <w:rPr>
          <w:rFonts w:ascii="Andes" w:eastAsiaTheme="minorHAnsi" w:hAnsi="Andes" w:cs="Arial"/>
          <w:color w:val="000000"/>
          <w:sz w:val="22"/>
          <w:szCs w:val="22"/>
        </w:rPr>
        <w:t xml:space="preserve"> et obligations, </w:t>
      </w:r>
      <w:r w:rsidR="00B03A1A" w:rsidRPr="00332FCD">
        <w:rPr>
          <w:rFonts w:ascii="Andes" w:eastAsiaTheme="minorHAnsi" w:hAnsi="Andes" w:cs="Arial"/>
          <w:color w:val="000000"/>
          <w:sz w:val="22"/>
          <w:szCs w:val="22"/>
        </w:rPr>
        <w:t xml:space="preserve">attributions, </w:t>
      </w:r>
      <w:r w:rsidR="003B23F0">
        <w:rPr>
          <w:rFonts w:ascii="Andes" w:eastAsiaTheme="minorHAnsi" w:hAnsi="Andes" w:cs="Arial"/>
          <w:color w:val="000000"/>
          <w:sz w:val="22"/>
          <w:szCs w:val="22"/>
        </w:rPr>
        <w:t xml:space="preserve">les </w:t>
      </w:r>
      <w:r w:rsidR="00B03A1A" w:rsidRPr="00332FCD">
        <w:rPr>
          <w:rFonts w:ascii="Andes" w:eastAsiaTheme="minorHAnsi" w:hAnsi="Andes" w:cs="Arial"/>
          <w:color w:val="000000"/>
          <w:sz w:val="22"/>
          <w:szCs w:val="22"/>
        </w:rPr>
        <w:t>risques et responsabilités</w:t>
      </w:r>
      <w:r w:rsidR="003B23F0">
        <w:rPr>
          <w:rFonts w:ascii="Andes" w:eastAsiaTheme="minorHAnsi" w:hAnsi="Andes" w:cs="Arial"/>
          <w:color w:val="000000"/>
          <w:sz w:val="22"/>
          <w:szCs w:val="22"/>
        </w:rPr>
        <w:t xml:space="preserve">, </w:t>
      </w:r>
      <w:r w:rsidR="0075221A">
        <w:rPr>
          <w:rFonts w:ascii="Andes" w:eastAsiaTheme="minorHAnsi" w:hAnsi="Andes" w:cs="Arial"/>
          <w:color w:val="000000"/>
          <w:sz w:val="22"/>
          <w:szCs w:val="22"/>
        </w:rPr>
        <w:t xml:space="preserve">sur la base d’une analyse </w:t>
      </w:r>
      <w:r w:rsidR="00DB20F7">
        <w:rPr>
          <w:rFonts w:ascii="Andes" w:eastAsiaTheme="minorHAnsi" w:hAnsi="Andes" w:cs="Arial"/>
          <w:color w:val="000000"/>
          <w:sz w:val="22"/>
          <w:szCs w:val="22"/>
        </w:rPr>
        <w:t>de la partie qui est la mieux placée pour gérer les risques</w:t>
      </w:r>
      <w:r w:rsidR="002D0013">
        <w:rPr>
          <w:rFonts w:ascii="Andes" w:eastAsiaTheme="minorHAnsi" w:hAnsi="Andes" w:cs="Arial"/>
          <w:color w:val="000000"/>
          <w:sz w:val="22"/>
          <w:szCs w:val="22"/>
        </w:rPr>
        <w:t xml:space="preserve">, en gardant à l’esprit les coûts </w:t>
      </w:r>
      <w:r w:rsidR="00B95D00">
        <w:rPr>
          <w:rFonts w:ascii="Andes" w:eastAsiaTheme="minorHAnsi" w:hAnsi="Andes" w:cs="Arial"/>
          <w:color w:val="000000"/>
          <w:sz w:val="22"/>
          <w:szCs w:val="22"/>
        </w:rPr>
        <w:t xml:space="preserve">et incitations </w:t>
      </w:r>
      <w:r w:rsidR="00141F62">
        <w:rPr>
          <w:rFonts w:ascii="Andes" w:eastAsiaTheme="minorHAnsi" w:hAnsi="Andes" w:cs="Arial"/>
          <w:color w:val="000000"/>
          <w:sz w:val="22"/>
          <w:szCs w:val="22"/>
        </w:rPr>
        <w:t>de l’allocation des risques</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00B03A1A" w:rsidRPr="00332FCD">
        <w:rPr>
          <w:rFonts w:ascii="Andes" w:eastAsiaTheme="minorHAnsi" w:hAnsi="Andes" w:cs="Arial"/>
          <w:color w:val="000000"/>
          <w:sz w:val="22"/>
          <w:szCs w:val="22"/>
        </w:rPr>
        <w:t xml:space="preserve"> </w:t>
      </w:r>
    </w:p>
    <w:p w14:paraId="55C24719" w14:textId="1B8753AA" w:rsidR="005C5CFC" w:rsidRPr="00332FCD" w:rsidRDefault="00DD101E" w:rsidP="007D7C78">
      <w:pPr>
        <w:pStyle w:val="Paragraphedeliste"/>
        <w:numPr>
          <w:ilvl w:val="0"/>
          <w:numId w:val="150"/>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 xml:space="preserve">la </w:t>
      </w:r>
      <w:r w:rsidR="00B03A1A" w:rsidRPr="00332FCD">
        <w:rPr>
          <w:rFonts w:ascii="Andes" w:eastAsiaTheme="minorHAnsi" w:hAnsi="Andes" w:cs="Arial"/>
          <w:color w:val="000000"/>
          <w:sz w:val="22"/>
          <w:szCs w:val="22"/>
        </w:rPr>
        <w:t>publication des informations relatives à l’attribution du marché</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005C5CFC" w:rsidRPr="00332FCD">
        <w:rPr>
          <w:rFonts w:ascii="Andes" w:eastAsiaTheme="minorHAnsi" w:hAnsi="Andes" w:cs="Arial"/>
          <w:color w:val="000000"/>
          <w:sz w:val="22"/>
          <w:szCs w:val="22"/>
        </w:rPr>
        <w:t xml:space="preserve"> </w:t>
      </w:r>
    </w:p>
    <w:p w14:paraId="192E7682" w14:textId="31A173C8" w:rsidR="005C5CFC" w:rsidRPr="00332FCD" w:rsidRDefault="00DD101E" w:rsidP="007D7C78">
      <w:pPr>
        <w:pStyle w:val="Paragraphedeliste"/>
        <w:numPr>
          <w:ilvl w:val="0"/>
          <w:numId w:val="150"/>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 xml:space="preserve">les </w:t>
      </w:r>
      <w:r w:rsidR="00B03A1A" w:rsidRPr="00332FCD">
        <w:rPr>
          <w:rFonts w:ascii="Andes" w:eastAsiaTheme="minorHAnsi" w:hAnsi="Andes" w:cs="Arial"/>
          <w:color w:val="000000"/>
          <w:sz w:val="22"/>
          <w:szCs w:val="22"/>
        </w:rPr>
        <w:t>droit</w:t>
      </w:r>
      <w:r w:rsidR="00503AA8" w:rsidRPr="00332FCD">
        <w:rPr>
          <w:rFonts w:ascii="Andes" w:eastAsiaTheme="minorHAnsi" w:hAnsi="Andes" w:cs="Arial"/>
          <w:color w:val="000000"/>
          <w:sz w:val="22"/>
          <w:szCs w:val="22"/>
        </w:rPr>
        <w:t>s</w:t>
      </w:r>
      <w:r w:rsidR="00B03A1A" w:rsidRPr="00332FCD">
        <w:rPr>
          <w:rFonts w:ascii="Andes" w:eastAsiaTheme="minorHAnsi" w:hAnsi="Andes" w:cs="Arial"/>
          <w:color w:val="000000"/>
          <w:sz w:val="22"/>
          <w:szCs w:val="22"/>
        </w:rPr>
        <w:t xml:space="preserve"> de la Banque d’examiner le dossier et les activités de passation des marchés</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00B03A1A" w:rsidRPr="00332FCD">
        <w:rPr>
          <w:rFonts w:ascii="Andes" w:eastAsiaTheme="minorHAnsi" w:hAnsi="Andes" w:cs="Arial"/>
          <w:color w:val="000000"/>
          <w:sz w:val="22"/>
          <w:szCs w:val="22"/>
        </w:rPr>
        <w:t xml:space="preserve"> </w:t>
      </w:r>
    </w:p>
    <w:p w14:paraId="26850656" w14:textId="39F06608" w:rsidR="005C5CFC" w:rsidRPr="00332FCD" w:rsidRDefault="00DD101E" w:rsidP="007D7C78">
      <w:pPr>
        <w:pStyle w:val="Paragraphedeliste"/>
        <w:numPr>
          <w:ilvl w:val="0"/>
          <w:numId w:val="150"/>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l’</w:t>
      </w:r>
      <w:r w:rsidR="005C5BB9" w:rsidRPr="00332FCD">
        <w:rPr>
          <w:rFonts w:ascii="Andes" w:eastAsiaTheme="minorHAnsi" w:hAnsi="Andes" w:cs="Arial"/>
          <w:color w:val="000000"/>
          <w:sz w:val="22"/>
          <w:szCs w:val="22"/>
        </w:rPr>
        <w:t>existence d’un mécanisme efficace d’examen des plaintes</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005C5BB9" w:rsidRPr="00332FCD">
        <w:rPr>
          <w:rFonts w:ascii="Andes" w:eastAsiaTheme="minorHAnsi" w:hAnsi="Andes" w:cs="Arial"/>
          <w:color w:val="000000"/>
          <w:sz w:val="22"/>
          <w:szCs w:val="22"/>
        </w:rPr>
        <w:t xml:space="preserve"> et</w:t>
      </w:r>
    </w:p>
    <w:p w14:paraId="5850D20E" w14:textId="2EFAB260" w:rsidR="005C5CFC" w:rsidRPr="00332FCD" w:rsidRDefault="00DD101E" w:rsidP="007D7C78">
      <w:pPr>
        <w:pStyle w:val="Paragraphedeliste"/>
        <w:numPr>
          <w:ilvl w:val="0"/>
          <w:numId w:val="150"/>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lastRenderedPageBreak/>
        <w:t xml:space="preserve">la gestion et l’archivage </w:t>
      </w:r>
      <w:r w:rsidR="00B03A1A" w:rsidRPr="00332FCD">
        <w:rPr>
          <w:rFonts w:ascii="Andes" w:eastAsiaTheme="minorHAnsi" w:hAnsi="Andes" w:cs="Arial"/>
          <w:color w:val="000000"/>
          <w:sz w:val="22"/>
          <w:szCs w:val="22"/>
        </w:rPr>
        <w:t xml:space="preserve">des dossiers relatifs au Processus de la Passation des Marchés. </w:t>
      </w:r>
    </w:p>
    <w:p w14:paraId="2F97417F" w14:textId="16830AAD" w:rsidR="00571711" w:rsidRPr="00332FCD" w:rsidRDefault="005C5BB9" w:rsidP="007D7C78">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Les autres modalités nationales de passation des marchés (autres que sous forme d’</w:t>
      </w:r>
      <w:r w:rsidR="00C51DF5">
        <w:rPr>
          <w:rFonts w:ascii="Andes" w:hAnsi="Andes" w:cs="Arial"/>
          <w:sz w:val="22"/>
          <w:szCs w:val="22"/>
        </w:rPr>
        <w:t>Appel d’Offres/ à Propositions</w:t>
      </w:r>
      <w:r w:rsidRPr="00332FCD">
        <w:rPr>
          <w:rFonts w:ascii="Andes" w:hAnsi="Andes" w:cs="Arial"/>
          <w:sz w:val="22"/>
          <w:szCs w:val="22"/>
        </w:rPr>
        <w:t xml:space="preserve"> national</w:t>
      </w:r>
      <w:r w:rsidR="007C00A4" w:rsidRPr="00332FCD">
        <w:rPr>
          <w:rFonts w:ascii="Andes" w:hAnsi="Andes" w:cs="Arial"/>
          <w:sz w:val="22"/>
          <w:szCs w:val="22"/>
        </w:rPr>
        <w:t xml:space="preserve"> ouvert</w:t>
      </w:r>
      <w:r w:rsidRPr="00332FCD">
        <w:rPr>
          <w:rFonts w:ascii="Andes" w:hAnsi="Andes" w:cs="Arial"/>
          <w:sz w:val="22"/>
          <w:szCs w:val="22"/>
        </w:rPr>
        <w:t xml:space="preserve">) </w:t>
      </w:r>
      <w:r w:rsidR="00532DE7" w:rsidRPr="00332FCD">
        <w:rPr>
          <w:rFonts w:ascii="Andes" w:hAnsi="Andes" w:cs="Arial"/>
          <w:sz w:val="22"/>
          <w:szCs w:val="22"/>
        </w:rPr>
        <w:t>qui pourraient être appliquées par l’Emprunteur (appel d’</w:t>
      </w:r>
      <w:r w:rsidR="009D60FD" w:rsidRPr="00332FCD">
        <w:rPr>
          <w:rFonts w:ascii="Andes" w:hAnsi="Andes" w:cs="Arial"/>
          <w:sz w:val="22"/>
          <w:szCs w:val="22"/>
        </w:rPr>
        <w:t>offres limité</w:t>
      </w:r>
      <w:r w:rsidR="00532DE7" w:rsidRPr="00332FCD">
        <w:rPr>
          <w:rFonts w:ascii="Andes" w:hAnsi="Andes" w:cs="Arial"/>
          <w:sz w:val="22"/>
          <w:szCs w:val="22"/>
        </w:rPr>
        <w:t>/restreint, demande de prix</w:t>
      </w:r>
      <w:r w:rsidR="009D60FD" w:rsidRPr="00332FCD">
        <w:rPr>
          <w:rFonts w:ascii="Andes" w:hAnsi="Andes" w:cs="Arial"/>
          <w:sz w:val="22"/>
          <w:szCs w:val="22"/>
        </w:rPr>
        <w:t xml:space="preserve">/consultation de fournisseurs, entente directe) doivent être conformes </w:t>
      </w:r>
      <w:r w:rsidR="00843C42">
        <w:rPr>
          <w:rFonts w:ascii="Andes" w:hAnsi="Andes" w:cs="Arial"/>
          <w:sz w:val="22"/>
          <w:szCs w:val="22"/>
        </w:rPr>
        <w:t>aux dispositions d</w:t>
      </w:r>
      <w:r w:rsidR="005C2C8C">
        <w:rPr>
          <w:rFonts w:ascii="Andes" w:hAnsi="Andes" w:cs="Arial"/>
          <w:sz w:val="22"/>
          <w:szCs w:val="22"/>
        </w:rPr>
        <w:t>es</w:t>
      </w:r>
      <w:r w:rsidR="00843C42">
        <w:rPr>
          <w:rFonts w:ascii="Andes" w:hAnsi="Andes" w:cs="Arial"/>
          <w:sz w:val="22"/>
          <w:szCs w:val="22"/>
        </w:rPr>
        <w:t xml:space="preserve"> paragraphe</w:t>
      </w:r>
      <w:r w:rsidR="005C2C8C">
        <w:rPr>
          <w:rFonts w:ascii="Andes" w:hAnsi="Andes" w:cs="Arial"/>
          <w:sz w:val="22"/>
          <w:szCs w:val="22"/>
        </w:rPr>
        <w:t>s</w:t>
      </w:r>
      <w:r w:rsidR="00843C42">
        <w:rPr>
          <w:rFonts w:ascii="Andes" w:hAnsi="Andes" w:cs="Arial"/>
          <w:sz w:val="22"/>
          <w:szCs w:val="22"/>
        </w:rPr>
        <w:t xml:space="preserve"> 5.3 </w:t>
      </w:r>
      <w:r w:rsidR="005C2C8C">
        <w:rPr>
          <w:rFonts w:ascii="Andes" w:hAnsi="Andes" w:cs="Arial"/>
          <w:sz w:val="22"/>
          <w:szCs w:val="22"/>
        </w:rPr>
        <w:t xml:space="preserve">et 5.4, selon le cas, </w:t>
      </w:r>
      <w:r w:rsidR="00843C42">
        <w:rPr>
          <w:rFonts w:ascii="Andes" w:hAnsi="Andes" w:cs="Arial"/>
          <w:sz w:val="22"/>
          <w:szCs w:val="22"/>
        </w:rPr>
        <w:t>de la présente Section</w:t>
      </w:r>
      <w:r w:rsidR="005F465F" w:rsidRPr="00332FCD">
        <w:rPr>
          <w:rFonts w:ascii="Andes" w:hAnsi="Andes" w:cs="Arial"/>
          <w:sz w:val="22"/>
          <w:szCs w:val="22"/>
        </w:rPr>
        <w:t xml:space="preserve">. </w:t>
      </w:r>
    </w:p>
    <w:p w14:paraId="58B879E1" w14:textId="40FDDC01" w:rsidR="00571711" w:rsidRPr="00332FCD" w:rsidRDefault="005F465F" w:rsidP="007D7C78">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En toutes circonstances, les procédures nationales de passation des marchés à utiliser doivent prendre dûment en compte les aspects liés à la qualité</w:t>
      </w:r>
      <w:r w:rsidR="00547F6F">
        <w:rPr>
          <w:rFonts w:ascii="Andes" w:hAnsi="Andes" w:cs="Arial"/>
          <w:sz w:val="22"/>
          <w:szCs w:val="22"/>
        </w:rPr>
        <w:t xml:space="preserve">, qui </w:t>
      </w:r>
      <w:r w:rsidR="003A35E3">
        <w:rPr>
          <w:rFonts w:ascii="Andes" w:hAnsi="Andes" w:cs="Arial"/>
          <w:sz w:val="22"/>
          <w:szCs w:val="22"/>
        </w:rPr>
        <w:t xml:space="preserve">peuvent être évalués en utilisant les </w:t>
      </w:r>
      <w:r w:rsidR="00A67B3F">
        <w:rPr>
          <w:rFonts w:ascii="Andes" w:hAnsi="Andes" w:cs="Arial"/>
          <w:sz w:val="22"/>
          <w:szCs w:val="22"/>
        </w:rPr>
        <w:t>Critères Notés</w:t>
      </w:r>
      <w:r w:rsidRPr="00332FCD">
        <w:rPr>
          <w:rFonts w:ascii="Andes" w:hAnsi="Andes" w:cs="Arial"/>
          <w:sz w:val="22"/>
          <w:szCs w:val="22"/>
        </w:rPr>
        <w:t xml:space="preserve">. </w:t>
      </w:r>
    </w:p>
    <w:p w14:paraId="3828974A" w14:textId="6299D986" w:rsidR="005C44DA" w:rsidRPr="00332FCD" w:rsidRDefault="00FB21BA" w:rsidP="007D7C78">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 xml:space="preserve">Besoin </w:t>
      </w:r>
      <w:r w:rsidR="007C00A4" w:rsidRPr="00332FCD">
        <w:rPr>
          <w:rFonts w:ascii="Andes" w:eastAsiaTheme="majorEastAsia" w:hAnsi="Andes" w:cstheme="majorBidi"/>
          <w:bCs w:val="0"/>
          <w:color w:val="C45911"/>
          <w:sz w:val="32"/>
          <w:szCs w:val="32"/>
        </w:rPr>
        <w:t xml:space="preserve">urgent d’assistance </w:t>
      </w:r>
      <w:r w:rsidRPr="00332FCD">
        <w:rPr>
          <w:rFonts w:ascii="Andes" w:eastAsiaTheme="majorEastAsia" w:hAnsi="Andes" w:cstheme="majorBidi"/>
          <w:bCs w:val="0"/>
          <w:color w:val="C45911"/>
          <w:sz w:val="32"/>
          <w:szCs w:val="32"/>
        </w:rPr>
        <w:t>et problèmes de capacités</w:t>
      </w:r>
    </w:p>
    <w:p w14:paraId="0840B09A" w14:textId="56D8F642" w:rsidR="00E6187C" w:rsidRPr="00332FCD" w:rsidRDefault="005F465F" w:rsidP="007D7C78">
      <w:pPr>
        <w:pStyle w:val="Paragraphedeliste"/>
        <w:numPr>
          <w:ilvl w:val="0"/>
          <w:numId w:val="78"/>
        </w:numPr>
        <w:spacing w:before="0" w:line="240" w:lineRule="auto"/>
        <w:ind w:left="634" w:hanging="634"/>
        <w:contextualSpacing w:val="0"/>
        <w:rPr>
          <w:rFonts w:ascii="Andes" w:eastAsia="Rockwell" w:hAnsi="Andes" w:cs="Arial"/>
          <w:bCs/>
          <w:sz w:val="22"/>
          <w:szCs w:val="22"/>
        </w:rPr>
      </w:pPr>
      <w:r w:rsidRPr="00332FCD">
        <w:rPr>
          <w:rFonts w:ascii="Andes" w:hAnsi="Andes" w:cs="Arial"/>
          <w:sz w:val="22"/>
          <w:szCs w:val="22"/>
        </w:rPr>
        <w:t xml:space="preserve">La Banque peut accepter </w:t>
      </w:r>
      <w:r w:rsidR="00FB21BA" w:rsidRPr="00332FCD">
        <w:rPr>
          <w:rFonts w:ascii="Andes" w:hAnsi="Andes" w:cs="Arial"/>
          <w:sz w:val="22"/>
          <w:szCs w:val="22"/>
        </w:rPr>
        <w:t xml:space="preserve">d’utiliser les modalités nationales de passation des marchés de l’Emprunteur conformément aux dispositions applicables du présent Règlement de Passation des Marchés </w:t>
      </w:r>
      <w:r w:rsidRPr="00332FCD">
        <w:rPr>
          <w:rFonts w:ascii="Andes" w:hAnsi="Andes" w:cs="Arial"/>
          <w:sz w:val="22"/>
          <w:szCs w:val="22"/>
        </w:rPr>
        <w:t xml:space="preserve">lorsqu’elle juge que l’Emprunteur/le bénéficiaire </w:t>
      </w:r>
      <w:r w:rsidRPr="00332FCD">
        <w:rPr>
          <w:rFonts w:ascii="Andes" w:hAnsi="Andes" w:cs="Arial"/>
          <w:sz w:val="22"/>
          <w:szCs w:val="22"/>
        </w:rPr>
        <w:tab/>
        <w:t>ou, le cas échéant, le pays membre</w:t>
      </w:r>
      <w:r w:rsidR="007C00A4" w:rsidRPr="00332FCD">
        <w:rPr>
          <w:rFonts w:ascii="Andes" w:hAnsi="Andes" w:cs="Arial"/>
          <w:sz w:val="22"/>
          <w:szCs w:val="22"/>
        </w:rPr>
        <w:t>, est reconnu par la Banque comme</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w:t>
      </w:r>
    </w:p>
    <w:p w14:paraId="34C3B8B2" w14:textId="452000CD" w:rsidR="00E6187C" w:rsidRPr="00332FCD" w:rsidRDefault="007C00A4" w:rsidP="007C00A4">
      <w:pPr>
        <w:pStyle w:val="Paragraphedeliste"/>
        <w:numPr>
          <w:ilvl w:val="0"/>
          <w:numId w:val="151"/>
        </w:numPr>
        <w:spacing w:before="0" w:line="240" w:lineRule="auto"/>
        <w:contextualSpacing w:val="0"/>
        <w:rPr>
          <w:rFonts w:ascii="Andes" w:eastAsiaTheme="minorHAnsi" w:hAnsi="Andes" w:cs="Arial"/>
          <w:color w:val="000000"/>
          <w:sz w:val="22"/>
          <w:szCs w:val="22"/>
        </w:rPr>
      </w:pPr>
      <w:r w:rsidRPr="00332FCD">
        <w:rPr>
          <w:rFonts w:ascii="Andes" w:hAnsi="Andes" w:cs="Arial"/>
          <w:sz w:val="22"/>
          <w:szCs w:val="22"/>
        </w:rPr>
        <w:t>étant dans un</w:t>
      </w:r>
      <w:r w:rsidR="005F465F" w:rsidRPr="00332FCD">
        <w:rPr>
          <w:rFonts w:ascii="Andes" w:hAnsi="Andes" w:cs="Arial"/>
          <w:sz w:val="22"/>
          <w:szCs w:val="22"/>
        </w:rPr>
        <w:t xml:space="preserve"> besoin </w:t>
      </w:r>
      <w:r w:rsidRPr="00332FCD">
        <w:rPr>
          <w:rFonts w:ascii="Andes" w:hAnsi="Andes" w:cs="Arial"/>
          <w:sz w:val="22"/>
          <w:szCs w:val="22"/>
        </w:rPr>
        <w:t xml:space="preserve">urgent d’assistance </w:t>
      </w:r>
      <w:r w:rsidR="005F465F" w:rsidRPr="00332FCD">
        <w:rPr>
          <w:rFonts w:ascii="Andes" w:hAnsi="Andes" w:cs="Arial"/>
          <w:sz w:val="22"/>
          <w:szCs w:val="22"/>
        </w:rPr>
        <w:t xml:space="preserve">en raison d’une catastrophe d’origine naturelle ou humaine, ou d’un conflit </w:t>
      </w:r>
      <w:r w:rsidR="00FB21BA" w:rsidRPr="00332FCD">
        <w:rPr>
          <w:rFonts w:ascii="Andes" w:hAnsi="Andes" w:cs="Arial"/>
          <w:sz w:val="22"/>
          <w:szCs w:val="22"/>
        </w:rPr>
        <w:t>(Situations d’Urgence)</w:t>
      </w:r>
      <w:r w:rsidR="00730BDF" w:rsidRPr="00332FCD">
        <w:rPr>
          <w:rFonts w:ascii="Calibri" w:hAnsi="Calibri" w:cs="Calibri"/>
          <w:sz w:val="22"/>
          <w:szCs w:val="22"/>
        </w:rPr>
        <w:t> </w:t>
      </w:r>
      <w:r w:rsidR="00730BDF" w:rsidRPr="00332FCD">
        <w:rPr>
          <w:rFonts w:ascii="Andes" w:hAnsi="Andes" w:cs="Arial"/>
          <w:sz w:val="22"/>
          <w:szCs w:val="22"/>
        </w:rPr>
        <w:t>;</w:t>
      </w:r>
      <w:r w:rsidR="005F465F" w:rsidRPr="00332FCD">
        <w:rPr>
          <w:rFonts w:ascii="Andes" w:hAnsi="Andes" w:cs="Arial"/>
          <w:sz w:val="22"/>
          <w:szCs w:val="22"/>
        </w:rPr>
        <w:t xml:space="preserve"> ou</w:t>
      </w:r>
      <w:r w:rsidR="005F465F" w:rsidRPr="00332FCD">
        <w:rPr>
          <w:rFonts w:ascii="Andes" w:eastAsiaTheme="minorHAnsi" w:hAnsi="Andes" w:cs="Arial"/>
          <w:color w:val="000000"/>
          <w:sz w:val="22"/>
          <w:szCs w:val="22"/>
        </w:rPr>
        <w:t xml:space="preserve"> </w:t>
      </w:r>
    </w:p>
    <w:p w14:paraId="539159B5" w14:textId="77CB917C" w:rsidR="00E6187C" w:rsidRPr="00332FCD" w:rsidRDefault="005F465F" w:rsidP="007D7C78">
      <w:pPr>
        <w:pStyle w:val="Paragraphedeliste"/>
        <w:numPr>
          <w:ilvl w:val="0"/>
          <w:numId w:val="151"/>
        </w:numPr>
        <w:spacing w:before="0" w:line="240" w:lineRule="auto"/>
        <w:contextualSpacing w:val="0"/>
        <w:rPr>
          <w:rFonts w:ascii="Andes" w:eastAsiaTheme="minorHAnsi" w:hAnsi="Andes" w:cs="Arial"/>
          <w:color w:val="000000"/>
          <w:sz w:val="22"/>
          <w:szCs w:val="22"/>
        </w:rPr>
      </w:pPr>
      <w:r w:rsidRPr="00332FCD">
        <w:rPr>
          <w:rFonts w:ascii="Andes" w:hAnsi="Andes" w:cs="Arial"/>
          <w:sz w:val="22"/>
          <w:szCs w:val="22"/>
        </w:rPr>
        <w:t>se heurte à des problèmes de capacités du fait de sa fragilité ou de vulnérabilités</w:t>
      </w:r>
      <w:r w:rsidR="00503AA8" w:rsidRPr="00332FCD">
        <w:rPr>
          <w:rFonts w:ascii="Andes" w:hAnsi="Andes" w:cs="Arial"/>
          <w:sz w:val="22"/>
          <w:szCs w:val="22"/>
        </w:rPr>
        <w:t xml:space="preserve"> particulières </w:t>
      </w:r>
      <w:r w:rsidRPr="00332FCD">
        <w:rPr>
          <w:rFonts w:ascii="Andes" w:hAnsi="Andes" w:cs="Arial"/>
          <w:sz w:val="22"/>
          <w:szCs w:val="22"/>
        </w:rPr>
        <w:t>(États</w:t>
      </w:r>
      <w:r w:rsidR="007C00A4" w:rsidRPr="00332FCD">
        <w:rPr>
          <w:rFonts w:ascii="Andes" w:hAnsi="Andes" w:cs="Arial"/>
          <w:sz w:val="22"/>
          <w:szCs w:val="22"/>
        </w:rPr>
        <w:t xml:space="preserve"> à faible économie</w:t>
      </w:r>
      <w:r w:rsidRPr="00332FCD">
        <w:rPr>
          <w:rFonts w:ascii="Andes" w:hAnsi="Andes" w:cs="Arial"/>
          <w:sz w:val="22"/>
          <w:szCs w:val="22"/>
        </w:rPr>
        <w:t>, par exemple)</w:t>
      </w:r>
      <w:r w:rsidR="00687669" w:rsidRPr="00332FCD">
        <w:rPr>
          <w:rFonts w:ascii="Andes" w:eastAsiaTheme="minorHAnsi" w:hAnsi="Andes" w:cs="Arial"/>
          <w:color w:val="000000"/>
          <w:sz w:val="22"/>
          <w:szCs w:val="22"/>
        </w:rPr>
        <w:t xml:space="preserve">.  </w:t>
      </w:r>
    </w:p>
    <w:p w14:paraId="0A2B54D1" w14:textId="58288505" w:rsidR="00970962" w:rsidRPr="00332FCD" w:rsidRDefault="00FB21BA" w:rsidP="007D7C78">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Dématérialisation de la passation des marchés</w:t>
      </w:r>
    </w:p>
    <w:p w14:paraId="3B618428" w14:textId="329AE122" w:rsidR="00970962" w:rsidRPr="00ED1606" w:rsidRDefault="008E160C" w:rsidP="007D7C78">
      <w:pPr>
        <w:pStyle w:val="Paragraphedeliste"/>
        <w:numPr>
          <w:ilvl w:val="0"/>
          <w:numId w:val="78"/>
        </w:numPr>
        <w:spacing w:before="0" w:line="240" w:lineRule="auto"/>
        <w:ind w:left="634" w:hanging="634"/>
        <w:contextualSpacing w:val="0"/>
        <w:rPr>
          <w:rFonts w:ascii="Andes" w:hAnsi="Andes" w:cs="Arial"/>
          <w:sz w:val="22"/>
          <w:szCs w:val="22"/>
        </w:rPr>
      </w:pPr>
      <w:r w:rsidRPr="00ED1606">
        <w:rPr>
          <w:rFonts w:ascii="Andes" w:hAnsi="Andes" w:cs="Arial"/>
          <w:sz w:val="22"/>
          <w:szCs w:val="22"/>
        </w:rPr>
        <w:t>Pour certains aspects du Processus de Passation des Marchés, l’Emprunteur peut utiliser des procédures dématérialisées, comme pour la publication des Dossiers de Passation des Marchés, et de leurs addenda, la réception des Candidatures/Cotations/Offres/Propositions, et la conduite d’autres activités connexes, sous réserve que la Banque juge le système de dématérialisation adéquat, notamment par son accessibilité, sa sécurité et son intégrité, sa confidentialité et ses caractéristiques de contrôle et de suivi des opérations</w:t>
      </w:r>
      <w:r w:rsidR="00970962" w:rsidRPr="00ED1606">
        <w:rPr>
          <w:rFonts w:ascii="Andes" w:hAnsi="Andes" w:cs="Arial"/>
          <w:sz w:val="22"/>
          <w:szCs w:val="22"/>
        </w:rPr>
        <w:t>.</w:t>
      </w:r>
    </w:p>
    <w:p w14:paraId="2717CF25" w14:textId="29144F84" w:rsidR="00970962" w:rsidRPr="00332FCD" w:rsidRDefault="00AC576F" w:rsidP="00D343AE">
      <w:pPr>
        <w:pStyle w:val="Style2"/>
        <w:keepNext/>
        <w:keepLines/>
        <w:widowControl/>
        <w:tabs>
          <w:tab w:val="left" w:pos="1710"/>
        </w:tabs>
        <w:autoSpaceDE/>
        <w:autoSpaceDN/>
        <w:adjustRightInd/>
        <w:spacing w:before="240" w:after="120"/>
        <w:ind w:left="-23"/>
        <w:contextualSpacing w:val="0"/>
        <w:jc w:val="left"/>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Système de planification et de suivi de la passation des marchés</w:t>
      </w:r>
    </w:p>
    <w:p w14:paraId="57728566" w14:textId="128715C1" w:rsidR="00970962" w:rsidRPr="00332FCD" w:rsidRDefault="00AC576F" w:rsidP="007D7C78">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Sauf disposition contraire arrêtée avec la Banque dans l’Accord Juridique, l’Emprunteur utilise les outils électroniques de planification et de suivi de la passation des marchés</w:t>
      </w:r>
      <w:r w:rsidR="00E00227" w:rsidRPr="00332FCD">
        <w:rPr>
          <w:rFonts w:ascii="Andes" w:hAnsi="Andes" w:cs="Arial"/>
          <w:sz w:val="22"/>
          <w:szCs w:val="22"/>
        </w:rPr>
        <w:t xml:space="preserve"> de la Banque pour </w:t>
      </w:r>
      <w:r w:rsidR="00843C42">
        <w:rPr>
          <w:rFonts w:ascii="Andes" w:hAnsi="Andes" w:cs="Arial"/>
          <w:sz w:val="22"/>
          <w:szCs w:val="22"/>
        </w:rPr>
        <w:t xml:space="preserve">enregistrer toutes les activités </w:t>
      </w:r>
      <w:r w:rsidR="00843C42" w:rsidRPr="00332FCD">
        <w:rPr>
          <w:rFonts w:ascii="Andes" w:hAnsi="Andes" w:cs="Arial"/>
          <w:sz w:val="22"/>
          <w:szCs w:val="22"/>
        </w:rPr>
        <w:t>liées aux marchés pour les opérations de FPI</w:t>
      </w:r>
      <w:r w:rsidR="00843C42">
        <w:rPr>
          <w:rFonts w:ascii="Andes" w:hAnsi="Andes" w:cs="Arial"/>
          <w:sz w:val="22"/>
          <w:szCs w:val="22"/>
        </w:rPr>
        <w:t xml:space="preserve">, incluant la préparation, la mise à jour et l’approbation de </w:t>
      </w:r>
      <w:r w:rsidR="00E00227" w:rsidRPr="00332FCD">
        <w:rPr>
          <w:rFonts w:ascii="Andes" w:hAnsi="Andes" w:cs="Arial"/>
          <w:sz w:val="22"/>
          <w:szCs w:val="22"/>
        </w:rPr>
        <w:t>ses Plans de Passation des Marchés</w:t>
      </w:r>
      <w:r w:rsidR="00890FD4">
        <w:rPr>
          <w:rFonts w:ascii="Andes" w:hAnsi="Andes" w:cs="Arial"/>
          <w:sz w:val="22"/>
          <w:szCs w:val="22"/>
        </w:rPr>
        <w:t>,</w:t>
      </w:r>
      <w:r w:rsidR="00E00227" w:rsidRPr="00332FCD">
        <w:rPr>
          <w:rFonts w:ascii="Andes" w:hAnsi="Andes" w:cs="Arial"/>
          <w:sz w:val="22"/>
          <w:szCs w:val="22"/>
        </w:rPr>
        <w:t xml:space="preserve"> et </w:t>
      </w:r>
      <w:r w:rsidR="00843C42">
        <w:rPr>
          <w:rFonts w:ascii="Andes" w:hAnsi="Andes" w:cs="Arial"/>
          <w:sz w:val="22"/>
          <w:szCs w:val="22"/>
        </w:rPr>
        <w:t xml:space="preserve">les demandes </w:t>
      </w:r>
      <w:r w:rsidR="003276A5">
        <w:rPr>
          <w:rFonts w:ascii="Andes" w:hAnsi="Andes" w:cs="Arial"/>
          <w:sz w:val="22"/>
          <w:szCs w:val="22"/>
        </w:rPr>
        <w:t>d’</w:t>
      </w:r>
      <w:r w:rsidR="003276A5" w:rsidRPr="00833B69">
        <w:rPr>
          <w:rFonts w:ascii="Andes" w:eastAsiaTheme="minorHAnsi" w:hAnsi="Andes" w:cs="Arial"/>
          <w:color w:val="000000"/>
          <w:sz w:val="22"/>
          <w:szCs w:val="22"/>
        </w:rPr>
        <w:t xml:space="preserve">examen préalable et </w:t>
      </w:r>
      <w:r w:rsidR="003276A5">
        <w:rPr>
          <w:rFonts w:ascii="Andes" w:eastAsiaTheme="minorHAnsi" w:hAnsi="Andes" w:cs="Arial"/>
          <w:color w:val="000000"/>
          <w:sz w:val="22"/>
          <w:szCs w:val="22"/>
        </w:rPr>
        <w:t>d’</w:t>
      </w:r>
      <w:r w:rsidR="003276A5" w:rsidRPr="00833B69">
        <w:rPr>
          <w:rFonts w:ascii="Andes" w:eastAsiaTheme="minorHAnsi" w:hAnsi="Andes" w:cs="Arial"/>
          <w:color w:val="000000"/>
          <w:sz w:val="22"/>
          <w:szCs w:val="22"/>
        </w:rPr>
        <w:t>avis de non-objection</w:t>
      </w:r>
      <w:r w:rsidR="003276A5">
        <w:rPr>
          <w:rFonts w:ascii="Andes" w:eastAsiaTheme="minorHAnsi" w:hAnsi="Andes" w:cs="Arial"/>
          <w:color w:val="000000"/>
          <w:sz w:val="22"/>
          <w:szCs w:val="22"/>
        </w:rPr>
        <w:t xml:space="preserve"> </w:t>
      </w:r>
      <w:r w:rsidR="00890FD4">
        <w:rPr>
          <w:rFonts w:ascii="Andes" w:eastAsiaTheme="minorHAnsi" w:hAnsi="Andes" w:cs="Arial"/>
          <w:color w:val="000000"/>
          <w:sz w:val="22"/>
          <w:szCs w:val="22"/>
        </w:rPr>
        <w:t>de la Banque sur les</w:t>
      </w:r>
      <w:r w:rsidR="003276A5">
        <w:rPr>
          <w:rFonts w:ascii="Andes" w:eastAsiaTheme="minorHAnsi" w:hAnsi="Andes" w:cs="Arial"/>
          <w:color w:val="000000"/>
          <w:sz w:val="22"/>
          <w:szCs w:val="22"/>
        </w:rPr>
        <w:t xml:space="preserve"> activités de passation des marchés lorsque cela est applicable, et la réception des réponses</w:t>
      </w:r>
      <w:r w:rsidR="00E00227" w:rsidRPr="00332FCD">
        <w:rPr>
          <w:rFonts w:ascii="Andes" w:hAnsi="Andes" w:cs="Arial"/>
          <w:sz w:val="22"/>
          <w:szCs w:val="22"/>
        </w:rPr>
        <w:t xml:space="preserve">. </w:t>
      </w:r>
    </w:p>
    <w:p w14:paraId="5F74746B" w14:textId="69AAA74C" w:rsidR="00970962" w:rsidRPr="00332FCD" w:rsidRDefault="0093421B" w:rsidP="007D7C78">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944" w:name="_Toc409509125"/>
      <w:bookmarkStart w:id="945" w:name="_Toc409509407"/>
      <w:bookmarkStart w:id="946" w:name="_Toc409509690"/>
      <w:bookmarkStart w:id="947" w:name="_Toc409509973"/>
      <w:bookmarkStart w:id="948" w:name="_Toc409510256"/>
      <w:bookmarkStart w:id="949" w:name="_Toc409595735"/>
      <w:bookmarkStart w:id="950" w:name="_Toc409606910"/>
      <w:bookmarkStart w:id="951" w:name="_Toc408418448"/>
      <w:bookmarkStart w:id="952" w:name="_Toc409085677"/>
      <w:bookmarkStart w:id="953" w:name="_Toc409085954"/>
      <w:bookmarkStart w:id="954" w:name="_Toc409086231"/>
      <w:bookmarkStart w:id="955" w:name="_Toc409248841"/>
      <w:bookmarkStart w:id="956" w:name="_Toc409255421"/>
      <w:bookmarkStart w:id="957" w:name="_Toc409255701"/>
      <w:bookmarkStart w:id="958" w:name="_Toc409255981"/>
      <w:bookmarkStart w:id="959" w:name="_Toc409256261"/>
      <w:bookmarkStart w:id="960" w:name="_Toc409256541"/>
      <w:bookmarkStart w:id="961" w:name="_Toc409270236"/>
      <w:bookmarkStart w:id="962" w:name="_Toc409270516"/>
      <w:bookmarkStart w:id="963" w:name="_Toc409509126"/>
      <w:bookmarkStart w:id="964" w:name="_Toc409509408"/>
      <w:bookmarkStart w:id="965" w:name="_Toc409509691"/>
      <w:bookmarkStart w:id="966" w:name="_Toc409509974"/>
      <w:bookmarkStart w:id="967" w:name="_Toc409510257"/>
      <w:bookmarkStart w:id="968" w:name="_Toc409595736"/>
      <w:bookmarkStart w:id="969" w:name="_Toc409606911"/>
      <w:bookmarkStart w:id="970" w:name="_Toc408418449"/>
      <w:bookmarkStart w:id="971" w:name="_Toc409085678"/>
      <w:bookmarkStart w:id="972" w:name="_Toc409085955"/>
      <w:bookmarkStart w:id="973" w:name="_Toc409086232"/>
      <w:bookmarkStart w:id="974" w:name="_Toc409248842"/>
      <w:bookmarkStart w:id="975" w:name="_Toc409255422"/>
      <w:bookmarkStart w:id="976" w:name="_Toc409255702"/>
      <w:bookmarkStart w:id="977" w:name="_Toc409255982"/>
      <w:bookmarkStart w:id="978" w:name="_Toc409256262"/>
      <w:bookmarkStart w:id="979" w:name="_Toc409256542"/>
      <w:bookmarkStart w:id="980" w:name="_Toc409270237"/>
      <w:bookmarkStart w:id="981" w:name="_Toc409270517"/>
      <w:bookmarkStart w:id="982" w:name="_Toc409509127"/>
      <w:bookmarkStart w:id="983" w:name="_Toc409509409"/>
      <w:bookmarkStart w:id="984" w:name="_Toc409509692"/>
      <w:bookmarkStart w:id="985" w:name="_Toc409509975"/>
      <w:bookmarkStart w:id="986" w:name="_Toc409510258"/>
      <w:bookmarkStart w:id="987" w:name="_Toc409595737"/>
      <w:bookmarkStart w:id="988" w:name="_Toc409606912"/>
      <w:bookmarkStart w:id="989" w:name="_Toc409509130"/>
      <w:bookmarkStart w:id="990" w:name="_Toc409509412"/>
      <w:bookmarkStart w:id="991" w:name="_Toc409509695"/>
      <w:bookmarkStart w:id="992" w:name="_Toc409509978"/>
      <w:bookmarkStart w:id="993" w:name="_Toc409510261"/>
      <w:bookmarkStart w:id="994" w:name="_Toc409595740"/>
      <w:bookmarkStart w:id="995" w:name="_Toc409606915"/>
      <w:bookmarkStart w:id="996" w:name="_Toc404234535"/>
      <w:bookmarkStart w:id="997" w:name="_Toc404234737"/>
      <w:bookmarkStart w:id="998" w:name="_Toc404235269"/>
      <w:bookmarkStart w:id="999" w:name="_Toc404235559"/>
      <w:bookmarkStart w:id="1000" w:name="_Toc404235736"/>
      <w:bookmarkStart w:id="1001" w:name="_Toc404235999"/>
      <w:bookmarkStart w:id="1002" w:name="_Toc404236169"/>
      <w:bookmarkStart w:id="1003" w:name="_Toc404236339"/>
      <w:bookmarkStart w:id="1004" w:name="_Toc404236508"/>
      <w:bookmarkStart w:id="1005" w:name="_Toc404236677"/>
      <w:bookmarkStart w:id="1006" w:name="_Toc404236845"/>
      <w:bookmarkStart w:id="1007" w:name="_Toc404237013"/>
      <w:bookmarkStart w:id="1008" w:name="_Toc404755642"/>
      <w:bookmarkStart w:id="1009" w:name="_Toc405205434"/>
      <w:bookmarkStart w:id="1010" w:name="_Toc404234537"/>
      <w:bookmarkStart w:id="1011" w:name="_Toc404234739"/>
      <w:bookmarkStart w:id="1012" w:name="_Toc404235271"/>
      <w:bookmarkStart w:id="1013" w:name="_Toc404235561"/>
      <w:bookmarkStart w:id="1014" w:name="_Toc404235738"/>
      <w:bookmarkStart w:id="1015" w:name="_Toc404236001"/>
      <w:bookmarkStart w:id="1016" w:name="_Toc404236171"/>
      <w:bookmarkStart w:id="1017" w:name="_Toc404236341"/>
      <w:bookmarkStart w:id="1018" w:name="_Toc404236510"/>
      <w:bookmarkStart w:id="1019" w:name="_Toc404236679"/>
      <w:bookmarkStart w:id="1020" w:name="_Toc404236847"/>
      <w:bookmarkStart w:id="1021" w:name="_Toc404237015"/>
      <w:bookmarkStart w:id="1022" w:name="_Toc404755644"/>
      <w:bookmarkStart w:id="1023" w:name="_Toc405205436"/>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r w:rsidRPr="00332FCD">
        <w:rPr>
          <w:rFonts w:ascii="Andes" w:eastAsiaTheme="majorEastAsia" w:hAnsi="Andes" w:cstheme="majorBidi"/>
          <w:bCs w:val="0"/>
          <w:color w:val="C45911"/>
          <w:sz w:val="32"/>
          <w:szCs w:val="32"/>
        </w:rPr>
        <w:t>Crédit-bail</w:t>
      </w:r>
    </w:p>
    <w:p w14:paraId="11A308F6" w14:textId="7725B680" w:rsidR="00970962" w:rsidRPr="00332FCD" w:rsidRDefault="007B3C79" w:rsidP="007D7C78">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 crédit-bail peut être une formule appropriée lorsqu’il présente des avantages économiques et/ou opérationnels pour l’Emprunteur (</w:t>
      </w:r>
      <w:r w:rsidR="00FE621C" w:rsidRPr="00332FCD">
        <w:rPr>
          <w:rFonts w:ascii="Andes" w:hAnsi="Andes" w:cs="Arial"/>
          <w:sz w:val="22"/>
          <w:szCs w:val="22"/>
        </w:rPr>
        <w:t>p. ex.,</w:t>
      </w:r>
      <w:r w:rsidR="007D7C78" w:rsidRPr="00332FCD">
        <w:rPr>
          <w:rFonts w:ascii="Andes" w:hAnsi="Andes" w:cs="Arial"/>
          <w:sz w:val="22"/>
          <w:szCs w:val="22"/>
        </w:rPr>
        <w:t xml:space="preserve"> </w:t>
      </w:r>
      <w:r w:rsidR="00503AA8" w:rsidRPr="00332FCD">
        <w:rPr>
          <w:rFonts w:ascii="Andes" w:hAnsi="Andes" w:cs="Arial"/>
          <w:sz w:val="22"/>
          <w:szCs w:val="22"/>
        </w:rPr>
        <w:t xml:space="preserve">baisse des </w:t>
      </w:r>
      <w:r w:rsidR="007D7C78" w:rsidRPr="00332FCD">
        <w:rPr>
          <w:rFonts w:ascii="Andes" w:hAnsi="Andes" w:cs="Arial"/>
          <w:sz w:val="22"/>
          <w:szCs w:val="22"/>
        </w:rPr>
        <w:t xml:space="preserve">coûts </w:t>
      </w:r>
      <w:r w:rsidRPr="00332FCD">
        <w:rPr>
          <w:rFonts w:ascii="Andes" w:hAnsi="Andes" w:cs="Arial"/>
          <w:sz w:val="22"/>
          <w:szCs w:val="22"/>
        </w:rPr>
        <w:t>de financement, avantages fiscaux, utilisation temporaire d’actifs,</w:t>
      </w:r>
      <w:r w:rsidR="00503AA8" w:rsidRPr="00332FCD">
        <w:rPr>
          <w:rFonts w:ascii="Andes" w:hAnsi="Andes" w:cs="Arial"/>
          <w:sz w:val="22"/>
          <w:szCs w:val="22"/>
        </w:rPr>
        <w:t xml:space="preserve"> réduction du risque </w:t>
      </w:r>
      <w:r w:rsidRPr="00332FCD">
        <w:rPr>
          <w:rFonts w:ascii="Andes" w:hAnsi="Andes" w:cs="Arial"/>
          <w:sz w:val="22"/>
          <w:szCs w:val="22"/>
        </w:rPr>
        <w:t xml:space="preserve">d’obsolescence). Les </w:t>
      </w:r>
      <w:r w:rsidR="007D7C78" w:rsidRPr="00332FCD">
        <w:rPr>
          <w:rFonts w:ascii="Andes" w:hAnsi="Andes" w:cs="Arial"/>
          <w:sz w:val="22"/>
          <w:szCs w:val="22"/>
        </w:rPr>
        <w:t xml:space="preserve">Emprunteurs </w:t>
      </w:r>
      <w:r w:rsidRPr="00332FCD">
        <w:rPr>
          <w:rFonts w:ascii="Andes" w:hAnsi="Andes" w:cs="Arial"/>
          <w:sz w:val="22"/>
          <w:szCs w:val="22"/>
        </w:rPr>
        <w:t xml:space="preserve">peuvent faire appel au crédit-bail </w:t>
      </w:r>
      <w:r w:rsidR="007D7C78" w:rsidRPr="00332FCD">
        <w:rPr>
          <w:rFonts w:ascii="Andes" w:hAnsi="Andes" w:cs="Arial"/>
          <w:sz w:val="22"/>
          <w:szCs w:val="22"/>
        </w:rPr>
        <w:t>si</w:t>
      </w:r>
      <w:r w:rsidR="00503AA8" w:rsidRPr="00332FCD">
        <w:rPr>
          <w:rFonts w:ascii="Andes" w:hAnsi="Andes" w:cs="Arial"/>
          <w:sz w:val="22"/>
          <w:szCs w:val="22"/>
        </w:rPr>
        <w:t xml:space="preserve"> cette possibilité</w:t>
      </w:r>
      <w:r w:rsidR="00FE621C" w:rsidRPr="00332FCD">
        <w:rPr>
          <w:rFonts w:ascii="Andes" w:hAnsi="Andes" w:cs="Arial"/>
          <w:sz w:val="22"/>
          <w:szCs w:val="22"/>
        </w:rPr>
        <w:t xml:space="preserve"> a </w:t>
      </w:r>
      <w:r w:rsidR="007D7C78" w:rsidRPr="00332FCD">
        <w:rPr>
          <w:rFonts w:ascii="Andes" w:hAnsi="Andes" w:cs="Arial"/>
          <w:sz w:val="22"/>
          <w:szCs w:val="22"/>
        </w:rPr>
        <w:t>été autorisé</w:t>
      </w:r>
      <w:r w:rsidR="00503AA8" w:rsidRPr="00332FCD">
        <w:rPr>
          <w:rFonts w:ascii="Andes" w:hAnsi="Andes" w:cs="Arial"/>
          <w:sz w:val="22"/>
          <w:szCs w:val="22"/>
        </w:rPr>
        <w:t>e</w:t>
      </w:r>
      <w:r w:rsidR="007D7C78" w:rsidRPr="00332FCD">
        <w:rPr>
          <w:rFonts w:ascii="Andes" w:hAnsi="Andes" w:cs="Arial"/>
          <w:sz w:val="22"/>
          <w:szCs w:val="22"/>
        </w:rPr>
        <w:t xml:space="preserve"> par la Banque et </w:t>
      </w:r>
      <w:r w:rsidR="009379BD" w:rsidRPr="00332FCD">
        <w:rPr>
          <w:rFonts w:ascii="Andes" w:hAnsi="Andes" w:cs="Arial"/>
          <w:sz w:val="22"/>
          <w:szCs w:val="22"/>
        </w:rPr>
        <w:t>figure</w:t>
      </w:r>
      <w:r w:rsidR="007D7C78" w:rsidRPr="00332FCD">
        <w:rPr>
          <w:rFonts w:ascii="Andes" w:hAnsi="Andes" w:cs="Arial"/>
          <w:sz w:val="22"/>
          <w:szCs w:val="22"/>
        </w:rPr>
        <w:t xml:space="preserve"> dans le Plan de </w:t>
      </w:r>
      <w:r w:rsidR="007D7C78" w:rsidRPr="00332FCD">
        <w:rPr>
          <w:rFonts w:ascii="Andes" w:hAnsi="Andes" w:cs="Arial"/>
          <w:sz w:val="22"/>
          <w:szCs w:val="22"/>
        </w:rPr>
        <w:lastRenderedPageBreak/>
        <w:t xml:space="preserve">Passation des Marchés. Des mesures appropriées d’atténuation des risques doivent aussi être arrêtées d’un commun accord avec la Banque. </w:t>
      </w:r>
    </w:p>
    <w:p w14:paraId="369B81E9" w14:textId="03DE87E3" w:rsidR="005C44DA" w:rsidRPr="00332FCD" w:rsidRDefault="00503AA8" w:rsidP="00BF5E14">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Achat de</w:t>
      </w:r>
      <w:r w:rsidR="004C047B" w:rsidRPr="00332FCD">
        <w:rPr>
          <w:rFonts w:ascii="Andes" w:eastAsiaTheme="majorEastAsia" w:hAnsi="Andes" w:cstheme="majorBidi"/>
          <w:bCs w:val="0"/>
          <w:color w:val="C45911"/>
          <w:sz w:val="32"/>
          <w:szCs w:val="32"/>
        </w:rPr>
        <w:t xml:space="preserve"> biens </w:t>
      </w:r>
      <w:r w:rsidRPr="00332FCD">
        <w:rPr>
          <w:rFonts w:ascii="Andes" w:eastAsiaTheme="majorEastAsia" w:hAnsi="Andes" w:cstheme="majorBidi"/>
          <w:bCs w:val="0"/>
          <w:color w:val="C45911"/>
          <w:sz w:val="32"/>
          <w:szCs w:val="32"/>
        </w:rPr>
        <w:t>d’occasion</w:t>
      </w:r>
    </w:p>
    <w:p w14:paraId="06D3987F" w14:textId="2B9B3490" w:rsidR="005C44DA" w:rsidRPr="00332FCD" w:rsidRDefault="006322B4" w:rsidP="00BF5E14">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Sous réserve que cette possibilité ait été </w:t>
      </w:r>
      <w:r w:rsidR="00C0177F" w:rsidRPr="00332FCD">
        <w:rPr>
          <w:rFonts w:ascii="Andes" w:hAnsi="Andes" w:cs="Arial"/>
          <w:sz w:val="22"/>
          <w:szCs w:val="22"/>
        </w:rPr>
        <w:t>autorisée par la Banque et</w:t>
      </w:r>
      <w:r w:rsidRPr="00332FCD">
        <w:rPr>
          <w:rFonts w:ascii="Andes" w:hAnsi="Andes" w:cs="Arial"/>
          <w:sz w:val="22"/>
          <w:szCs w:val="22"/>
        </w:rPr>
        <w:t xml:space="preserve"> figure </w:t>
      </w:r>
      <w:r w:rsidR="00C0177F" w:rsidRPr="00332FCD">
        <w:rPr>
          <w:rFonts w:ascii="Andes" w:hAnsi="Andes" w:cs="Arial"/>
          <w:sz w:val="22"/>
          <w:szCs w:val="22"/>
        </w:rPr>
        <w:t xml:space="preserve">dans le Plan de Passation des Marchés, l’Emprunteur </w:t>
      </w:r>
      <w:r w:rsidR="004C047B" w:rsidRPr="00332FCD">
        <w:rPr>
          <w:rFonts w:ascii="Andes" w:hAnsi="Andes" w:cs="Arial"/>
          <w:sz w:val="22"/>
          <w:szCs w:val="22"/>
        </w:rPr>
        <w:t>peut passer des marchés de Fournitures d’occasion s’il s’agit d’un moyen économique et efficace</w:t>
      </w:r>
      <w:r w:rsidRPr="00332FCD">
        <w:rPr>
          <w:rFonts w:ascii="Andes" w:hAnsi="Andes" w:cs="Arial"/>
          <w:sz w:val="22"/>
          <w:szCs w:val="22"/>
        </w:rPr>
        <w:t xml:space="preserve"> d’atteindre </w:t>
      </w:r>
      <w:r w:rsidR="004C047B" w:rsidRPr="00332FCD">
        <w:rPr>
          <w:rFonts w:ascii="Andes" w:hAnsi="Andes" w:cs="Arial"/>
          <w:sz w:val="22"/>
          <w:szCs w:val="22"/>
        </w:rPr>
        <w:t>les objectifs de développement du projet. Les dispositions à respecter sont les suivantes</w:t>
      </w:r>
      <w:r w:rsidR="00730BDF" w:rsidRPr="00332FCD">
        <w:rPr>
          <w:rFonts w:ascii="Calibri" w:hAnsi="Calibri" w:cs="Calibri"/>
          <w:sz w:val="22"/>
          <w:szCs w:val="22"/>
        </w:rPr>
        <w:t> </w:t>
      </w:r>
      <w:r w:rsidR="00730BDF" w:rsidRPr="00332FCD">
        <w:rPr>
          <w:rFonts w:ascii="Andes" w:hAnsi="Andes" w:cs="Arial"/>
          <w:sz w:val="22"/>
          <w:szCs w:val="22"/>
        </w:rPr>
        <w:t>:</w:t>
      </w:r>
      <w:r w:rsidR="004C047B" w:rsidRPr="00332FCD">
        <w:rPr>
          <w:rFonts w:ascii="Andes" w:hAnsi="Andes" w:cs="Arial"/>
          <w:sz w:val="22"/>
          <w:szCs w:val="22"/>
        </w:rPr>
        <w:t xml:space="preserve"> </w:t>
      </w:r>
    </w:p>
    <w:p w14:paraId="7E8DF33C" w14:textId="45655896" w:rsidR="005C44DA" w:rsidRPr="00332FCD" w:rsidRDefault="00537124" w:rsidP="00BF5E14">
      <w:pPr>
        <w:pStyle w:val="Paragraphedeliste"/>
        <w:numPr>
          <w:ilvl w:val="0"/>
          <w:numId w:val="152"/>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 xml:space="preserve">la </w:t>
      </w:r>
      <w:r w:rsidR="006634EF">
        <w:rPr>
          <w:rFonts w:ascii="Andes" w:eastAsiaTheme="minorHAnsi" w:hAnsi="Andes" w:cs="Arial"/>
          <w:color w:val="000000"/>
          <w:sz w:val="22"/>
          <w:szCs w:val="22"/>
        </w:rPr>
        <w:t>SPMPD</w:t>
      </w:r>
      <w:r w:rsidR="0093421B" w:rsidRPr="00332FCD">
        <w:rPr>
          <w:rFonts w:ascii="Andes" w:eastAsiaTheme="minorHAnsi" w:hAnsi="Andes" w:cs="Arial"/>
          <w:color w:val="000000"/>
          <w:sz w:val="22"/>
          <w:szCs w:val="22"/>
        </w:rPr>
        <w:t xml:space="preserve"> </w:t>
      </w:r>
      <w:r w:rsidRPr="00332FCD">
        <w:rPr>
          <w:rFonts w:ascii="Andes" w:eastAsiaTheme="minorHAnsi" w:hAnsi="Andes" w:cs="Arial"/>
          <w:color w:val="000000"/>
          <w:sz w:val="22"/>
          <w:szCs w:val="22"/>
        </w:rPr>
        <w:t xml:space="preserve">fait état </w:t>
      </w:r>
      <w:r w:rsidR="004C047B" w:rsidRPr="00332FCD">
        <w:rPr>
          <w:rFonts w:ascii="Andes" w:eastAsiaTheme="minorHAnsi" w:hAnsi="Andes" w:cs="Arial"/>
          <w:color w:val="000000"/>
          <w:sz w:val="22"/>
          <w:szCs w:val="22"/>
        </w:rPr>
        <w:t>de toute mesure</w:t>
      </w:r>
      <w:r w:rsidRPr="00332FCD">
        <w:rPr>
          <w:rFonts w:ascii="Andes" w:eastAsiaTheme="minorHAnsi" w:hAnsi="Andes" w:cs="Arial"/>
          <w:color w:val="000000"/>
          <w:sz w:val="22"/>
          <w:szCs w:val="22"/>
        </w:rPr>
        <w:t xml:space="preserve"> d’atténuation </w:t>
      </w:r>
      <w:r w:rsidR="004C047B" w:rsidRPr="00332FCD">
        <w:rPr>
          <w:rFonts w:ascii="Andes" w:eastAsiaTheme="minorHAnsi" w:hAnsi="Andes" w:cs="Arial"/>
          <w:color w:val="000000"/>
          <w:sz w:val="22"/>
          <w:szCs w:val="22"/>
        </w:rPr>
        <w:t>des risques pouvant s’avérer nécessaire</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004C047B" w:rsidRPr="00332FCD">
        <w:rPr>
          <w:rFonts w:ascii="Andes" w:eastAsiaTheme="minorHAnsi" w:hAnsi="Andes" w:cs="Arial"/>
          <w:color w:val="000000"/>
          <w:sz w:val="22"/>
          <w:szCs w:val="22"/>
        </w:rPr>
        <w:t xml:space="preserve"> </w:t>
      </w:r>
    </w:p>
    <w:p w14:paraId="26B9405B" w14:textId="5E8F42E4" w:rsidR="005C44DA" w:rsidRPr="00332FCD" w:rsidRDefault="00537124" w:rsidP="00BF5E14">
      <w:pPr>
        <w:pStyle w:val="Paragraphedeliste"/>
        <w:numPr>
          <w:ilvl w:val="0"/>
          <w:numId w:val="152"/>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la passation de marchés de Fournitures d’occasion ne peut être combinée avec celle de Fournitures neuves</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w:t>
      </w:r>
    </w:p>
    <w:p w14:paraId="2BE6AAC4" w14:textId="699B133D" w:rsidR="005C44DA" w:rsidRPr="00332FCD" w:rsidRDefault="00F40ECD" w:rsidP="00BF5E14">
      <w:pPr>
        <w:pStyle w:val="Paragraphedeliste"/>
        <w:numPr>
          <w:ilvl w:val="0"/>
          <w:numId w:val="152"/>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les exigences/spécifications techniques</w:t>
      </w:r>
      <w:r w:rsidR="006322B4" w:rsidRPr="00332FCD">
        <w:rPr>
          <w:rFonts w:ascii="Andes" w:eastAsiaTheme="minorHAnsi" w:hAnsi="Andes" w:cs="Arial"/>
          <w:color w:val="000000"/>
          <w:sz w:val="22"/>
          <w:szCs w:val="22"/>
        </w:rPr>
        <w:t xml:space="preserve"> donnent </w:t>
      </w:r>
      <w:r w:rsidRPr="00332FCD">
        <w:rPr>
          <w:rFonts w:ascii="Andes" w:eastAsiaTheme="minorHAnsi" w:hAnsi="Andes" w:cs="Arial"/>
          <w:color w:val="000000"/>
          <w:sz w:val="22"/>
          <w:szCs w:val="22"/>
        </w:rPr>
        <w:t xml:space="preserve">les caractéristiques minimums des Fournitures d’occasion, </w:t>
      </w:r>
      <w:r w:rsidR="00FE621C" w:rsidRPr="00332FCD">
        <w:rPr>
          <w:rFonts w:ascii="Andes" w:eastAsiaTheme="minorHAnsi" w:hAnsi="Andes" w:cs="Arial"/>
          <w:color w:val="000000"/>
          <w:sz w:val="22"/>
          <w:szCs w:val="22"/>
        </w:rPr>
        <w:t>telles</w:t>
      </w:r>
      <w:r w:rsidRPr="00332FCD">
        <w:rPr>
          <w:rFonts w:ascii="Andes" w:eastAsiaTheme="minorHAnsi" w:hAnsi="Andes" w:cs="Arial"/>
          <w:color w:val="000000"/>
          <w:sz w:val="22"/>
          <w:szCs w:val="22"/>
        </w:rPr>
        <w:t xml:space="preserve"> que leur âge et leur état</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002F3F67" w:rsidRPr="00332FCD">
        <w:rPr>
          <w:rFonts w:ascii="Andes" w:eastAsiaTheme="minorHAnsi" w:hAnsi="Andes" w:cs="Arial"/>
          <w:color w:val="000000"/>
          <w:sz w:val="22"/>
          <w:szCs w:val="22"/>
        </w:rPr>
        <w:t xml:space="preserve"> et</w:t>
      </w:r>
    </w:p>
    <w:p w14:paraId="4B31F486" w14:textId="7DF324C1" w:rsidR="005C44DA" w:rsidRPr="00332FCD" w:rsidRDefault="002F3F67" w:rsidP="00BF5E14">
      <w:pPr>
        <w:pStyle w:val="Paragraphedeliste"/>
        <w:numPr>
          <w:ilvl w:val="0"/>
          <w:numId w:val="152"/>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les clauses de garantie voulues sont précisées</w:t>
      </w:r>
      <w:r w:rsidR="005C44DA" w:rsidRPr="00332FCD">
        <w:rPr>
          <w:rFonts w:ascii="Andes" w:eastAsiaTheme="minorHAnsi" w:hAnsi="Andes" w:cs="Arial"/>
          <w:color w:val="000000"/>
          <w:sz w:val="22"/>
          <w:szCs w:val="22"/>
        </w:rPr>
        <w:t>.</w:t>
      </w:r>
    </w:p>
    <w:p w14:paraId="567E91EB" w14:textId="044F0E0A" w:rsidR="00970962" w:rsidRPr="00332FCD" w:rsidRDefault="001B4AA0" w:rsidP="00BF5E14">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1024" w:name="_Toc453170857"/>
      <w:bookmarkStart w:id="1025" w:name="_Toc453544279"/>
      <w:r w:rsidRPr="00332FCD">
        <w:rPr>
          <w:rFonts w:ascii="Andes" w:eastAsiaTheme="majorEastAsia" w:hAnsi="Andes" w:cstheme="majorBidi"/>
          <w:bCs w:val="0"/>
          <w:color w:val="C45911"/>
          <w:sz w:val="32"/>
          <w:szCs w:val="32"/>
        </w:rPr>
        <w:t>Pratiques durables de passation des marchés</w:t>
      </w:r>
      <w:bookmarkEnd w:id="1024"/>
      <w:bookmarkEnd w:id="1025"/>
    </w:p>
    <w:p w14:paraId="50B0CB06" w14:textId="42E7C8C3" w:rsidR="00970962" w:rsidRPr="00332FCD" w:rsidRDefault="002F4E61" w:rsidP="00BF5E14">
      <w:pPr>
        <w:pStyle w:val="Paragraphedeliste"/>
        <w:numPr>
          <w:ilvl w:val="0"/>
          <w:numId w:val="78"/>
        </w:numPr>
        <w:spacing w:before="0" w:line="240" w:lineRule="auto"/>
        <w:ind w:left="634" w:hanging="634"/>
        <w:contextualSpacing w:val="0"/>
        <w:rPr>
          <w:rFonts w:ascii="Andes" w:hAnsi="Andes" w:cs="Arial"/>
          <w:sz w:val="22"/>
          <w:szCs w:val="22"/>
        </w:rPr>
      </w:pPr>
      <w:r>
        <w:rPr>
          <w:rFonts w:ascii="Andes" w:hAnsi="Andes" w:cs="Arial"/>
          <w:sz w:val="22"/>
          <w:szCs w:val="22"/>
        </w:rPr>
        <w:t>L</w:t>
      </w:r>
      <w:r w:rsidR="00B619FB" w:rsidRPr="00332FCD">
        <w:rPr>
          <w:rFonts w:ascii="Andes" w:hAnsi="Andes" w:cs="Arial"/>
          <w:sz w:val="22"/>
          <w:szCs w:val="22"/>
        </w:rPr>
        <w:t>es Emprunteurs peuvent</w:t>
      </w:r>
      <w:r w:rsidR="006322B4" w:rsidRPr="00332FCD">
        <w:rPr>
          <w:rFonts w:ascii="Andes" w:hAnsi="Andes" w:cs="Arial"/>
          <w:sz w:val="22"/>
          <w:szCs w:val="22"/>
        </w:rPr>
        <w:t xml:space="preserve"> inclure </w:t>
      </w:r>
      <w:r w:rsidR="00B619FB" w:rsidRPr="00332FCD">
        <w:rPr>
          <w:rFonts w:ascii="Andes" w:hAnsi="Andes" w:cs="Arial"/>
          <w:sz w:val="22"/>
          <w:szCs w:val="22"/>
        </w:rPr>
        <w:t xml:space="preserve">des critères de développement durable dans le Processus de Passation des Marchés, y compris leurs propres normes en la matière, </w:t>
      </w:r>
      <w:r w:rsidR="00FF6F2E" w:rsidRPr="00332FCD">
        <w:rPr>
          <w:rFonts w:ascii="Andes" w:hAnsi="Andes" w:cs="Arial"/>
          <w:sz w:val="22"/>
          <w:szCs w:val="22"/>
        </w:rPr>
        <w:t>sous réserve que le mode d’application de ces règles soit conforme aux Principes Fondamentaux de Passation des Marchés de la Banque.</w:t>
      </w:r>
      <w:r w:rsidR="00AF01E4">
        <w:rPr>
          <w:rFonts w:ascii="Andes" w:hAnsi="Andes" w:cs="Arial"/>
          <w:sz w:val="22"/>
          <w:szCs w:val="22"/>
        </w:rPr>
        <w:t xml:space="preserve"> Les e</w:t>
      </w:r>
      <w:r w:rsidR="00052145">
        <w:rPr>
          <w:rFonts w:ascii="Andes" w:hAnsi="Andes" w:cs="Arial"/>
          <w:sz w:val="22"/>
          <w:szCs w:val="22"/>
        </w:rPr>
        <w:t xml:space="preserve">xigences de durabilité sont normalement évaluées </w:t>
      </w:r>
      <w:r w:rsidR="0049488F">
        <w:rPr>
          <w:rFonts w:ascii="Andes" w:hAnsi="Andes" w:cs="Arial"/>
          <w:sz w:val="22"/>
          <w:szCs w:val="22"/>
        </w:rPr>
        <w:t>en appliquant des critères non-chiffrés/qualitatifs</w:t>
      </w:r>
      <w:r w:rsidR="004F11D5">
        <w:rPr>
          <w:rFonts w:ascii="Andes" w:hAnsi="Andes" w:cs="Arial"/>
          <w:sz w:val="22"/>
          <w:szCs w:val="22"/>
        </w:rPr>
        <w:t xml:space="preserve"> qui sont indiqués dans les Documents de Passation de Marché</w:t>
      </w:r>
      <w:r w:rsidR="006614AC">
        <w:rPr>
          <w:rFonts w:ascii="Andes" w:hAnsi="Andes" w:cs="Arial"/>
          <w:sz w:val="22"/>
          <w:szCs w:val="22"/>
        </w:rPr>
        <w:t>. V</w:t>
      </w:r>
      <w:r w:rsidR="00FF6F2E" w:rsidRPr="00332FCD">
        <w:rPr>
          <w:rFonts w:ascii="Andes" w:hAnsi="Andes" w:cs="Arial"/>
          <w:sz w:val="22"/>
          <w:szCs w:val="22"/>
        </w:rPr>
        <w:t xml:space="preserve">oir </w:t>
      </w:r>
      <w:r w:rsidR="006614AC">
        <w:rPr>
          <w:rFonts w:ascii="Andes" w:hAnsi="Andes" w:cs="Arial"/>
          <w:sz w:val="22"/>
          <w:szCs w:val="22"/>
        </w:rPr>
        <w:t>l’A</w:t>
      </w:r>
      <w:r w:rsidR="00FF6F2E" w:rsidRPr="00332FCD">
        <w:rPr>
          <w:rFonts w:ascii="Andes" w:hAnsi="Andes" w:cs="Arial"/>
          <w:sz w:val="22"/>
          <w:szCs w:val="22"/>
        </w:rPr>
        <w:t xml:space="preserve">nnexe </w:t>
      </w:r>
      <w:r w:rsidR="00970962" w:rsidRPr="00332FCD">
        <w:rPr>
          <w:rFonts w:ascii="Andes" w:hAnsi="Andes" w:cs="Arial"/>
          <w:sz w:val="22"/>
          <w:szCs w:val="22"/>
        </w:rPr>
        <w:t xml:space="preserve">VII, </w:t>
      </w:r>
      <w:r w:rsidR="00FF6F2E" w:rsidRPr="00332FCD">
        <w:rPr>
          <w:rFonts w:ascii="Andes" w:hAnsi="Andes" w:cs="Arial"/>
          <w:sz w:val="22"/>
          <w:szCs w:val="22"/>
        </w:rPr>
        <w:t>Pratiques durables de Passation des Marchés</w:t>
      </w:r>
      <w:r w:rsidR="00712079">
        <w:rPr>
          <w:rFonts w:ascii="Andes" w:hAnsi="Andes" w:cs="Arial"/>
          <w:sz w:val="22"/>
          <w:szCs w:val="22"/>
        </w:rPr>
        <w:t xml:space="preserve"> et Annexe X, </w:t>
      </w:r>
      <w:r w:rsidR="00610670">
        <w:rPr>
          <w:rFonts w:ascii="Andes" w:hAnsi="Andes" w:cs="Arial"/>
          <w:sz w:val="22"/>
          <w:szCs w:val="22"/>
        </w:rPr>
        <w:t>Critères d’Evaluation</w:t>
      </w:r>
      <w:r w:rsidR="00970962" w:rsidRPr="00332FCD">
        <w:rPr>
          <w:rFonts w:ascii="Andes" w:hAnsi="Andes" w:cs="Arial"/>
          <w:sz w:val="22"/>
          <w:szCs w:val="22"/>
        </w:rPr>
        <w:t>.</w:t>
      </w:r>
    </w:p>
    <w:p w14:paraId="2969792D" w14:textId="6CF4EE95" w:rsidR="00970962" w:rsidRPr="00332FCD" w:rsidRDefault="00FF6F2E" w:rsidP="00BF5E14">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1026" w:name="_Toc408418456"/>
      <w:bookmarkStart w:id="1027" w:name="_Toc409085685"/>
      <w:bookmarkStart w:id="1028" w:name="_Toc409085962"/>
      <w:bookmarkStart w:id="1029" w:name="_Toc409086239"/>
      <w:bookmarkStart w:id="1030" w:name="_Toc409248849"/>
      <w:bookmarkStart w:id="1031" w:name="_Toc409255429"/>
      <w:bookmarkStart w:id="1032" w:name="_Toc409255709"/>
      <w:bookmarkStart w:id="1033" w:name="_Toc409255989"/>
      <w:bookmarkStart w:id="1034" w:name="_Toc409256269"/>
      <w:bookmarkStart w:id="1035" w:name="_Toc409256549"/>
      <w:bookmarkStart w:id="1036" w:name="_Toc409270244"/>
      <w:bookmarkStart w:id="1037" w:name="_Toc409270524"/>
      <w:bookmarkStart w:id="1038" w:name="_Toc409509136"/>
      <w:bookmarkStart w:id="1039" w:name="_Toc409509418"/>
      <w:bookmarkStart w:id="1040" w:name="_Toc409509701"/>
      <w:bookmarkStart w:id="1041" w:name="_Toc409509984"/>
      <w:bookmarkStart w:id="1042" w:name="_Toc409510267"/>
      <w:bookmarkStart w:id="1043" w:name="_Toc409595746"/>
      <w:bookmarkStart w:id="1044" w:name="_Toc409606922"/>
      <w:bookmarkStart w:id="1045" w:name="_Toc408418457"/>
      <w:bookmarkStart w:id="1046" w:name="_Toc409085686"/>
      <w:bookmarkStart w:id="1047" w:name="_Toc409085963"/>
      <w:bookmarkStart w:id="1048" w:name="_Toc409086240"/>
      <w:bookmarkStart w:id="1049" w:name="_Toc409248850"/>
      <w:bookmarkStart w:id="1050" w:name="_Toc409255430"/>
      <w:bookmarkStart w:id="1051" w:name="_Toc409255710"/>
      <w:bookmarkStart w:id="1052" w:name="_Toc409255990"/>
      <w:bookmarkStart w:id="1053" w:name="_Toc409256270"/>
      <w:bookmarkStart w:id="1054" w:name="_Toc409256550"/>
      <w:bookmarkStart w:id="1055" w:name="_Toc409270245"/>
      <w:bookmarkStart w:id="1056" w:name="_Toc409270525"/>
      <w:bookmarkStart w:id="1057" w:name="_Toc409509137"/>
      <w:bookmarkStart w:id="1058" w:name="_Toc409509419"/>
      <w:bookmarkStart w:id="1059" w:name="_Toc409509702"/>
      <w:bookmarkStart w:id="1060" w:name="_Toc409509985"/>
      <w:bookmarkStart w:id="1061" w:name="_Toc409510268"/>
      <w:bookmarkStart w:id="1062" w:name="_Toc409595747"/>
      <w:bookmarkStart w:id="1063" w:name="_Toc409606923"/>
      <w:bookmarkStart w:id="1064" w:name="_Toc408418458"/>
      <w:bookmarkStart w:id="1065" w:name="_Toc409085687"/>
      <w:bookmarkStart w:id="1066" w:name="_Toc409085964"/>
      <w:bookmarkStart w:id="1067" w:name="_Toc409086241"/>
      <w:bookmarkStart w:id="1068" w:name="_Toc409248851"/>
      <w:bookmarkStart w:id="1069" w:name="_Toc409255431"/>
      <w:bookmarkStart w:id="1070" w:name="_Toc409255711"/>
      <w:bookmarkStart w:id="1071" w:name="_Toc409255991"/>
      <w:bookmarkStart w:id="1072" w:name="_Toc409256271"/>
      <w:bookmarkStart w:id="1073" w:name="_Toc409256551"/>
      <w:bookmarkStart w:id="1074" w:name="_Toc409270246"/>
      <w:bookmarkStart w:id="1075" w:name="_Toc409270526"/>
      <w:bookmarkStart w:id="1076" w:name="_Toc409509138"/>
      <w:bookmarkStart w:id="1077" w:name="_Toc409509420"/>
      <w:bookmarkStart w:id="1078" w:name="_Toc409509703"/>
      <w:bookmarkStart w:id="1079" w:name="_Toc409509986"/>
      <w:bookmarkStart w:id="1080" w:name="_Toc409510269"/>
      <w:bookmarkStart w:id="1081" w:name="_Toc409595748"/>
      <w:bookmarkStart w:id="1082" w:name="_Toc409606924"/>
      <w:bookmarkStart w:id="1083" w:name="_Toc408418459"/>
      <w:bookmarkStart w:id="1084" w:name="_Toc409085688"/>
      <w:bookmarkStart w:id="1085" w:name="_Toc409085965"/>
      <w:bookmarkStart w:id="1086" w:name="_Toc409086242"/>
      <w:bookmarkStart w:id="1087" w:name="_Toc409248852"/>
      <w:bookmarkStart w:id="1088" w:name="_Toc409255432"/>
      <w:bookmarkStart w:id="1089" w:name="_Toc409255712"/>
      <w:bookmarkStart w:id="1090" w:name="_Toc409255992"/>
      <w:bookmarkStart w:id="1091" w:name="_Toc409256272"/>
      <w:bookmarkStart w:id="1092" w:name="_Toc409256552"/>
      <w:bookmarkStart w:id="1093" w:name="_Toc409270247"/>
      <w:bookmarkStart w:id="1094" w:name="_Toc409270527"/>
      <w:bookmarkStart w:id="1095" w:name="_Toc409509139"/>
      <w:bookmarkStart w:id="1096" w:name="_Toc409509421"/>
      <w:bookmarkStart w:id="1097" w:name="_Toc409509704"/>
      <w:bookmarkStart w:id="1098" w:name="_Toc409509987"/>
      <w:bookmarkStart w:id="1099" w:name="_Toc409510270"/>
      <w:bookmarkStart w:id="1100" w:name="_Toc409595749"/>
      <w:bookmarkStart w:id="1101" w:name="_Toc409606925"/>
      <w:bookmarkStart w:id="1102" w:name="_Toc408418460"/>
      <w:bookmarkStart w:id="1103" w:name="_Toc409085689"/>
      <w:bookmarkStart w:id="1104" w:name="_Toc409085966"/>
      <w:bookmarkStart w:id="1105" w:name="_Toc409086243"/>
      <w:bookmarkStart w:id="1106" w:name="_Toc409248853"/>
      <w:bookmarkStart w:id="1107" w:name="_Toc409255433"/>
      <w:bookmarkStart w:id="1108" w:name="_Toc409255713"/>
      <w:bookmarkStart w:id="1109" w:name="_Toc409255993"/>
      <w:bookmarkStart w:id="1110" w:name="_Toc409256273"/>
      <w:bookmarkStart w:id="1111" w:name="_Toc409256553"/>
      <w:bookmarkStart w:id="1112" w:name="_Toc409270248"/>
      <w:bookmarkStart w:id="1113" w:name="_Toc409270528"/>
      <w:bookmarkStart w:id="1114" w:name="_Toc409509140"/>
      <w:bookmarkStart w:id="1115" w:name="_Toc409509422"/>
      <w:bookmarkStart w:id="1116" w:name="_Toc409509705"/>
      <w:bookmarkStart w:id="1117" w:name="_Toc409509988"/>
      <w:bookmarkStart w:id="1118" w:name="_Toc409510271"/>
      <w:bookmarkStart w:id="1119" w:name="_Toc409595750"/>
      <w:bookmarkStart w:id="1120" w:name="_Toc409606926"/>
      <w:bookmarkStart w:id="1121" w:name="_Toc408418461"/>
      <w:bookmarkStart w:id="1122" w:name="_Toc409085690"/>
      <w:bookmarkStart w:id="1123" w:name="_Toc409085967"/>
      <w:bookmarkStart w:id="1124" w:name="_Toc409086244"/>
      <w:bookmarkStart w:id="1125" w:name="_Toc409248854"/>
      <w:bookmarkStart w:id="1126" w:name="_Toc409255434"/>
      <w:bookmarkStart w:id="1127" w:name="_Toc409255714"/>
      <w:bookmarkStart w:id="1128" w:name="_Toc409255994"/>
      <w:bookmarkStart w:id="1129" w:name="_Toc409256274"/>
      <w:bookmarkStart w:id="1130" w:name="_Toc409256554"/>
      <w:bookmarkStart w:id="1131" w:name="_Toc409270249"/>
      <w:bookmarkStart w:id="1132" w:name="_Toc409270529"/>
      <w:bookmarkStart w:id="1133" w:name="_Toc409509141"/>
      <w:bookmarkStart w:id="1134" w:name="_Toc409509423"/>
      <w:bookmarkStart w:id="1135" w:name="_Toc409509706"/>
      <w:bookmarkStart w:id="1136" w:name="_Toc409509989"/>
      <w:bookmarkStart w:id="1137" w:name="_Toc409510272"/>
      <w:bookmarkStart w:id="1138" w:name="_Toc409595751"/>
      <w:bookmarkStart w:id="1139" w:name="_Toc409606927"/>
      <w:bookmarkStart w:id="1140" w:name="_Toc408418462"/>
      <w:bookmarkStart w:id="1141" w:name="_Toc409085691"/>
      <w:bookmarkStart w:id="1142" w:name="_Toc409085968"/>
      <w:bookmarkStart w:id="1143" w:name="_Toc409086245"/>
      <w:bookmarkStart w:id="1144" w:name="_Toc409248855"/>
      <w:bookmarkStart w:id="1145" w:name="_Toc409255435"/>
      <w:bookmarkStart w:id="1146" w:name="_Toc409255715"/>
      <w:bookmarkStart w:id="1147" w:name="_Toc409255995"/>
      <w:bookmarkStart w:id="1148" w:name="_Toc409256275"/>
      <w:bookmarkStart w:id="1149" w:name="_Toc409256555"/>
      <w:bookmarkStart w:id="1150" w:name="_Toc409270250"/>
      <w:bookmarkStart w:id="1151" w:name="_Toc409270530"/>
      <w:bookmarkStart w:id="1152" w:name="_Toc409509142"/>
      <w:bookmarkStart w:id="1153" w:name="_Toc409509424"/>
      <w:bookmarkStart w:id="1154" w:name="_Toc409509707"/>
      <w:bookmarkStart w:id="1155" w:name="_Toc409509990"/>
      <w:bookmarkStart w:id="1156" w:name="_Toc409510273"/>
      <w:bookmarkStart w:id="1157" w:name="_Toc409595752"/>
      <w:bookmarkStart w:id="1158" w:name="_Toc409606928"/>
      <w:bookmarkStart w:id="1159" w:name="_Toc408418463"/>
      <w:bookmarkStart w:id="1160" w:name="_Toc409085692"/>
      <w:bookmarkStart w:id="1161" w:name="_Toc409085969"/>
      <w:bookmarkStart w:id="1162" w:name="_Toc409086246"/>
      <w:bookmarkStart w:id="1163" w:name="_Toc409248856"/>
      <w:bookmarkStart w:id="1164" w:name="_Toc409255436"/>
      <w:bookmarkStart w:id="1165" w:name="_Toc409255716"/>
      <w:bookmarkStart w:id="1166" w:name="_Toc409255996"/>
      <w:bookmarkStart w:id="1167" w:name="_Toc409256276"/>
      <w:bookmarkStart w:id="1168" w:name="_Toc409256556"/>
      <w:bookmarkStart w:id="1169" w:name="_Toc409270251"/>
      <w:bookmarkStart w:id="1170" w:name="_Toc409270531"/>
      <w:bookmarkStart w:id="1171" w:name="_Toc409509143"/>
      <w:bookmarkStart w:id="1172" w:name="_Toc409509425"/>
      <w:bookmarkStart w:id="1173" w:name="_Toc409509708"/>
      <w:bookmarkStart w:id="1174" w:name="_Toc409509991"/>
      <w:bookmarkStart w:id="1175" w:name="_Toc409510274"/>
      <w:bookmarkStart w:id="1176" w:name="_Toc409595753"/>
      <w:bookmarkStart w:id="1177" w:name="_Toc409606929"/>
      <w:bookmarkStart w:id="1178" w:name="_Toc408418464"/>
      <w:bookmarkStart w:id="1179" w:name="_Toc409085693"/>
      <w:bookmarkStart w:id="1180" w:name="_Toc409085970"/>
      <w:bookmarkStart w:id="1181" w:name="_Toc409086247"/>
      <w:bookmarkStart w:id="1182" w:name="_Toc409248857"/>
      <w:bookmarkStart w:id="1183" w:name="_Toc409255437"/>
      <w:bookmarkStart w:id="1184" w:name="_Toc409255717"/>
      <w:bookmarkStart w:id="1185" w:name="_Toc409255997"/>
      <w:bookmarkStart w:id="1186" w:name="_Toc409256277"/>
      <w:bookmarkStart w:id="1187" w:name="_Toc409256557"/>
      <w:bookmarkStart w:id="1188" w:name="_Toc409270252"/>
      <w:bookmarkStart w:id="1189" w:name="_Toc409270532"/>
      <w:bookmarkStart w:id="1190" w:name="_Toc409509144"/>
      <w:bookmarkStart w:id="1191" w:name="_Toc409509426"/>
      <w:bookmarkStart w:id="1192" w:name="_Toc409509709"/>
      <w:bookmarkStart w:id="1193" w:name="_Toc409509992"/>
      <w:bookmarkStart w:id="1194" w:name="_Toc409510275"/>
      <w:bookmarkStart w:id="1195" w:name="_Toc409595754"/>
      <w:bookmarkStart w:id="1196" w:name="_Toc409606930"/>
      <w:bookmarkStart w:id="1197" w:name="_Toc408418465"/>
      <w:bookmarkStart w:id="1198" w:name="_Toc409085694"/>
      <w:bookmarkStart w:id="1199" w:name="_Toc409085971"/>
      <w:bookmarkStart w:id="1200" w:name="_Toc409086248"/>
      <w:bookmarkStart w:id="1201" w:name="_Toc409248858"/>
      <w:bookmarkStart w:id="1202" w:name="_Toc409255438"/>
      <w:bookmarkStart w:id="1203" w:name="_Toc409255718"/>
      <w:bookmarkStart w:id="1204" w:name="_Toc409255998"/>
      <w:bookmarkStart w:id="1205" w:name="_Toc409256278"/>
      <w:bookmarkStart w:id="1206" w:name="_Toc409256558"/>
      <w:bookmarkStart w:id="1207" w:name="_Toc409270253"/>
      <w:bookmarkStart w:id="1208" w:name="_Toc409270533"/>
      <w:bookmarkStart w:id="1209" w:name="_Toc409509145"/>
      <w:bookmarkStart w:id="1210" w:name="_Toc409509427"/>
      <w:bookmarkStart w:id="1211" w:name="_Toc409509710"/>
      <w:bookmarkStart w:id="1212" w:name="_Toc409509993"/>
      <w:bookmarkStart w:id="1213" w:name="_Toc409510276"/>
      <w:bookmarkStart w:id="1214" w:name="_Toc409595755"/>
      <w:bookmarkStart w:id="1215" w:name="_Toc409606931"/>
      <w:bookmarkStart w:id="1216" w:name="_Toc408418466"/>
      <w:bookmarkStart w:id="1217" w:name="_Toc409085695"/>
      <w:bookmarkStart w:id="1218" w:name="_Toc409085972"/>
      <w:bookmarkStart w:id="1219" w:name="_Toc409086249"/>
      <w:bookmarkStart w:id="1220" w:name="_Toc409248859"/>
      <w:bookmarkStart w:id="1221" w:name="_Toc409255439"/>
      <w:bookmarkStart w:id="1222" w:name="_Toc409255719"/>
      <w:bookmarkStart w:id="1223" w:name="_Toc409255999"/>
      <w:bookmarkStart w:id="1224" w:name="_Toc409256279"/>
      <w:bookmarkStart w:id="1225" w:name="_Toc409256559"/>
      <w:bookmarkStart w:id="1226" w:name="_Toc409270254"/>
      <w:bookmarkStart w:id="1227" w:name="_Toc409270534"/>
      <w:bookmarkStart w:id="1228" w:name="_Toc409509146"/>
      <w:bookmarkStart w:id="1229" w:name="_Toc409509428"/>
      <w:bookmarkStart w:id="1230" w:name="_Toc409509711"/>
      <w:bookmarkStart w:id="1231" w:name="_Toc409509994"/>
      <w:bookmarkStart w:id="1232" w:name="_Toc409510277"/>
      <w:bookmarkStart w:id="1233" w:name="_Toc409595756"/>
      <w:bookmarkStart w:id="1234" w:name="_Toc409606932"/>
      <w:bookmarkStart w:id="1235" w:name="_Toc408418467"/>
      <w:bookmarkStart w:id="1236" w:name="_Toc409085696"/>
      <w:bookmarkStart w:id="1237" w:name="_Toc409085973"/>
      <w:bookmarkStart w:id="1238" w:name="_Toc409086250"/>
      <w:bookmarkStart w:id="1239" w:name="_Toc409248860"/>
      <w:bookmarkStart w:id="1240" w:name="_Toc409255440"/>
      <w:bookmarkStart w:id="1241" w:name="_Toc409255720"/>
      <w:bookmarkStart w:id="1242" w:name="_Toc409256000"/>
      <w:bookmarkStart w:id="1243" w:name="_Toc409256280"/>
      <w:bookmarkStart w:id="1244" w:name="_Toc409256560"/>
      <w:bookmarkStart w:id="1245" w:name="_Toc409270255"/>
      <w:bookmarkStart w:id="1246" w:name="_Toc409270535"/>
      <w:bookmarkStart w:id="1247" w:name="_Toc409509147"/>
      <w:bookmarkStart w:id="1248" w:name="_Toc409509429"/>
      <w:bookmarkStart w:id="1249" w:name="_Toc409509712"/>
      <w:bookmarkStart w:id="1250" w:name="_Toc409509995"/>
      <w:bookmarkStart w:id="1251" w:name="_Toc409510278"/>
      <w:bookmarkStart w:id="1252" w:name="_Toc409595757"/>
      <w:bookmarkStart w:id="1253" w:name="_Toc409606933"/>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r w:rsidRPr="00332FCD">
        <w:rPr>
          <w:rFonts w:ascii="Andes" w:eastAsiaTheme="majorEastAsia" w:hAnsi="Andes" w:cstheme="majorBidi"/>
          <w:bCs w:val="0"/>
          <w:color w:val="C45911"/>
          <w:sz w:val="32"/>
          <w:szCs w:val="32"/>
        </w:rPr>
        <w:t>Analyse de la valeur</w:t>
      </w:r>
    </w:p>
    <w:p w14:paraId="4E5A7E93" w14:textId="618FBAAF" w:rsidR="00970962" w:rsidRPr="00332FCD" w:rsidRDefault="006E4FEA" w:rsidP="00BF5E14">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L’analyse de la valeur est une approche méthodique et structurée permettant</w:t>
      </w:r>
      <w:r w:rsidR="006322B4" w:rsidRPr="00332FCD">
        <w:rPr>
          <w:rFonts w:ascii="Andes" w:hAnsi="Andes" w:cs="Arial"/>
          <w:sz w:val="22"/>
          <w:szCs w:val="22"/>
        </w:rPr>
        <w:t xml:space="preserve"> de réaliser ce qui est attendu </w:t>
      </w:r>
      <w:r w:rsidRPr="00332FCD">
        <w:rPr>
          <w:rFonts w:ascii="Andes" w:hAnsi="Andes" w:cs="Arial"/>
          <w:sz w:val="22"/>
          <w:szCs w:val="22"/>
        </w:rPr>
        <w:t xml:space="preserve">d’un </w:t>
      </w:r>
      <w:r w:rsidR="003276A5">
        <w:rPr>
          <w:rFonts w:ascii="Andes" w:hAnsi="Andes" w:cs="Arial"/>
          <w:sz w:val="22"/>
          <w:szCs w:val="22"/>
        </w:rPr>
        <w:t>marché</w:t>
      </w:r>
      <w:r w:rsidR="003276A5" w:rsidRPr="00332FCD">
        <w:rPr>
          <w:rFonts w:ascii="Andes" w:hAnsi="Andes" w:cs="Arial"/>
          <w:sz w:val="22"/>
          <w:szCs w:val="22"/>
        </w:rPr>
        <w:t xml:space="preserve"> </w:t>
      </w:r>
      <w:r w:rsidRPr="00332FCD">
        <w:rPr>
          <w:rFonts w:ascii="Andes" w:hAnsi="Andes" w:cs="Arial"/>
          <w:sz w:val="22"/>
          <w:szCs w:val="22"/>
        </w:rPr>
        <w:t>à un coût optimal. Elle favorise les gains de temps</w:t>
      </w:r>
      <w:r w:rsidR="006322B4" w:rsidRPr="00332FCD">
        <w:rPr>
          <w:rFonts w:ascii="Andes" w:hAnsi="Andes" w:cs="Arial"/>
          <w:sz w:val="22"/>
          <w:szCs w:val="22"/>
        </w:rPr>
        <w:t xml:space="preserve">, </w:t>
      </w:r>
      <w:r w:rsidRPr="00332FCD">
        <w:rPr>
          <w:rFonts w:ascii="Andes" w:hAnsi="Andes" w:cs="Arial"/>
          <w:sz w:val="22"/>
          <w:szCs w:val="22"/>
        </w:rPr>
        <w:t xml:space="preserve">le remplacement de </w:t>
      </w:r>
      <w:r w:rsidR="001C0A2C" w:rsidRPr="00332FCD">
        <w:rPr>
          <w:rFonts w:ascii="Andes" w:hAnsi="Andes" w:cs="Arial"/>
          <w:sz w:val="22"/>
          <w:szCs w:val="22"/>
        </w:rPr>
        <w:t>produits</w:t>
      </w:r>
      <w:r w:rsidR="006322B4" w:rsidRPr="00332FCD">
        <w:rPr>
          <w:rFonts w:ascii="Andes" w:hAnsi="Andes" w:cs="Arial"/>
          <w:sz w:val="22"/>
          <w:szCs w:val="22"/>
        </w:rPr>
        <w:t xml:space="preserve"> ou de méthodes</w:t>
      </w:r>
      <w:r w:rsidRPr="00332FCD">
        <w:rPr>
          <w:rFonts w:ascii="Andes" w:hAnsi="Andes" w:cs="Arial"/>
          <w:sz w:val="22"/>
          <w:szCs w:val="22"/>
        </w:rPr>
        <w:t>, ou le recours à des formules moins coûteuses, sans pour autant</w:t>
      </w:r>
      <w:r w:rsidR="006322B4" w:rsidRPr="00332FCD">
        <w:rPr>
          <w:rFonts w:ascii="Andes" w:hAnsi="Andes" w:cs="Arial"/>
          <w:sz w:val="22"/>
          <w:szCs w:val="22"/>
        </w:rPr>
        <w:t xml:space="preserve"> sacrifier </w:t>
      </w:r>
      <w:r w:rsidRPr="00332FCD">
        <w:rPr>
          <w:rFonts w:ascii="Andes" w:hAnsi="Andes" w:cs="Arial"/>
          <w:sz w:val="22"/>
          <w:szCs w:val="22"/>
        </w:rPr>
        <w:t>la fonctionnalité, la longévité ou la fiabilité</w:t>
      </w:r>
      <w:r w:rsidR="001C0A2C" w:rsidRPr="00332FCD">
        <w:rPr>
          <w:rFonts w:ascii="Andes" w:hAnsi="Andes" w:cs="Arial"/>
          <w:sz w:val="22"/>
          <w:szCs w:val="22"/>
        </w:rPr>
        <w:t xml:space="preserve"> nécessaires</w:t>
      </w:r>
      <w:r w:rsidRPr="00332FCD">
        <w:rPr>
          <w:rFonts w:ascii="Andes" w:hAnsi="Andes" w:cs="Arial"/>
          <w:sz w:val="22"/>
          <w:szCs w:val="22"/>
        </w:rPr>
        <w:t xml:space="preserve">. </w:t>
      </w:r>
      <w:r w:rsidR="001C0A2C" w:rsidRPr="00332FCD">
        <w:rPr>
          <w:rFonts w:ascii="Andes" w:hAnsi="Andes" w:cs="Arial"/>
          <w:sz w:val="22"/>
          <w:szCs w:val="22"/>
        </w:rPr>
        <w:t>Elle améliore normalement la performance, la fiabilité, la qualité, la sûreté, la viabilité, l’efficacité et d’autres aspects souhaitables. Les do</w:t>
      </w:r>
      <w:r w:rsidR="003A07A0" w:rsidRPr="00332FCD">
        <w:rPr>
          <w:rFonts w:ascii="Andes" w:hAnsi="Andes" w:cs="Arial"/>
          <w:sz w:val="22"/>
          <w:szCs w:val="22"/>
        </w:rPr>
        <w:t>ssiers</w:t>
      </w:r>
      <w:r w:rsidR="001C0A2C" w:rsidRPr="00332FCD">
        <w:rPr>
          <w:rFonts w:ascii="Andes" w:hAnsi="Andes" w:cs="Arial"/>
          <w:sz w:val="22"/>
          <w:szCs w:val="22"/>
        </w:rPr>
        <w:t xml:space="preserve"> d’</w:t>
      </w:r>
      <w:r w:rsidR="00D24AB7">
        <w:rPr>
          <w:rFonts w:ascii="Andes" w:hAnsi="Andes" w:cs="Arial"/>
          <w:sz w:val="22"/>
          <w:szCs w:val="22"/>
        </w:rPr>
        <w:t>A</w:t>
      </w:r>
      <w:r w:rsidR="001C0A2C" w:rsidRPr="00332FCD">
        <w:rPr>
          <w:rFonts w:ascii="Andes" w:hAnsi="Andes" w:cs="Arial"/>
          <w:sz w:val="22"/>
          <w:szCs w:val="22"/>
        </w:rPr>
        <w:t>ppel d’</w:t>
      </w:r>
      <w:r w:rsidR="00D24AB7">
        <w:rPr>
          <w:rFonts w:ascii="Andes" w:hAnsi="Andes" w:cs="Arial"/>
          <w:sz w:val="22"/>
          <w:szCs w:val="22"/>
        </w:rPr>
        <w:t>O</w:t>
      </w:r>
      <w:r w:rsidR="001C0A2C" w:rsidRPr="00332FCD">
        <w:rPr>
          <w:rFonts w:ascii="Andes" w:hAnsi="Andes" w:cs="Arial"/>
          <w:sz w:val="22"/>
          <w:szCs w:val="22"/>
        </w:rPr>
        <w:t xml:space="preserve">ffres/à </w:t>
      </w:r>
      <w:r w:rsidR="00D24AB7">
        <w:rPr>
          <w:rFonts w:ascii="Andes" w:hAnsi="Andes" w:cs="Arial"/>
          <w:sz w:val="22"/>
          <w:szCs w:val="22"/>
        </w:rPr>
        <w:t>P</w:t>
      </w:r>
      <w:r w:rsidR="001C0A2C" w:rsidRPr="00332FCD">
        <w:rPr>
          <w:rFonts w:ascii="Andes" w:hAnsi="Andes" w:cs="Arial"/>
          <w:sz w:val="22"/>
          <w:szCs w:val="22"/>
        </w:rPr>
        <w:t xml:space="preserve">ropositions peuvent permettre l’application de cette méthode. Le mécanisme d’application de l’analyse de la valeur pendant l’exécution du contrat </w:t>
      </w:r>
      <w:r w:rsidR="00C70B53" w:rsidRPr="00332FCD">
        <w:rPr>
          <w:rFonts w:ascii="Andes" w:hAnsi="Andes" w:cs="Arial"/>
          <w:sz w:val="22"/>
          <w:szCs w:val="22"/>
        </w:rPr>
        <w:t xml:space="preserve">répond aux dispositions énoncées dans les documents contractuels. </w:t>
      </w:r>
    </w:p>
    <w:p w14:paraId="00B6B555" w14:textId="44D80935" w:rsidR="006A05F6" w:rsidRPr="00332FCD" w:rsidRDefault="00BD21F3" w:rsidP="00BF5E14">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1254" w:name="_Hlk5197441"/>
      <w:r w:rsidRPr="00332FCD">
        <w:rPr>
          <w:rFonts w:ascii="Andes" w:eastAsiaTheme="majorEastAsia" w:hAnsi="Andes" w:cstheme="majorBidi"/>
          <w:bCs w:val="0"/>
          <w:color w:val="C45911"/>
          <w:sz w:val="32"/>
          <w:szCs w:val="32"/>
        </w:rPr>
        <w:t xml:space="preserve">Choix des langues </w:t>
      </w:r>
    </w:p>
    <w:bookmarkEnd w:id="1254"/>
    <w:p w14:paraId="7C572EE1" w14:textId="142EBDCF" w:rsidR="002A4B88" w:rsidRPr="00332FCD" w:rsidRDefault="00BD21F3" w:rsidP="00BF5E14">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Pour les marchés faisant appel à la concurrence internationale, tous les Dossiers de Passation des Marchés sont établis </w:t>
      </w:r>
      <w:r w:rsidR="001910C7" w:rsidRPr="00332FCD">
        <w:rPr>
          <w:rFonts w:ascii="Andes" w:hAnsi="Andes" w:cs="Arial"/>
          <w:sz w:val="22"/>
          <w:szCs w:val="22"/>
        </w:rPr>
        <w:t xml:space="preserve">soit </w:t>
      </w:r>
      <w:r w:rsidRPr="00332FCD">
        <w:rPr>
          <w:rFonts w:ascii="Andes" w:hAnsi="Andes" w:cs="Arial"/>
          <w:sz w:val="22"/>
          <w:szCs w:val="22"/>
        </w:rPr>
        <w:t>en anglais, espagnol ou français, à la discrétion de l’Emprunteur. L’</w:t>
      </w:r>
      <w:r w:rsidR="00B24337" w:rsidRPr="00332FCD">
        <w:rPr>
          <w:rFonts w:ascii="Andes" w:hAnsi="Andes" w:cs="Arial"/>
          <w:sz w:val="22"/>
          <w:szCs w:val="22"/>
        </w:rPr>
        <w:t xml:space="preserve">Emprunteur </w:t>
      </w:r>
      <w:r w:rsidRPr="00332FCD">
        <w:rPr>
          <w:rFonts w:ascii="Andes" w:hAnsi="Andes" w:cs="Arial"/>
          <w:sz w:val="22"/>
          <w:szCs w:val="22"/>
        </w:rPr>
        <w:t xml:space="preserve">peut aussi </w:t>
      </w:r>
      <w:r w:rsidR="00B24337" w:rsidRPr="00332FCD">
        <w:rPr>
          <w:rFonts w:ascii="Andes" w:hAnsi="Andes" w:cs="Arial"/>
          <w:sz w:val="22"/>
          <w:szCs w:val="22"/>
        </w:rPr>
        <w:t xml:space="preserve">traduire ces documents dans une autre langue, à savoir la Langue Nationale. </w:t>
      </w:r>
    </w:p>
    <w:p w14:paraId="69587FA3" w14:textId="60D251FD" w:rsidR="006A05F6" w:rsidRPr="00332FCD" w:rsidRDefault="0027044C" w:rsidP="00BF5E14">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L'Emprunteur est pleinement responsable de la bonne traduction des documents rédigés en Langue Nationale. En cas de différence</w:t>
      </w:r>
      <w:r w:rsidR="005C2EE0" w:rsidRPr="00332FCD">
        <w:rPr>
          <w:rFonts w:ascii="Andes" w:hAnsi="Andes" w:cs="Arial"/>
          <w:sz w:val="22"/>
          <w:szCs w:val="22"/>
        </w:rPr>
        <w:t>s</w:t>
      </w:r>
      <w:r w:rsidRPr="00332FCD">
        <w:rPr>
          <w:rFonts w:ascii="Andes" w:hAnsi="Andes" w:cs="Arial"/>
          <w:sz w:val="22"/>
          <w:szCs w:val="22"/>
        </w:rPr>
        <w:t xml:space="preserve">, le texte en anglais, espagnol ou français prévaut. </w:t>
      </w:r>
      <w:r w:rsidR="005C2EE0" w:rsidRPr="00332FCD">
        <w:rPr>
          <w:rFonts w:ascii="Andes" w:hAnsi="Andes" w:cs="Arial"/>
          <w:sz w:val="22"/>
          <w:szCs w:val="22"/>
        </w:rPr>
        <w:t xml:space="preserve">Si les Dossiers de Passation des Marchés sont établis en deux langues, les </w:t>
      </w:r>
      <w:r w:rsidR="005C2EE0" w:rsidRPr="00332FCD">
        <w:rPr>
          <w:rFonts w:ascii="Andes" w:hAnsi="Andes" w:cs="Arial"/>
          <w:sz w:val="22"/>
          <w:szCs w:val="22"/>
        </w:rPr>
        <w:lastRenderedPageBreak/>
        <w:t xml:space="preserve">Candidats/Soumissionnaires/Proposants/Consultants </w:t>
      </w:r>
      <w:r w:rsidR="006322B4" w:rsidRPr="00332FCD">
        <w:rPr>
          <w:rFonts w:ascii="Andes" w:hAnsi="Andes" w:cs="Arial"/>
          <w:sz w:val="22"/>
          <w:szCs w:val="22"/>
        </w:rPr>
        <w:t xml:space="preserve">potentiels </w:t>
      </w:r>
      <w:r w:rsidR="005C2EE0" w:rsidRPr="00332FCD">
        <w:rPr>
          <w:rFonts w:ascii="Andes" w:hAnsi="Andes" w:cs="Arial"/>
          <w:sz w:val="22"/>
          <w:szCs w:val="22"/>
        </w:rPr>
        <w:t xml:space="preserve">peuvent déposer leur Candidature/Offre/Proposition dans l’une ou l’autre langue. </w:t>
      </w:r>
    </w:p>
    <w:p w14:paraId="032590DF" w14:textId="2E51488A" w:rsidR="006A05F6" w:rsidRPr="00332FCD" w:rsidRDefault="004D10E4" w:rsidP="00BF5E14">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Pour les marchés faisant appel à la concurrence internationale et soumis à un examen préalable, </w:t>
      </w:r>
      <w:r w:rsidR="00B10B6F" w:rsidRPr="00332FCD">
        <w:rPr>
          <w:rFonts w:ascii="Andes" w:hAnsi="Andes" w:cs="Arial"/>
          <w:sz w:val="22"/>
          <w:szCs w:val="22"/>
        </w:rPr>
        <w:t xml:space="preserve">il incombe à l’Emprunteur de remettre à la Banque une traduction précise du rapport d’évaluation de la </w:t>
      </w:r>
      <w:r w:rsidR="000A7F1B">
        <w:rPr>
          <w:rFonts w:ascii="Andes" w:hAnsi="Andes" w:cs="Arial"/>
          <w:sz w:val="22"/>
          <w:szCs w:val="22"/>
        </w:rPr>
        <w:t>Préqualification</w:t>
      </w:r>
      <w:r w:rsidR="009E5CC5" w:rsidRPr="00332FCD">
        <w:rPr>
          <w:rFonts w:ascii="Andes" w:hAnsi="Andes" w:cs="Arial"/>
          <w:sz w:val="22"/>
          <w:szCs w:val="22"/>
        </w:rPr>
        <w:t>/</w:t>
      </w:r>
      <w:r w:rsidR="003276A5">
        <w:rPr>
          <w:rFonts w:ascii="Andes" w:hAnsi="Andes" w:cs="Arial"/>
          <w:sz w:val="22"/>
          <w:szCs w:val="22"/>
        </w:rPr>
        <w:t>Sélection</w:t>
      </w:r>
      <w:r w:rsidR="002E1134">
        <w:rPr>
          <w:rFonts w:ascii="Andes" w:hAnsi="Andes" w:cs="Arial"/>
          <w:sz w:val="22"/>
          <w:szCs w:val="22"/>
        </w:rPr>
        <w:t xml:space="preserve"> </w:t>
      </w:r>
      <w:r w:rsidR="003276A5">
        <w:rPr>
          <w:rFonts w:ascii="Andes" w:hAnsi="Andes" w:cs="Arial"/>
          <w:sz w:val="22"/>
          <w:szCs w:val="22"/>
        </w:rPr>
        <w:t>Initiale/</w:t>
      </w:r>
      <w:r w:rsidR="00B10B6F" w:rsidRPr="00332FCD">
        <w:rPr>
          <w:rFonts w:ascii="Andes" w:hAnsi="Andes" w:cs="Arial"/>
          <w:sz w:val="22"/>
          <w:szCs w:val="22"/>
        </w:rPr>
        <w:t>Présélection</w:t>
      </w:r>
      <w:r w:rsidR="009E5CC5" w:rsidRPr="00332FCD">
        <w:rPr>
          <w:rFonts w:ascii="Andes" w:hAnsi="Andes" w:cs="Arial"/>
          <w:sz w:val="22"/>
          <w:szCs w:val="22"/>
        </w:rPr>
        <w:t>/Offre/</w:t>
      </w:r>
      <w:r w:rsidR="002E1134">
        <w:rPr>
          <w:rFonts w:ascii="Andes" w:hAnsi="Andes" w:cs="Arial"/>
          <w:sz w:val="22"/>
          <w:szCs w:val="22"/>
        </w:rPr>
        <w:t xml:space="preserve"> </w:t>
      </w:r>
      <w:r w:rsidR="00B10B6F" w:rsidRPr="00332FCD">
        <w:rPr>
          <w:rFonts w:ascii="Andes" w:hAnsi="Andes" w:cs="Arial"/>
          <w:sz w:val="22"/>
          <w:szCs w:val="22"/>
        </w:rPr>
        <w:t xml:space="preserve">Proposition et du projet de contrat, et la copie certifiée conforme du contrat dans la langue internationale </w:t>
      </w:r>
      <w:r w:rsidR="009E5CC5" w:rsidRPr="00332FCD">
        <w:rPr>
          <w:rFonts w:ascii="Andes" w:hAnsi="Andes" w:cs="Arial"/>
          <w:sz w:val="22"/>
          <w:szCs w:val="22"/>
        </w:rPr>
        <w:t>visée dans les do</w:t>
      </w:r>
      <w:r w:rsidR="003A07A0" w:rsidRPr="00332FCD">
        <w:rPr>
          <w:rFonts w:ascii="Andes" w:hAnsi="Andes" w:cs="Arial"/>
          <w:sz w:val="22"/>
          <w:szCs w:val="22"/>
        </w:rPr>
        <w:t>ssiers</w:t>
      </w:r>
      <w:r w:rsidR="009E5CC5" w:rsidRPr="00332FCD">
        <w:rPr>
          <w:rFonts w:ascii="Andes" w:hAnsi="Andes" w:cs="Arial"/>
          <w:sz w:val="22"/>
          <w:szCs w:val="22"/>
        </w:rPr>
        <w:t xml:space="preserve"> d’</w:t>
      </w:r>
      <w:r w:rsidR="00BF3A6C">
        <w:rPr>
          <w:rFonts w:ascii="Andes" w:hAnsi="Andes" w:cs="Arial"/>
          <w:sz w:val="22"/>
          <w:szCs w:val="22"/>
        </w:rPr>
        <w:t>A</w:t>
      </w:r>
      <w:r w:rsidR="009E5CC5" w:rsidRPr="00332FCD">
        <w:rPr>
          <w:rFonts w:ascii="Andes" w:hAnsi="Andes" w:cs="Arial"/>
          <w:sz w:val="22"/>
          <w:szCs w:val="22"/>
        </w:rPr>
        <w:t>ppel d’</w:t>
      </w:r>
      <w:r w:rsidR="00BF3A6C">
        <w:rPr>
          <w:rFonts w:ascii="Andes" w:hAnsi="Andes" w:cs="Arial"/>
          <w:sz w:val="22"/>
          <w:szCs w:val="22"/>
        </w:rPr>
        <w:t>O</w:t>
      </w:r>
      <w:r w:rsidR="009E5CC5" w:rsidRPr="00332FCD">
        <w:rPr>
          <w:rFonts w:ascii="Andes" w:hAnsi="Andes" w:cs="Arial"/>
          <w:sz w:val="22"/>
          <w:szCs w:val="22"/>
        </w:rPr>
        <w:t xml:space="preserve">ffres/à </w:t>
      </w:r>
      <w:r w:rsidR="00BF3A6C">
        <w:rPr>
          <w:rFonts w:ascii="Andes" w:hAnsi="Andes" w:cs="Arial"/>
          <w:sz w:val="22"/>
          <w:szCs w:val="22"/>
        </w:rPr>
        <w:t>P</w:t>
      </w:r>
      <w:r w:rsidR="009E5CC5" w:rsidRPr="00332FCD">
        <w:rPr>
          <w:rFonts w:ascii="Andes" w:hAnsi="Andes" w:cs="Arial"/>
          <w:sz w:val="22"/>
          <w:szCs w:val="22"/>
        </w:rPr>
        <w:t xml:space="preserve">ropositions, à savoir l’anglais, l’espagnol ou le français. L’Emprunteur fournit également à la Banque une traduction précise de toute modification ultérieure de ces contrats. </w:t>
      </w:r>
    </w:p>
    <w:p w14:paraId="533369C4" w14:textId="7FA0304C" w:rsidR="006A05F6" w:rsidRPr="00332FCD" w:rsidRDefault="009E5CC5" w:rsidP="00BF5E14">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Pour les marchés faisant appel à la concurrence nationale, les Dossiers de Passation des Marchés peuvent être établis dans la Langue Nationale. Lorsque cela est le cas, la Banque peut obliger l’Emprunteur à lui </w:t>
      </w:r>
      <w:r w:rsidR="006322B4" w:rsidRPr="00332FCD">
        <w:rPr>
          <w:rFonts w:ascii="Andes" w:hAnsi="Andes" w:cs="Arial"/>
          <w:sz w:val="22"/>
          <w:szCs w:val="22"/>
        </w:rPr>
        <w:t xml:space="preserve">en </w:t>
      </w:r>
      <w:r w:rsidRPr="00332FCD">
        <w:rPr>
          <w:rFonts w:ascii="Andes" w:hAnsi="Andes" w:cs="Arial"/>
          <w:sz w:val="22"/>
          <w:szCs w:val="22"/>
        </w:rPr>
        <w:t xml:space="preserve">remettre, pour examen, une traduction précise en anglais, espagnol ou français. </w:t>
      </w:r>
    </w:p>
    <w:p w14:paraId="766D6B3B" w14:textId="4136C263" w:rsidR="006A05F6" w:rsidRPr="00332FCD" w:rsidRDefault="009E5CC5" w:rsidP="00BF5E14">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 contrat signé avec le Soumissionnaire</w:t>
      </w:r>
      <w:r w:rsidR="00A576B7" w:rsidRPr="00332FCD">
        <w:rPr>
          <w:rFonts w:ascii="Andes" w:hAnsi="Andes" w:cs="Arial"/>
          <w:sz w:val="22"/>
          <w:szCs w:val="22"/>
        </w:rPr>
        <w:t xml:space="preserve">, le </w:t>
      </w:r>
      <w:r w:rsidRPr="00332FCD">
        <w:rPr>
          <w:rFonts w:ascii="Andes" w:hAnsi="Andes" w:cs="Arial"/>
          <w:sz w:val="22"/>
          <w:szCs w:val="22"/>
        </w:rPr>
        <w:t>Proposant</w:t>
      </w:r>
      <w:r w:rsidR="00A576B7" w:rsidRPr="00332FCD">
        <w:rPr>
          <w:rFonts w:ascii="Andes" w:hAnsi="Andes" w:cs="Arial"/>
          <w:sz w:val="22"/>
          <w:szCs w:val="22"/>
        </w:rPr>
        <w:t xml:space="preserve"> ou le </w:t>
      </w:r>
      <w:r w:rsidR="00ED682E" w:rsidRPr="00332FCD">
        <w:rPr>
          <w:rFonts w:ascii="Andes" w:hAnsi="Andes" w:cs="Arial"/>
          <w:sz w:val="22"/>
          <w:szCs w:val="22"/>
        </w:rPr>
        <w:t xml:space="preserve">Consultant </w:t>
      </w:r>
      <w:r w:rsidRPr="00332FCD">
        <w:rPr>
          <w:rFonts w:ascii="Andes" w:hAnsi="Andes" w:cs="Arial"/>
          <w:sz w:val="22"/>
          <w:szCs w:val="22"/>
        </w:rPr>
        <w:t>retenu</w:t>
      </w:r>
      <w:r w:rsidR="00ED682E" w:rsidRPr="00332FCD">
        <w:rPr>
          <w:rFonts w:ascii="Andes" w:hAnsi="Andes" w:cs="Arial"/>
          <w:sz w:val="22"/>
          <w:szCs w:val="22"/>
        </w:rPr>
        <w:t xml:space="preserve"> est toujours établi dans la langue dans laquelle l’Offre ou la Proposition a été remise</w:t>
      </w:r>
      <w:r w:rsidR="00730BDF" w:rsidRPr="00332FCD">
        <w:rPr>
          <w:rFonts w:ascii="Calibri" w:hAnsi="Calibri" w:cs="Calibri"/>
          <w:sz w:val="22"/>
          <w:szCs w:val="22"/>
        </w:rPr>
        <w:t> </w:t>
      </w:r>
      <w:r w:rsidR="00730BDF" w:rsidRPr="00332FCD">
        <w:rPr>
          <w:rFonts w:ascii="Andes" w:hAnsi="Andes" w:cs="Arial"/>
          <w:sz w:val="22"/>
          <w:szCs w:val="22"/>
        </w:rPr>
        <w:t>;</w:t>
      </w:r>
      <w:r w:rsidR="00ED682E" w:rsidRPr="00332FCD">
        <w:rPr>
          <w:rFonts w:ascii="Andes" w:hAnsi="Andes" w:cs="Arial"/>
          <w:sz w:val="22"/>
          <w:szCs w:val="22"/>
        </w:rPr>
        <w:t xml:space="preserve"> cette langue régira les relations contractuelles entre l’Emprunteur et le Soumissionnaire/Proposant/</w:t>
      </w:r>
      <w:r w:rsidR="002E1134">
        <w:rPr>
          <w:rFonts w:ascii="Andes" w:hAnsi="Andes" w:cs="Arial"/>
          <w:sz w:val="22"/>
          <w:szCs w:val="22"/>
        </w:rPr>
        <w:t xml:space="preserve"> </w:t>
      </w:r>
      <w:r w:rsidR="00ED682E" w:rsidRPr="00332FCD">
        <w:rPr>
          <w:rFonts w:ascii="Andes" w:hAnsi="Andes" w:cs="Arial"/>
          <w:sz w:val="22"/>
          <w:szCs w:val="22"/>
        </w:rPr>
        <w:t xml:space="preserve">Consultant retenu. Le contrat ne peut être signé qu’en une seule langue. </w:t>
      </w:r>
    </w:p>
    <w:p w14:paraId="5EB79DE8" w14:textId="75499905" w:rsidR="006A05F6" w:rsidRPr="00332FCD" w:rsidRDefault="00BA2D79" w:rsidP="00BF5E14">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Informations confidentielles</w:t>
      </w:r>
    </w:p>
    <w:p w14:paraId="3AF1A31C" w14:textId="605D80BC" w:rsidR="008D35F8" w:rsidRPr="00D95177" w:rsidRDefault="001C522D" w:rsidP="00D95177">
      <w:pPr>
        <w:pStyle w:val="Paragraphedeliste"/>
        <w:numPr>
          <w:ilvl w:val="0"/>
          <w:numId w:val="78"/>
        </w:numPr>
        <w:spacing w:before="0" w:line="240" w:lineRule="auto"/>
        <w:ind w:left="634" w:hanging="634"/>
        <w:contextualSpacing w:val="0"/>
        <w:rPr>
          <w:rFonts w:ascii="Calibri" w:eastAsia="Calibri" w:hAnsi="Calibri"/>
          <w:sz w:val="22"/>
          <w:szCs w:val="22"/>
        </w:rPr>
      </w:pPr>
      <w:bookmarkStart w:id="1255" w:name="_Hlk144115155"/>
      <w:r w:rsidRPr="00D95177">
        <w:rPr>
          <w:rFonts w:ascii="Andes" w:hAnsi="Andes" w:cs="Arial"/>
          <w:sz w:val="22"/>
          <w:szCs w:val="22"/>
        </w:rPr>
        <w:t>Sans préjudice du principe de transparence et des autres obligations découlant du présent Règlement de Passation des Marchés, notamment celles relatives à la publication de l’Avis d’Attribution de Marché et des débriefings destinés aux Soumissionnaires/</w:t>
      </w:r>
      <w:r w:rsidR="00D95177">
        <w:rPr>
          <w:rFonts w:ascii="Andes" w:hAnsi="Andes" w:cs="Arial"/>
          <w:sz w:val="22"/>
          <w:szCs w:val="22"/>
        </w:rPr>
        <w:t xml:space="preserve"> </w:t>
      </w:r>
      <w:r w:rsidRPr="00D95177">
        <w:rPr>
          <w:rFonts w:ascii="Andes" w:hAnsi="Andes" w:cs="Arial"/>
          <w:sz w:val="22"/>
          <w:szCs w:val="22"/>
        </w:rPr>
        <w:t>Proposants/</w:t>
      </w:r>
      <w:r w:rsidR="00D95177">
        <w:rPr>
          <w:rFonts w:ascii="Andes" w:hAnsi="Andes" w:cs="Arial"/>
          <w:sz w:val="22"/>
          <w:szCs w:val="22"/>
        </w:rPr>
        <w:t xml:space="preserve"> </w:t>
      </w:r>
      <w:r w:rsidRPr="00D95177">
        <w:rPr>
          <w:rFonts w:ascii="Andes" w:hAnsi="Andes" w:cs="Arial"/>
          <w:sz w:val="22"/>
          <w:szCs w:val="22"/>
        </w:rPr>
        <w:t>Consultants non retenus, l’Emprunteur ne divulgue pas les informations que les Candidats/Soumissionnaires/Proposants/Consultants ont fournies dans leurs Candidatures/Offres/Propositions et qu’ils ont marquées comme confidentielles. Il peut s’agir d’informations protégées, de secrets de fabrique et d’informations commerciales ou financièrement sensibles</w:t>
      </w:r>
      <w:bookmarkEnd w:id="1255"/>
      <w:r w:rsidR="008D35F8" w:rsidRPr="00D95177">
        <w:rPr>
          <w:rFonts w:ascii="Andes" w:hAnsi="Andes" w:cs="Arial"/>
          <w:color w:val="000000" w:themeColor="text1"/>
          <w:sz w:val="22"/>
          <w:szCs w:val="22"/>
        </w:rPr>
        <w:t xml:space="preserve">. </w:t>
      </w:r>
    </w:p>
    <w:p w14:paraId="10B32BC4" w14:textId="34F6BA41" w:rsidR="00EE2576" w:rsidRPr="00332FCD" w:rsidRDefault="00363C74" w:rsidP="00BF5E14">
      <w:pPr>
        <w:pStyle w:val="Paragraphedeliste"/>
        <w:numPr>
          <w:ilvl w:val="0"/>
          <w:numId w:val="78"/>
        </w:numPr>
        <w:spacing w:before="0" w:line="240" w:lineRule="auto"/>
        <w:ind w:left="634" w:hanging="634"/>
        <w:contextualSpacing w:val="0"/>
        <w:rPr>
          <w:rFonts w:ascii="Andes" w:eastAsiaTheme="majorEastAsia" w:hAnsi="Andes" w:cstheme="majorBidi"/>
          <w:color w:val="000000" w:themeColor="text1"/>
          <w:sz w:val="32"/>
          <w:szCs w:val="32"/>
        </w:rPr>
      </w:pPr>
      <w:r w:rsidRPr="00332FCD">
        <w:rPr>
          <w:rFonts w:ascii="Andes" w:hAnsi="Andes" w:cs="Arial"/>
          <w:color w:val="000000" w:themeColor="text1"/>
          <w:sz w:val="22"/>
          <w:szCs w:val="22"/>
        </w:rPr>
        <w:t>L’Emprunteur traite l’information relative à l’examen des plis, aux clarifications demandées et à l’évaluation des Candidatures/Offres/Propositions</w:t>
      </w:r>
      <w:r w:rsidR="00AC64A1" w:rsidRPr="00332FCD">
        <w:rPr>
          <w:rFonts w:ascii="Andes" w:hAnsi="Andes" w:cs="Arial"/>
          <w:color w:val="000000" w:themeColor="text1"/>
          <w:sz w:val="22"/>
          <w:szCs w:val="22"/>
        </w:rPr>
        <w:t xml:space="preserve"> d’une façon permettant d’éviter </w:t>
      </w:r>
      <w:r w:rsidRPr="00332FCD">
        <w:rPr>
          <w:rFonts w:ascii="Andes" w:hAnsi="Andes" w:cs="Arial"/>
          <w:color w:val="000000" w:themeColor="text1"/>
          <w:sz w:val="22"/>
          <w:szCs w:val="22"/>
        </w:rPr>
        <w:t xml:space="preserve">d’en révéler le contenu à tout autre </w:t>
      </w:r>
      <w:r w:rsidR="003276A5">
        <w:rPr>
          <w:rFonts w:ascii="Andes" w:hAnsi="Andes" w:cs="Arial"/>
          <w:color w:val="000000" w:themeColor="text1"/>
          <w:sz w:val="22"/>
          <w:szCs w:val="22"/>
        </w:rPr>
        <w:t>Candidat/</w:t>
      </w:r>
      <w:r w:rsidRPr="00332FCD">
        <w:rPr>
          <w:rFonts w:ascii="Andes" w:hAnsi="Andes" w:cs="Arial"/>
          <w:color w:val="000000" w:themeColor="text1"/>
          <w:sz w:val="22"/>
          <w:szCs w:val="22"/>
        </w:rPr>
        <w:t>Soumissionnaire/Proposant/Consultant participant au processus de sélection, ou à toute autre partie</w:t>
      </w:r>
      <w:r w:rsidR="00AC64A1" w:rsidRPr="00332FCD">
        <w:rPr>
          <w:rFonts w:ascii="Andes" w:hAnsi="Andes" w:cs="Arial"/>
          <w:color w:val="000000" w:themeColor="text1"/>
          <w:sz w:val="22"/>
          <w:szCs w:val="22"/>
        </w:rPr>
        <w:t xml:space="preserve"> non </w:t>
      </w:r>
      <w:r w:rsidRPr="00332FCD">
        <w:rPr>
          <w:rFonts w:ascii="Andes" w:hAnsi="Andes" w:cs="Arial"/>
          <w:color w:val="000000" w:themeColor="text1"/>
          <w:sz w:val="22"/>
          <w:szCs w:val="22"/>
        </w:rPr>
        <w:t>autorisée à</w:t>
      </w:r>
      <w:r w:rsidR="00AC64A1" w:rsidRPr="00332FCD">
        <w:rPr>
          <w:rFonts w:ascii="Andes" w:hAnsi="Andes" w:cs="Arial"/>
          <w:color w:val="000000" w:themeColor="text1"/>
          <w:sz w:val="22"/>
          <w:szCs w:val="22"/>
        </w:rPr>
        <w:t xml:space="preserve"> accéder </w:t>
      </w:r>
      <w:r w:rsidRPr="00332FCD">
        <w:rPr>
          <w:rFonts w:ascii="Andes" w:hAnsi="Andes" w:cs="Arial"/>
          <w:color w:val="000000" w:themeColor="text1"/>
          <w:sz w:val="22"/>
          <w:szCs w:val="22"/>
        </w:rPr>
        <w:t xml:space="preserve">à ce type d’information, jusqu’à ce qu’il annonce le résultat de l’évaluation des Candidatures/Offres/Propositions, conformément aux procédures des Dossiers de Passation des Marchés applicables. </w:t>
      </w:r>
      <w:bookmarkStart w:id="1256" w:name="_Toc453170861"/>
    </w:p>
    <w:p w14:paraId="44A2AF35" w14:textId="77777777" w:rsidR="006A05F6" w:rsidRPr="00332FCD" w:rsidRDefault="006A05F6" w:rsidP="00BF5E14">
      <w:pPr>
        <w:pStyle w:val="Paragraphedeliste"/>
        <w:keepNext/>
        <w:keepLines/>
        <w:tabs>
          <w:tab w:val="left" w:pos="1710"/>
        </w:tabs>
        <w:spacing w:before="240" w:line="240" w:lineRule="auto"/>
        <w:ind w:left="-23"/>
        <w:contextualSpacing w:val="0"/>
        <w:outlineLvl w:val="0"/>
        <w:rPr>
          <w:rFonts w:ascii="Andes" w:eastAsiaTheme="majorEastAsia" w:hAnsi="Andes" w:cstheme="majorBidi"/>
          <w:b/>
          <w:color w:val="C45911"/>
          <w:sz w:val="32"/>
          <w:szCs w:val="32"/>
        </w:rPr>
      </w:pPr>
      <w:bookmarkStart w:id="1257" w:name="_Toc453544283"/>
      <w:r w:rsidRPr="00332FCD">
        <w:rPr>
          <w:rFonts w:ascii="Andes" w:eastAsiaTheme="majorEastAsia" w:hAnsi="Andes" w:cstheme="majorBidi"/>
          <w:b/>
          <w:color w:val="C45911"/>
          <w:sz w:val="32"/>
          <w:szCs w:val="32"/>
        </w:rPr>
        <w:t>Communications</w:t>
      </w:r>
      <w:bookmarkEnd w:id="1256"/>
      <w:bookmarkEnd w:id="1257"/>
    </w:p>
    <w:p w14:paraId="30285627" w14:textId="52FCB4C5" w:rsidR="006A05F6" w:rsidRPr="00332FCD" w:rsidRDefault="00AC64A1" w:rsidP="00BF5E14">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Les communications entre l’Emprunteur et les Candidats/</w:t>
      </w:r>
      <w:r w:rsidR="00D95177">
        <w:rPr>
          <w:rFonts w:ascii="Andes" w:hAnsi="Andes" w:cs="Arial"/>
          <w:sz w:val="22"/>
          <w:szCs w:val="22"/>
        </w:rPr>
        <w:t xml:space="preserve"> </w:t>
      </w:r>
      <w:r w:rsidRPr="00332FCD">
        <w:rPr>
          <w:rFonts w:ascii="Andes" w:hAnsi="Andes" w:cs="Arial"/>
          <w:sz w:val="22"/>
          <w:szCs w:val="22"/>
        </w:rPr>
        <w:t>Soumissionnaires/</w:t>
      </w:r>
      <w:r w:rsidR="002E1134">
        <w:rPr>
          <w:rFonts w:ascii="Andes" w:hAnsi="Andes" w:cs="Arial"/>
          <w:sz w:val="22"/>
          <w:szCs w:val="22"/>
        </w:rPr>
        <w:t xml:space="preserve"> </w:t>
      </w:r>
      <w:r w:rsidRPr="00332FCD">
        <w:rPr>
          <w:rFonts w:ascii="Andes" w:hAnsi="Andes" w:cs="Arial"/>
          <w:sz w:val="22"/>
          <w:szCs w:val="22"/>
        </w:rPr>
        <w:t>Proposants/</w:t>
      </w:r>
      <w:r w:rsidR="00D95177">
        <w:rPr>
          <w:rFonts w:ascii="Andes" w:hAnsi="Andes" w:cs="Arial"/>
          <w:sz w:val="22"/>
          <w:szCs w:val="22"/>
        </w:rPr>
        <w:t xml:space="preserve"> </w:t>
      </w:r>
      <w:r w:rsidRPr="00332FCD">
        <w:rPr>
          <w:rFonts w:ascii="Andes" w:hAnsi="Andes" w:cs="Arial"/>
          <w:sz w:val="22"/>
          <w:szCs w:val="22"/>
        </w:rPr>
        <w:t xml:space="preserve">Consultants </w:t>
      </w:r>
      <w:r w:rsidR="00F826CF" w:rsidRPr="00332FCD">
        <w:rPr>
          <w:rFonts w:ascii="Andes" w:hAnsi="Andes" w:cs="Arial"/>
          <w:sz w:val="22"/>
          <w:szCs w:val="22"/>
        </w:rPr>
        <w:t>aux différents stades du Processus de Passation des Marchés se font Par Écrit avec accusé de réception. L’</w:t>
      </w:r>
      <w:r w:rsidR="004642AA" w:rsidRPr="00332FCD">
        <w:rPr>
          <w:rFonts w:ascii="Andes" w:hAnsi="Andes" w:cs="Arial"/>
          <w:sz w:val="22"/>
          <w:szCs w:val="22"/>
        </w:rPr>
        <w:t xml:space="preserve">Emprunteur </w:t>
      </w:r>
      <w:r w:rsidR="00F826CF" w:rsidRPr="00332FCD">
        <w:rPr>
          <w:rFonts w:ascii="Andes" w:hAnsi="Andes" w:cs="Arial"/>
          <w:sz w:val="22"/>
          <w:szCs w:val="22"/>
        </w:rPr>
        <w:t>garde des traces écrites des réunions</w:t>
      </w:r>
      <w:r w:rsidR="004642AA" w:rsidRPr="00332FCD">
        <w:rPr>
          <w:rFonts w:ascii="Andes" w:hAnsi="Andes" w:cs="Arial"/>
          <w:sz w:val="22"/>
          <w:szCs w:val="22"/>
        </w:rPr>
        <w:t>,</w:t>
      </w:r>
      <w:r w:rsidR="00F826CF" w:rsidRPr="00332FCD">
        <w:rPr>
          <w:rFonts w:ascii="Andes" w:hAnsi="Andes" w:cs="Arial"/>
          <w:sz w:val="22"/>
          <w:szCs w:val="22"/>
        </w:rPr>
        <w:t xml:space="preserve"> </w:t>
      </w:r>
      <w:r w:rsidR="004642AA" w:rsidRPr="00332FCD">
        <w:rPr>
          <w:rFonts w:ascii="Andes" w:hAnsi="Andes" w:cs="Arial"/>
          <w:sz w:val="22"/>
          <w:szCs w:val="22"/>
        </w:rPr>
        <w:t xml:space="preserve">notamment celles liées à </w:t>
      </w:r>
      <w:r w:rsidR="0087523C">
        <w:rPr>
          <w:rFonts w:ascii="Andes" w:hAnsi="Andes" w:cs="Arial"/>
          <w:sz w:val="22"/>
          <w:szCs w:val="22"/>
        </w:rPr>
        <w:t>l’E</w:t>
      </w:r>
      <w:r w:rsidR="004642AA" w:rsidRPr="00332FCD">
        <w:rPr>
          <w:rFonts w:ascii="Andes" w:hAnsi="Andes" w:cs="Arial"/>
          <w:sz w:val="22"/>
          <w:szCs w:val="22"/>
        </w:rPr>
        <w:t xml:space="preserve">ngagement </w:t>
      </w:r>
      <w:r w:rsidR="0087523C">
        <w:rPr>
          <w:rFonts w:ascii="Andes" w:hAnsi="Andes" w:cs="Arial"/>
          <w:sz w:val="22"/>
          <w:szCs w:val="22"/>
        </w:rPr>
        <w:t>précoce</w:t>
      </w:r>
      <w:r w:rsidR="0087523C" w:rsidRPr="00332FCD">
        <w:rPr>
          <w:rFonts w:ascii="Andes" w:hAnsi="Andes" w:cs="Arial"/>
          <w:sz w:val="22"/>
          <w:szCs w:val="22"/>
        </w:rPr>
        <w:t xml:space="preserve"> </w:t>
      </w:r>
      <w:r w:rsidR="00390133" w:rsidRPr="00332FCD">
        <w:rPr>
          <w:rFonts w:ascii="Andes" w:hAnsi="Andes" w:cs="Arial"/>
          <w:sz w:val="22"/>
          <w:szCs w:val="22"/>
        </w:rPr>
        <w:t>du</w:t>
      </w:r>
      <w:r w:rsidR="004642AA" w:rsidRPr="00332FCD">
        <w:rPr>
          <w:rFonts w:ascii="Andes" w:hAnsi="Andes" w:cs="Arial"/>
          <w:sz w:val="22"/>
          <w:szCs w:val="22"/>
        </w:rPr>
        <w:t xml:space="preserve"> </w:t>
      </w:r>
      <w:r w:rsidR="0087523C">
        <w:rPr>
          <w:rFonts w:ascii="Andes" w:hAnsi="Andes" w:cs="Arial"/>
          <w:sz w:val="22"/>
          <w:szCs w:val="22"/>
        </w:rPr>
        <w:t>M</w:t>
      </w:r>
      <w:r w:rsidR="004642AA" w:rsidRPr="00332FCD">
        <w:rPr>
          <w:rFonts w:ascii="Andes" w:hAnsi="Andes" w:cs="Arial"/>
          <w:sz w:val="22"/>
          <w:szCs w:val="22"/>
        </w:rPr>
        <w:t xml:space="preserve">arché, au Dialogue </w:t>
      </w:r>
      <w:r w:rsidR="00390133" w:rsidRPr="00332FCD">
        <w:rPr>
          <w:rFonts w:ascii="Andes" w:hAnsi="Andes" w:cs="Arial"/>
          <w:sz w:val="22"/>
          <w:szCs w:val="22"/>
        </w:rPr>
        <w:t xml:space="preserve">Compétitif </w:t>
      </w:r>
      <w:r w:rsidR="004642AA" w:rsidRPr="00332FCD">
        <w:rPr>
          <w:rFonts w:ascii="Andes" w:hAnsi="Andes" w:cs="Arial"/>
          <w:sz w:val="22"/>
          <w:szCs w:val="22"/>
        </w:rPr>
        <w:t xml:space="preserve">et aux travaux préliminaires/demandes d’éclaircissements. </w:t>
      </w:r>
    </w:p>
    <w:p w14:paraId="167DDE1A" w14:textId="6876661D" w:rsidR="00A47678" w:rsidRPr="00332FCD" w:rsidRDefault="00732740" w:rsidP="00BF5E14">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1258" w:name="_Toc453170862"/>
      <w:bookmarkStart w:id="1259" w:name="_Toc453544284"/>
      <w:bookmarkStart w:id="1260" w:name="_Hlk5197599"/>
      <w:r w:rsidRPr="00332FCD">
        <w:rPr>
          <w:rFonts w:ascii="Andes" w:eastAsiaTheme="majorEastAsia" w:hAnsi="Andes" w:cstheme="majorBidi"/>
          <w:bCs w:val="0"/>
          <w:color w:val="C45911"/>
          <w:sz w:val="32"/>
          <w:szCs w:val="32"/>
        </w:rPr>
        <w:lastRenderedPageBreak/>
        <w:t xml:space="preserve">Avis de passation de marchés </w:t>
      </w:r>
      <w:bookmarkEnd w:id="1258"/>
      <w:bookmarkEnd w:id="1259"/>
    </w:p>
    <w:bookmarkEnd w:id="1260"/>
    <w:p w14:paraId="75BE4D4E" w14:textId="43AFB95D" w:rsidR="00D63A5C" w:rsidRPr="00332FCD" w:rsidRDefault="00732740" w:rsidP="00BF5E14">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Dans tout appel à la concurrence, il est essentiel d’annoncer en temps opportun la possibilité de concourir</w:t>
      </w:r>
      <w:r w:rsidR="004642AA" w:rsidRPr="00332FCD">
        <w:rPr>
          <w:rFonts w:ascii="Andes" w:hAnsi="Andes" w:cs="Arial"/>
          <w:sz w:val="22"/>
          <w:szCs w:val="22"/>
        </w:rPr>
        <w:t>.</w:t>
      </w:r>
      <w:r w:rsidRPr="00332FCD">
        <w:rPr>
          <w:rFonts w:ascii="Andes" w:hAnsi="Andes" w:cs="Arial"/>
          <w:sz w:val="22"/>
          <w:szCs w:val="22"/>
        </w:rPr>
        <w:t xml:space="preserve"> </w:t>
      </w:r>
      <w:r w:rsidR="00387CEC" w:rsidRPr="00332FCD">
        <w:rPr>
          <w:rFonts w:ascii="Andes" w:hAnsi="Andes" w:cs="Arial"/>
          <w:sz w:val="22"/>
          <w:szCs w:val="22"/>
        </w:rPr>
        <w:t>Un Avis Général de Passation de Marchés (AGPM) est établi pour tous les marchés financés par la Banque, qui devraient faire</w:t>
      </w:r>
      <w:r w:rsidR="006322B4" w:rsidRPr="00332FCD">
        <w:rPr>
          <w:rFonts w:ascii="Andes" w:hAnsi="Andes" w:cs="Arial"/>
          <w:sz w:val="22"/>
          <w:szCs w:val="22"/>
        </w:rPr>
        <w:t xml:space="preserve"> intervenir un </w:t>
      </w:r>
      <w:r w:rsidR="00C51DF5">
        <w:rPr>
          <w:rFonts w:ascii="Andes" w:hAnsi="Andes" w:cs="Arial"/>
          <w:sz w:val="22"/>
          <w:szCs w:val="22"/>
        </w:rPr>
        <w:t>Appel d’Offres/ à Propositions</w:t>
      </w:r>
      <w:r w:rsidR="006322B4" w:rsidRPr="00332FCD">
        <w:rPr>
          <w:rFonts w:ascii="Andes" w:hAnsi="Andes" w:cs="Arial"/>
          <w:sz w:val="22"/>
          <w:szCs w:val="22"/>
        </w:rPr>
        <w:t xml:space="preserve"> international ouvert </w:t>
      </w:r>
      <w:r w:rsidR="00387CEC" w:rsidRPr="00332FCD">
        <w:rPr>
          <w:rFonts w:ascii="Andes" w:hAnsi="Andes" w:cs="Arial"/>
          <w:sz w:val="22"/>
          <w:szCs w:val="22"/>
        </w:rPr>
        <w:t>(sauf pour les opérations comportant un programme d’importation</w:t>
      </w:r>
      <w:r w:rsidR="006322B4" w:rsidRPr="00332FCD">
        <w:rPr>
          <w:rFonts w:ascii="Andes" w:hAnsi="Andes" w:cs="Arial"/>
          <w:sz w:val="22"/>
          <w:szCs w:val="22"/>
        </w:rPr>
        <w:t>s</w:t>
      </w:r>
      <w:r w:rsidR="00387CEC" w:rsidRPr="00332FCD">
        <w:rPr>
          <w:rFonts w:ascii="Andes" w:hAnsi="Andes" w:cs="Arial"/>
          <w:sz w:val="22"/>
          <w:szCs w:val="22"/>
        </w:rPr>
        <w:t xml:space="preserve">). </w:t>
      </w:r>
      <w:r w:rsidR="008A6889" w:rsidRPr="00332FCD">
        <w:rPr>
          <w:rFonts w:ascii="Andes" w:hAnsi="Andes" w:cs="Arial"/>
          <w:sz w:val="22"/>
          <w:szCs w:val="22"/>
        </w:rPr>
        <w:t xml:space="preserve">L’Emprunteur est tenu de préparer un AGPM et de le remettre </w:t>
      </w:r>
      <w:r w:rsidR="00390133" w:rsidRPr="00332FCD">
        <w:rPr>
          <w:rFonts w:ascii="Andes" w:hAnsi="Andes" w:cs="Arial"/>
          <w:sz w:val="22"/>
          <w:szCs w:val="22"/>
        </w:rPr>
        <w:t xml:space="preserve">à </w:t>
      </w:r>
      <w:r w:rsidR="008A6889" w:rsidRPr="00332FCD">
        <w:rPr>
          <w:rFonts w:ascii="Andes" w:hAnsi="Andes" w:cs="Arial"/>
          <w:sz w:val="22"/>
          <w:szCs w:val="22"/>
        </w:rPr>
        <w:t>la Banque avant d’engager toute activité de passation des marchés dans le cadre du projet. La Banque se charge de faire publier cet avis sur</w:t>
      </w:r>
      <w:r w:rsidR="006322B4" w:rsidRPr="00332FCD">
        <w:rPr>
          <w:rFonts w:ascii="Andes" w:hAnsi="Andes" w:cs="Arial"/>
          <w:sz w:val="22"/>
          <w:szCs w:val="22"/>
        </w:rPr>
        <w:t xml:space="preserve"> son </w:t>
      </w:r>
      <w:r w:rsidR="008A6889" w:rsidRPr="00332FCD">
        <w:rPr>
          <w:rFonts w:ascii="Andes" w:hAnsi="Andes" w:cs="Arial"/>
          <w:sz w:val="22"/>
          <w:szCs w:val="22"/>
        </w:rPr>
        <w:t>site internet public. L’AGPM donne les informations suivantes</w:t>
      </w:r>
      <w:r w:rsidR="00730BDF" w:rsidRPr="00332FCD">
        <w:rPr>
          <w:rFonts w:ascii="Calibri" w:hAnsi="Calibri" w:cs="Calibri"/>
          <w:sz w:val="22"/>
          <w:szCs w:val="22"/>
        </w:rPr>
        <w:t> </w:t>
      </w:r>
      <w:r w:rsidR="00730BDF" w:rsidRPr="00332FCD">
        <w:rPr>
          <w:rFonts w:ascii="Andes" w:hAnsi="Andes" w:cs="Arial"/>
          <w:sz w:val="22"/>
          <w:szCs w:val="22"/>
        </w:rPr>
        <w:t>:</w:t>
      </w:r>
      <w:r w:rsidR="008A6889" w:rsidRPr="00332FCD">
        <w:rPr>
          <w:rFonts w:ascii="Andes" w:hAnsi="Andes" w:cs="Arial"/>
          <w:sz w:val="22"/>
          <w:szCs w:val="22"/>
        </w:rPr>
        <w:t xml:space="preserve"> </w:t>
      </w:r>
    </w:p>
    <w:p w14:paraId="20A89C94" w14:textId="0656B2D5" w:rsidR="00D63A5C" w:rsidRPr="00332FCD" w:rsidRDefault="00175FEF" w:rsidP="00BF5E14">
      <w:pPr>
        <w:pStyle w:val="Paragraphedeliste"/>
        <w:numPr>
          <w:ilvl w:val="0"/>
          <w:numId w:val="154"/>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le nom de l’Emprunteur (ou de l’Emprunteur prévu)</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w:t>
      </w:r>
    </w:p>
    <w:p w14:paraId="7F8B9B53" w14:textId="6230784A" w:rsidR="00D63A5C" w:rsidRPr="00332FCD" w:rsidRDefault="00175FEF" w:rsidP="00BF5E14">
      <w:pPr>
        <w:pStyle w:val="Paragraphedeliste"/>
        <w:numPr>
          <w:ilvl w:val="0"/>
          <w:numId w:val="154"/>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l’objet et le montant du financement</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p>
    <w:p w14:paraId="29D2BCE2" w14:textId="57D5542E" w:rsidR="00D63A5C" w:rsidRPr="00332FCD" w:rsidRDefault="00175FEF" w:rsidP="00BF5E14">
      <w:pPr>
        <w:pStyle w:val="Paragraphedeliste"/>
        <w:numPr>
          <w:ilvl w:val="0"/>
          <w:numId w:val="154"/>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 xml:space="preserve">le </w:t>
      </w:r>
      <w:r w:rsidR="00D62E40">
        <w:rPr>
          <w:rFonts w:ascii="Andes" w:eastAsiaTheme="minorHAnsi" w:hAnsi="Andes" w:cs="Arial"/>
          <w:color w:val="000000"/>
          <w:sz w:val="22"/>
          <w:szCs w:val="22"/>
        </w:rPr>
        <w:t>périmètre</w:t>
      </w:r>
      <w:r w:rsidR="00390133" w:rsidRPr="00332FCD">
        <w:rPr>
          <w:rFonts w:ascii="Andes" w:eastAsiaTheme="minorHAnsi" w:hAnsi="Andes" w:cs="Arial"/>
          <w:color w:val="000000"/>
          <w:sz w:val="22"/>
          <w:szCs w:val="22"/>
        </w:rPr>
        <w:t xml:space="preserve"> </w:t>
      </w:r>
      <w:r w:rsidRPr="00332FCD">
        <w:rPr>
          <w:rFonts w:ascii="Andes" w:eastAsiaTheme="minorHAnsi" w:hAnsi="Andes" w:cs="Arial"/>
          <w:color w:val="000000"/>
          <w:sz w:val="22"/>
          <w:szCs w:val="22"/>
        </w:rPr>
        <w:t xml:space="preserve">des marchés </w:t>
      </w:r>
      <w:r w:rsidR="00390133" w:rsidRPr="00332FCD">
        <w:rPr>
          <w:rFonts w:ascii="Andes" w:eastAsiaTheme="minorHAnsi" w:hAnsi="Andes" w:cs="Arial"/>
          <w:color w:val="000000"/>
          <w:sz w:val="22"/>
          <w:szCs w:val="22"/>
        </w:rPr>
        <w:t>et contrats reflétant le</w:t>
      </w:r>
      <w:r w:rsidRPr="00332FCD">
        <w:rPr>
          <w:rFonts w:ascii="Andes" w:eastAsiaTheme="minorHAnsi" w:hAnsi="Andes" w:cs="Arial"/>
          <w:color w:val="000000"/>
          <w:sz w:val="22"/>
          <w:szCs w:val="22"/>
        </w:rPr>
        <w:t xml:space="preserve"> Plan de Passation des Marchés</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w:t>
      </w:r>
    </w:p>
    <w:p w14:paraId="14A4FC27" w14:textId="56EFB625" w:rsidR="00D63A5C" w:rsidRPr="00332FCD" w:rsidRDefault="00175FEF" w:rsidP="00BF5E14">
      <w:pPr>
        <w:pStyle w:val="Paragraphedeliste"/>
        <w:numPr>
          <w:ilvl w:val="0"/>
          <w:numId w:val="154"/>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le point de contact de l’Emprunteur</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p>
    <w:p w14:paraId="186A13AD" w14:textId="333B1D1A" w:rsidR="000257F7" w:rsidRPr="00332FCD" w:rsidRDefault="00175FEF" w:rsidP="00BF5E14">
      <w:pPr>
        <w:pStyle w:val="Paragraphedeliste"/>
        <w:numPr>
          <w:ilvl w:val="0"/>
          <w:numId w:val="154"/>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 xml:space="preserve">l’adresse d’un site </w:t>
      </w:r>
      <w:r w:rsidR="00467A0F" w:rsidRPr="00332FCD">
        <w:rPr>
          <w:rFonts w:ascii="Andes" w:eastAsiaTheme="minorHAnsi" w:hAnsi="Andes" w:cs="Arial"/>
          <w:color w:val="000000"/>
          <w:sz w:val="22"/>
          <w:szCs w:val="22"/>
        </w:rPr>
        <w:t xml:space="preserve">internet à </w:t>
      </w:r>
      <w:r w:rsidRPr="00332FCD">
        <w:rPr>
          <w:rFonts w:ascii="Andes" w:eastAsiaTheme="minorHAnsi" w:hAnsi="Andes" w:cs="Arial"/>
          <w:color w:val="000000"/>
          <w:sz w:val="22"/>
          <w:szCs w:val="22"/>
        </w:rPr>
        <w:t>libre accès, s’il existe, sur</w:t>
      </w:r>
      <w:r w:rsidR="006322B4" w:rsidRPr="00332FCD">
        <w:rPr>
          <w:rFonts w:ascii="Andes" w:eastAsiaTheme="minorHAnsi" w:hAnsi="Andes" w:cs="Arial"/>
          <w:color w:val="000000"/>
          <w:sz w:val="22"/>
          <w:szCs w:val="22"/>
        </w:rPr>
        <w:t xml:space="preserve"> lequel </w:t>
      </w:r>
      <w:r w:rsidRPr="00332FCD">
        <w:rPr>
          <w:rFonts w:ascii="Andes" w:eastAsiaTheme="minorHAnsi" w:hAnsi="Andes" w:cs="Arial"/>
          <w:color w:val="000000"/>
          <w:sz w:val="22"/>
          <w:szCs w:val="22"/>
        </w:rPr>
        <w:t>seront placés les futurs Avis Particuliers de Passation de Marché (APPM)</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et </w:t>
      </w:r>
    </w:p>
    <w:p w14:paraId="38818D78" w14:textId="6CFF7649" w:rsidR="00A47678" w:rsidRPr="00332FCD" w:rsidRDefault="00175FEF" w:rsidP="00BF5E14">
      <w:pPr>
        <w:pStyle w:val="Paragraphedeliste"/>
        <w:numPr>
          <w:ilvl w:val="0"/>
          <w:numId w:val="154"/>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 xml:space="preserve">une indication des dates prévues, si elles sont connues, des différents marchés à </w:t>
      </w:r>
      <w:r w:rsidR="00467A0F" w:rsidRPr="00332FCD">
        <w:rPr>
          <w:rFonts w:ascii="Andes" w:eastAsiaTheme="minorHAnsi" w:hAnsi="Andes" w:cs="Arial"/>
          <w:color w:val="000000"/>
          <w:sz w:val="22"/>
          <w:szCs w:val="22"/>
        </w:rPr>
        <w:t>annoncer</w:t>
      </w:r>
      <w:r w:rsidR="00CA50EC" w:rsidRPr="00332FCD">
        <w:rPr>
          <w:rFonts w:ascii="Andes" w:eastAsiaTheme="minorHAnsi" w:hAnsi="Andes" w:cs="Arial"/>
          <w:color w:val="000000"/>
          <w:sz w:val="22"/>
          <w:szCs w:val="22"/>
        </w:rPr>
        <w:t>.</w:t>
      </w:r>
    </w:p>
    <w:p w14:paraId="5D1D0238" w14:textId="77BBA9B6" w:rsidR="000257F7" w:rsidRPr="00332FCD" w:rsidRDefault="00467A0F" w:rsidP="00BF5E14">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w:t>
      </w:r>
      <w:r w:rsidR="009A10EE" w:rsidRPr="00332FCD">
        <w:rPr>
          <w:rFonts w:ascii="Andes" w:hAnsi="Andes" w:cs="Arial"/>
          <w:sz w:val="22"/>
          <w:szCs w:val="22"/>
        </w:rPr>
        <w:t xml:space="preserve">Emprunteur </w:t>
      </w:r>
      <w:r w:rsidRPr="00332FCD">
        <w:rPr>
          <w:rFonts w:ascii="Andes" w:hAnsi="Andes" w:cs="Arial"/>
          <w:sz w:val="22"/>
          <w:szCs w:val="22"/>
        </w:rPr>
        <w:t>fait paraître l</w:t>
      </w:r>
      <w:r w:rsidRPr="00332FCD">
        <w:rPr>
          <w:rFonts w:ascii="Andes" w:eastAsiaTheme="minorHAnsi" w:hAnsi="Andes" w:cs="Arial"/>
          <w:color w:val="000000"/>
          <w:sz w:val="22"/>
          <w:szCs w:val="22"/>
        </w:rPr>
        <w:t>’APPM</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p>
    <w:p w14:paraId="3CEAFF14" w14:textId="6D03AE12" w:rsidR="000257F7" w:rsidRPr="00332FCD" w:rsidRDefault="00467A0F" w:rsidP="00BF5E14">
      <w:pPr>
        <w:pStyle w:val="Paragraphedeliste"/>
        <w:numPr>
          <w:ilvl w:val="0"/>
          <w:numId w:val="155"/>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sur son site internet à libre accès, s’il en existe un</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w:t>
      </w:r>
    </w:p>
    <w:p w14:paraId="1E4868DA" w14:textId="1BEAAA4F" w:rsidR="000257F7" w:rsidRPr="00332FCD" w:rsidRDefault="00467A0F" w:rsidP="00BF5E14">
      <w:pPr>
        <w:pStyle w:val="Paragraphedeliste"/>
        <w:numPr>
          <w:ilvl w:val="0"/>
          <w:numId w:val="155"/>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dans au moins un journal à diffusion nationale</w:t>
      </w:r>
      <w:r w:rsidR="00737675" w:rsidRPr="00332FCD">
        <w:rPr>
          <w:rFonts w:ascii="Andes" w:eastAsiaTheme="minorHAnsi" w:hAnsi="Andes" w:cs="Arial"/>
          <w:color w:val="000000"/>
          <w:sz w:val="22"/>
          <w:szCs w:val="22"/>
        </w:rPr>
        <w:t xml:space="preserve"> de son pays</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w:t>
      </w:r>
      <w:r w:rsidR="00255143">
        <w:rPr>
          <w:rFonts w:ascii="Andes" w:eastAsiaTheme="minorHAnsi" w:hAnsi="Andes" w:cs="Arial"/>
          <w:color w:val="000000"/>
          <w:sz w:val="22"/>
          <w:szCs w:val="22"/>
        </w:rPr>
        <w:t>ou</w:t>
      </w:r>
      <w:r w:rsidR="00255143" w:rsidRPr="00332FCD">
        <w:rPr>
          <w:rFonts w:ascii="Andes" w:eastAsiaTheme="minorHAnsi" w:hAnsi="Andes" w:cs="Arial"/>
          <w:color w:val="000000"/>
          <w:sz w:val="22"/>
          <w:szCs w:val="22"/>
        </w:rPr>
        <w:t xml:space="preserve"> </w:t>
      </w:r>
    </w:p>
    <w:p w14:paraId="5AEB2AB7" w14:textId="39EB5B90" w:rsidR="000257F7" w:rsidRPr="00332FCD" w:rsidRDefault="00467A0F" w:rsidP="00BF5E14">
      <w:pPr>
        <w:pStyle w:val="Paragraphedeliste"/>
        <w:numPr>
          <w:ilvl w:val="0"/>
          <w:numId w:val="155"/>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au journal officiel</w:t>
      </w:r>
      <w:r w:rsidR="00687669" w:rsidRPr="00332FCD">
        <w:rPr>
          <w:rFonts w:ascii="Andes" w:eastAsiaTheme="minorHAnsi" w:hAnsi="Andes" w:cs="Arial"/>
          <w:color w:val="000000"/>
          <w:sz w:val="22"/>
          <w:szCs w:val="22"/>
        </w:rPr>
        <w:t xml:space="preserve">.  </w:t>
      </w:r>
    </w:p>
    <w:p w14:paraId="0AD29F2D" w14:textId="164727F8" w:rsidR="000257F7" w:rsidRPr="00332FCD" w:rsidRDefault="00467A0F" w:rsidP="00FA0EEE">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Pour les marchés faisant appel à la concurrence internationale</w:t>
      </w:r>
      <w:r w:rsidR="00730BDF" w:rsidRPr="00332FCD">
        <w:rPr>
          <w:rFonts w:ascii="Calibri" w:hAnsi="Calibri" w:cs="Calibri"/>
          <w:sz w:val="22"/>
          <w:szCs w:val="22"/>
        </w:rPr>
        <w:t> </w:t>
      </w:r>
      <w:r w:rsidR="00730BDF" w:rsidRPr="00332FCD">
        <w:rPr>
          <w:rFonts w:ascii="Andes" w:hAnsi="Andes" w:cs="Arial"/>
          <w:sz w:val="22"/>
          <w:szCs w:val="22"/>
        </w:rPr>
        <w:t>:</w:t>
      </w:r>
      <w:r w:rsidR="00336669" w:rsidRPr="00332FCD">
        <w:rPr>
          <w:rFonts w:ascii="Andes" w:hAnsi="Andes" w:cs="Arial"/>
          <w:sz w:val="22"/>
          <w:szCs w:val="22"/>
        </w:rPr>
        <w:t xml:space="preserve"> </w:t>
      </w:r>
    </w:p>
    <w:p w14:paraId="6CD159D4" w14:textId="77777777" w:rsidR="005123E5" w:rsidRDefault="00467A0F" w:rsidP="00FA0EEE">
      <w:pPr>
        <w:pStyle w:val="Paragraphedeliste"/>
        <w:numPr>
          <w:ilvl w:val="0"/>
          <w:numId w:val="156"/>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 xml:space="preserve">la Banque se charge de placer simultanément </w:t>
      </w:r>
      <w:r w:rsidRPr="00332FCD">
        <w:rPr>
          <w:rFonts w:ascii="Andes" w:hAnsi="Andes" w:cs="Arial"/>
          <w:sz w:val="22"/>
          <w:szCs w:val="22"/>
        </w:rPr>
        <w:t>l</w:t>
      </w:r>
      <w:r w:rsidRPr="00332FCD">
        <w:rPr>
          <w:rFonts w:ascii="Andes" w:eastAsiaTheme="minorHAnsi" w:hAnsi="Andes" w:cs="Arial"/>
          <w:color w:val="000000"/>
          <w:sz w:val="22"/>
          <w:szCs w:val="22"/>
        </w:rPr>
        <w:t>’APPM sur son site internet public</w:t>
      </w:r>
      <w:r w:rsidR="005123E5">
        <w:rPr>
          <w:rFonts w:ascii="Andes" w:eastAsiaTheme="minorHAnsi" w:hAnsi="Andes" w:cs="Arial"/>
          <w:color w:val="000000"/>
          <w:sz w:val="22"/>
          <w:szCs w:val="22"/>
        </w:rPr>
        <w:t xml:space="preserve"> et</w:t>
      </w:r>
    </w:p>
    <w:p w14:paraId="648ABF4F" w14:textId="4726ADBB" w:rsidR="005123E5" w:rsidRPr="00332FCD" w:rsidRDefault="009D6709" w:rsidP="005123E5">
      <w:pPr>
        <w:pStyle w:val="Paragraphedeliste"/>
        <w:numPr>
          <w:ilvl w:val="0"/>
          <w:numId w:val="156"/>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 xml:space="preserve">si possible, </w:t>
      </w:r>
      <w:r w:rsidR="005123E5" w:rsidRPr="00332FCD">
        <w:rPr>
          <w:rFonts w:ascii="Andes" w:eastAsiaTheme="minorHAnsi" w:hAnsi="Andes" w:cs="Arial"/>
          <w:color w:val="000000"/>
          <w:sz w:val="22"/>
          <w:szCs w:val="22"/>
        </w:rPr>
        <w:t xml:space="preserve">l’Emprunteur doit aussi faire paraître </w:t>
      </w:r>
      <w:r w:rsidR="005123E5" w:rsidRPr="00332FCD">
        <w:rPr>
          <w:rFonts w:ascii="Andes" w:hAnsi="Andes" w:cs="Arial"/>
          <w:sz w:val="22"/>
          <w:szCs w:val="22"/>
        </w:rPr>
        <w:t>l</w:t>
      </w:r>
      <w:r w:rsidR="005123E5" w:rsidRPr="00332FCD">
        <w:rPr>
          <w:rFonts w:ascii="Andes" w:eastAsiaTheme="minorHAnsi" w:hAnsi="Andes" w:cs="Arial"/>
          <w:color w:val="000000"/>
          <w:sz w:val="22"/>
          <w:szCs w:val="22"/>
        </w:rPr>
        <w:t xml:space="preserve">’APPM </w:t>
      </w:r>
      <w:r w:rsidR="00185876">
        <w:rPr>
          <w:rFonts w:ascii="Andes" w:eastAsiaTheme="minorHAnsi" w:hAnsi="Andes" w:cs="Arial"/>
          <w:color w:val="000000"/>
          <w:sz w:val="22"/>
          <w:szCs w:val="22"/>
        </w:rPr>
        <w:t xml:space="preserve">simultanément </w:t>
      </w:r>
      <w:r w:rsidR="005123E5" w:rsidRPr="00332FCD">
        <w:rPr>
          <w:rFonts w:ascii="Andes" w:eastAsiaTheme="minorHAnsi" w:hAnsi="Andes" w:cs="Arial"/>
          <w:color w:val="000000"/>
          <w:sz w:val="22"/>
          <w:szCs w:val="22"/>
        </w:rPr>
        <w:t>dans un journal international à grand tirage</w:t>
      </w:r>
      <w:r w:rsidR="00185876">
        <w:rPr>
          <w:rFonts w:ascii="Calibri" w:eastAsiaTheme="minorHAnsi" w:hAnsi="Calibri" w:cs="Calibri"/>
          <w:color w:val="000000"/>
          <w:sz w:val="22"/>
          <w:szCs w:val="22"/>
        </w:rPr>
        <w:t>.</w:t>
      </w:r>
    </w:p>
    <w:p w14:paraId="74D847E8" w14:textId="2F51B674" w:rsidR="00A96838" w:rsidRPr="00332FCD" w:rsidRDefault="00687669" w:rsidP="00882278">
      <w:pPr>
        <w:pStyle w:val="Paragraphedeliste"/>
        <w:spacing w:before="0" w:line="240" w:lineRule="auto"/>
        <w:ind w:left="1267"/>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 xml:space="preserve">.  </w:t>
      </w:r>
    </w:p>
    <w:p w14:paraId="284B830C" w14:textId="0E419968" w:rsidR="00C811D2" w:rsidRPr="00332FCD" w:rsidRDefault="009A10EE" w:rsidP="00916DF0">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Dossiers Types de Passation de Marché</w:t>
      </w:r>
      <w:r w:rsidR="00F623F2" w:rsidRPr="00332FCD">
        <w:rPr>
          <w:rFonts w:ascii="Andes" w:eastAsiaTheme="majorEastAsia" w:hAnsi="Andes" w:cstheme="majorBidi"/>
          <w:bCs w:val="0"/>
          <w:color w:val="C45911"/>
          <w:sz w:val="32"/>
          <w:szCs w:val="32"/>
        </w:rPr>
        <w:t>s</w:t>
      </w:r>
    </w:p>
    <w:p w14:paraId="00C485E6" w14:textId="77777777" w:rsidR="008E160C" w:rsidRPr="008E160C" w:rsidRDefault="00810769" w:rsidP="008E160C">
      <w:pPr>
        <w:pStyle w:val="Paragraphedeliste"/>
        <w:numPr>
          <w:ilvl w:val="0"/>
          <w:numId w:val="78"/>
        </w:numPr>
        <w:spacing w:before="0" w:line="240" w:lineRule="auto"/>
        <w:ind w:left="634" w:hanging="634"/>
        <w:contextualSpacing w:val="0"/>
        <w:rPr>
          <w:rFonts w:ascii="Andes" w:hAnsi="Andes" w:cstheme="minorBidi"/>
          <w:sz w:val="22"/>
          <w:szCs w:val="22"/>
        </w:rPr>
      </w:pPr>
      <w:r w:rsidRPr="00516D3F">
        <w:rPr>
          <w:rFonts w:ascii="Andes" w:hAnsi="Andes" w:cs="Arial"/>
          <w:sz w:val="22"/>
          <w:szCs w:val="22"/>
        </w:rPr>
        <w:t>Pour les marchés faisant appel à la concurrence internationale, l’Emprunteur utilise les DTPM accessibles sur le site internet public de la Banque</w:t>
      </w:r>
      <w:r w:rsidR="008E160C">
        <w:rPr>
          <w:rFonts w:ascii="Andes" w:hAnsi="Andes" w:cs="Arial"/>
          <w:sz w:val="22"/>
          <w:szCs w:val="22"/>
        </w:rPr>
        <w:t xml:space="preserve"> </w:t>
      </w:r>
    </w:p>
    <w:p w14:paraId="73EF2F42" w14:textId="3A56EEC9" w:rsidR="00B67C1C" w:rsidRPr="008E160C" w:rsidRDefault="00810769" w:rsidP="008E160C">
      <w:pPr>
        <w:pStyle w:val="Paragraphedeliste"/>
        <w:spacing w:before="0" w:line="240" w:lineRule="auto"/>
        <w:ind w:left="634"/>
        <w:contextualSpacing w:val="0"/>
        <w:rPr>
          <w:rFonts w:ascii="Andes" w:hAnsi="Andes" w:cstheme="minorBidi"/>
          <w:sz w:val="22"/>
          <w:szCs w:val="22"/>
        </w:rPr>
      </w:pPr>
      <w:r w:rsidRPr="00516D3F">
        <w:rPr>
          <w:rFonts w:ascii="Andes" w:hAnsi="Andes" w:cs="Arial"/>
          <w:sz w:val="22"/>
          <w:szCs w:val="22"/>
        </w:rPr>
        <w:t>(</w:t>
      </w:r>
      <w:hyperlink r:id="rId21" w:history="1">
        <w:r w:rsidRPr="00516D3F">
          <w:rPr>
            <w:rStyle w:val="Lienhypertexte"/>
            <w:rFonts w:ascii="Andes" w:hAnsi="Andes"/>
            <w:sz w:val="22"/>
            <w:szCs w:val="22"/>
          </w:rPr>
          <w:t>www.worldbank.org/procurement/standarddocuments</w:t>
        </w:r>
      </w:hyperlink>
      <w:r w:rsidRPr="00516D3F">
        <w:rPr>
          <w:rStyle w:val="Lienhypertexte"/>
          <w:rFonts w:ascii="Andes" w:hAnsi="Andes"/>
          <w:sz w:val="22"/>
          <w:szCs w:val="22"/>
        </w:rPr>
        <w:t>)</w:t>
      </w:r>
      <w:r w:rsidRPr="00516D3F">
        <w:rPr>
          <w:rFonts w:ascii="Andes" w:hAnsi="Andes" w:cs="Arial"/>
          <w:sz w:val="22"/>
          <w:szCs w:val="22"/>
        </w:rPr>
        <w:t xml:space="preserve">. </w:t>
      </w:r>
      <w:r w:rsidRPr="008E160C">
        <w:rPr>
          <w:rFonts w:ascii="Andes" w:hAnsi="Andes" w:cs="Arial"/>
          <w:sz w:val="22"/>
          <w:szCs w:val="22"/>
        </w:rPr>
        <w:t>Pour les marchés faisant appel à la concurrence nationale, l’Emprunteur peut utiliser ses propres Dossiers de Passation des Marchés, jugés acceptables par la Banque.  A compter de la publication par l’Emprunteur, les dossiers de Passation de Marchés sont réputés par la Banque comme étant des documents publics et devront être publiquement divulgués à la demande de toute partie</w:t>
      </w:r>
      <w:r w:rsidR="00EF6ADE" w:rsidRPr="008E160C">
        <w:rPr>
          <w:rFonts w:ascii="Andes" w:hAnsi="Andes" w:cs="Arial"/>
          <w:sz w:val="22"/>
          <w:szCs w:val="22"/>
        </w:rPr>
        <w:t>.</w:t>
      </w:r>
      <w:r w:rsidR="008E38C8" w:rsidRPr="008E160C">
        <w:rPr>
          <w:rFonts w:ascii="Andes" w:hAnsi="Andes" w:cs="Arial"/>
          <w:sz w:val="22"/>
          <w:szCs w:val="22"/>
        </w:rPr>
        <w:t xml:space="preserve"> </w:t>
      </w:r>
      <w:r w:rsidR="00E34580" w:rsidRPr="008E160C">
        <w:rPr>
          <w:rFonts w:ascii="Andes" w:hAnsi="Andes" w:cs="Arial"/>
          <w:sz w:val="22"/>
          <w:szCs w:val="22"/>
        </w:rPr>
        <w:t xml:space="preserve"> </w:t>
      </w:r>
    </w:p>
    <w:p w14:paraId="39F4F741" w14:textId="06DC436D" w:rsidR="00E51192" w:rsidRPr="00332FCD" w:rsidRDefault="00F623F2" w:rsidP="00916DF0">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Normes et spécifications techniques</w:t>
      </w:r>
    </w:p>
    <w:p w14:paraId="05BE5142" w14:textId="6FBD1860" w:rsidR="00E51192" w:rsidRPr="00332FCD" w:rsidRDefault="00F623F2" w:rsidP="00916DF0">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Les normes et spécifications techniques mentionnées dans </w:t>
      </w:r>
      <w:r w:rsidR="003F1606" w:rsidRPr="00332FCD">
        <w:rPr>
          <w:rFonts w:ascii="Andes" w:hAnsi="Andes" w:cs="Arial"/>
          <w:sz w:val="22"/>
          <w:szCs w:val="22"/>
        </w:rPr>
        <w:t>les Dossiers de Passation des Marchés applicables</w:t>
      </w:r>
      <w:r w:rsidRPr="00332FCD">
        <w:rPr>
          <w:rFonts w:ascii="Andes" w:hAnsi="Andes" w:cs="Arial"/>
          <w:sz w:val="22"/>
          <w:szCs w:val="22"/>
        </w:rPr>
        <w:t xml:space="preserve"> doivent susciter la concurrence </w:t>
      </w:r>
      <w:proofErr w:type="gramStart"/>
      <w:r w:rsidRPr="00332FCD">
        <w:rPr>
          <w:rFonts w:ascii="Andes" w:hAnsi="Andes" w:cs="Arial"/>
          <w:sz w:val="22"/>
          <w:szCs w:val="22"/>
        </w:rPr>
        <w:t>la plus large possible</w:t>
      </w:r>
      <w:proofErr w:type="gramEnd"/>
      <w:r w:rsidRPr="00332FCD">
        <w:rPr>
          <w:rFonts w:ascii="Andes" w:hAnsi="Andes" w:cs="Arial"/>
          <w:sz w:val="22"/>
          <w:szCs w:val="22"/>
        </w:rPr>
        <w:t>, et faire en sorte que les</w:t>
      </w:r>
      <w:r w:rsidR="003F1606" w:rsidRPr="00332FCD">
        <w:rPr>
          <w:rFonts w:ascii="Andes" w:hAnsi="Andes" w:cs="Arial"/>
          <w:sz w:val="22"/>
          <w:szCs w:val="22"/>
        </w:rPr>
        <w:t xml:space="preserve"> marchés </w:t>
      </w:r>
      <w:r w:rsidRPr="00332FCD">
        <w:rPr>
          <w:rFonts w:ascii="Andes" w:hAnsi="Andes" w:cs="Arial"/>
          <w:sz w:val="22"/>
          <w:szCs w:val="22"/>
        </w:rPr>
        <w:lastRenderedPageBreak/>
        <w:t xml:space="preserve">satisfassent aux critères de performance et aux </w:t>
      </w:r>
      <w:r w:rsidR="003F1606" w:rsidRPr="00332FCD">
        <w:rPr>
          <w:rFonts w:ascii="Andes" w:hAnsi="Andes" w:cs="Arial"/>
          <w:sz w:val="22"/>
          <w:szCs w:val="22"/>
        </w:rPr>
        <w:t>autres conditions à respecter</w:t>
      </w:r>
      <w:r w:rsidRPr="00332FCD">
        <w:rPr>
          <w:rFonts w:ascii="Andes" w:hAnsi="Andes" w:cs="Arial"/>
          <w:sz w:val="22"/>
          <w:szCs w:val="22"/>
        </w:rPr>
        <w:t>. Dans la mesure du possible,</w:t>
      </w:r>
      <w:r w:rsidR="003F1606" w:rsidRPr="00332FCD">
        <w:rPr>
          <w:rFonts w:ascii="Andes" w:hAnsi="Andes" w:cs="Arial"/>
          <w:sz w:val="22"/>
          <w:szCs w:val="22"/>
        </w:rPr>
        <w:t xml:space="preserve"> pour les marchés faisant appel à la concurrence internationale, </w:t>
      </w:r>
      <w:r w:rsidRPr="00332FCD">
        <w:rPr>
          <w:rFonts w:ascii="Andes" w:hAnsi="Andes" w:cs="Arial"/>
          <w:sz w:val="22"/>
          <w:szCs w:val="22"/>
        </w:rPr>
        <w:t xml:space="preserve">l’Emprunteur fixera les normes </w:t>
      </w:r>
      <w:r w:rsidR="004171EA">
        <w:rPr>
          <w:rFonts w:ascii="Andes" w:hAnsi="Andes" w:cs="Arial"/>
          <w:sz w:val="22"/>
          <w:szCs w:val="22"/>
        </w:rPr>
        <w:t>(ex. technique, environnementale, sociale, information</w:t>
      </w:r>
      <w:r w:rsidR="00F1074F">
        <w:rPr>
          <w:rFonts w:ascii="Andes" w:hAnsi="Andes" w:cs="Arial"/>
          <w:sz w:val="22"/>
          <w:szCs w:val="22"/>
        </w:rPr>
        <w:t>/cybersécurité, qualité, etc.)</w:t>
      </w:r>
      <w:r w:rsidR="00D1453E">
        <w:rPr>
          <w:rFonts w:ascii="Andes" w:hAnsi="Andes" w:cs="Arial"/>
          <w:sz w:val="22"/>
          <w:szCs w:val="22"/>
        </w:rPr>
        <w:t xml:space="preserve"> </w:t>
      </w:r>
      <w:r w:rsidR="00D1453E" w:rsidRPr="00332FCD">
        <w:rPr>
          <w:rFonts w:ascii="Andes" w:hAnsi="Andes" w:cs="Arial"/>
          <w:sz w:val="22"/>
          <w:szCs w:val="22"/>
        </w:rPr>
        <w:t>auxquelles devront répondre les matériels, matériaux et modes d’exécution par référence à des normes internationales</w:t>
      </w:r>
      <w:r w:rsidRPr="00332FCD">
        <w:rPr>
          <w:rFonts w:ascii="Andes" w:hAnsi="Andes" w:cs="Arial"/>
          <w:sz w:val="22"/>
          <w:szCs w:val="22"/>
        </w:rPr>
        <w:t xml:space="preserve">. S’il n’existe pas de normes internationales ou si les normes internationales ne conviennent pas, l’Emprunteur </w:t>
      </w:r>
      <w:r w:rsidR="009E3768" w:rsidRPr="00332FCD">
        <w:rPr>
          <w:rFonts w:ascii="Andes" w:hAnsi="Andes" w:cs="Arial"/>
          <w:sz w:val="22"/>
          <w:szCs w:val="22"/>
        </w:rPr>
        <w:t xml:space="preserve">pourra </w:t>
      </w:r>
      <w:r w:rsidRPr="00332FCD">
        <w:rPr>
          <w:rFonts w:ascii="Andes" w:hAnsi="Andes" w:cs="Arial"/>
          <w:sz w:val="22"/>
          <w:szCs w:val="22"/>
        </w:rPr>
        <w:t>spécifier des normes nationales. Dans tous les cas,</w:t>
      </w:r>
      <w:r w:rsidR="008C37D4" w:rsidRPr="00332FCD">
        <w:rPr>
          <w:rFonts w:ascii="Andes" w:hAnsi="Andes" w:cs="Arial"/>
          <w:sz w:val="22"/>
          <w:szCs w:val="22"/>
        </w:rPr>
        <w:t xml:space="preserve"> les Dossiers de Passation des Marchés indiqueront </w:t>
      </w:r>
      <w:r w:rsidRPr="00332FCD">
        <w:rPr>
          <w:rFonts w:ascii="Andes" w:hAnsi="Andes" w:cs="Arial"/>
          <w:sz w:val="22"/>
          <w:szCs w:val="22"/>
        </w:rPr>
        <w:t>que seront également acceptés les matériels, matériaux</w:t>
      </w:r>
      <w:r w:rsidR="00557608">
        <w:rPr>
          <w:rFonts w:ascii="Andes" w:hAnsi="Andes" w:cs="Arial"/>
          <w:sz w:val="22"/>
          <w:szCs w:val="22"/>
        </w:rPr>
        <w:t xml:space="preserve">, </w:t>
      </w:r>
      <w:r w:rsidRPr="00332FCD">
        <w:rPr>
          <w:rFonts w:ascii="Andes" w:hAnsi="Andes" w:cs="Arial"/>
          <w:sz w:val="22"/>
          <w:szCs w:val="22"/>
        </w:rPr>
        <w:t>modes d’exécution</w:t>
      </w:r>
      <w:r w:rsidR="00F87566">
        <w:rPr>
          <w:rFonts w:ascii="Andes" w:hAnsi="Andes" w:cs="Arial"/>
          <w:sz w:val="22"/>
          <w:szCs w:val="22"/>
        </w:rPr>
        <w:t>, et/ou méthodologie</w:t>
      </w:r>
      <w:r w:rsidRPr="00332FCD">
        <w:rPr>
          <w:rFonts w:ascii="Andes" w:hAnsi="Andes" w:cs="Arial"/>
          <w:sz w:val="22"/>
          <w:szCs w:val="22"/>
        </w:rPr>
        <w:t xml:space="preserve"> conformes à d’autres normes, à la condition que celles-ci</w:t>
      </w:r>
      <w:r w:rsidR="00CF5DF5" w:rsidRPr="00332FCD">
        <w:rPr>
          <w:rFonts w:ascii="Andes" w:hAnsi="Andes" w:cs="Arial"/>
          <w:sz w:val="22"/>
          <w:szCs w:val="22"/>
        </w:rPr>
        <w:t xml:space="preserve"> soient </w:t>
      </w:r>
      <w:r w:rsidR="008C37D4" w:rsidRPr="00332FCD">
        <w:rPr>
          <w:rFonts w:ascii="Andes" w:hAnsi="Andes" w:cs="Arial"/>
          <w:sz w:val="22"/>
          <w:szCs w:val="22"/>
        </w:rPr>
        <w:t>au moins égales</w:t>
      </w:r>
      <w:r w:rsidR="008B3E3D" w:rsidRPr="00332FCD">
        <w:rPr>
          <w:rFonts w:ascii="Andes" w:hAnsi="Andes" w:cs="Arial"/>
          <w:sz w:val="22"/>
          <w:szCs w:val="22"/>
        </w:rPr>
        <w:t>,</w:t>
      </w:r>
      <w:r w:rsidR="008C37D4" w:rsidRPr="00332FCD">
        <w:rPr>
          <w:rFonts w:ascii="Andes" w:hAnsi="Andes" w:cs="Arial"/>
          <w:sz w:val="22"/>
          <w:szCs w:val="22"/>
        </w:rPr>
        <w:t xml:space="preserve"> pour l’essentiel</w:t>
      </w:r>
      <w:r w:rsidR="008B3E3D" w:rsidRPr="00332FCD">
        <w:rPr>
          <w:rFonts w:ascii="Andes" w:hAnsi="Andes" w:cs="Arial"/>
          <w:sz w:val="22"/>
          <w:szCs w:val="22"/>
        </w:rPr>
        <w:t>,</w:t>
      </w:r>
      <w:r w:rsidR="008C37D4" w:rsidRPr="00332FCD">
        <w:rPr>
          <w:rFonts w:ascii="Andes" w:hAnsi="Andes" w:cs="Arial"/>
          <w:sz w:val="22"/>
          <w:szCs w:val="22"/>
        </w:rPr>
        <w:t xml:space="preserve"> aux normes fixées</w:t>
      </w:r>
      <w:r w:rsidR="00687669" w:rsidRPr="00332FCD">
        <w:rPr>
          <w:rFonts w:ascii="Andes" w:hAnsi="Andes" w:cs="Arial"/>
          <w:sz w:val="22"/>
          <w:szCs w:val="22"/>
        </w:rPr>
        <w:t xml:space="preserve">.  </w:t>
      </w:r>
    </w:p>
    <w:p w14:paraId="713FFFE1" w14:textId="61763BAE" w:rsidR="00E51192" w:rsidRPr="00332FCD" w:rsidRDefault="00CF5DF5" w:rsidP="00916DF0">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Utilisation de noms de marque</w:t>
      </w:r>
    </w:p>
    <w:p w14:paraId="3F484FB4" w14:textId="73E63657" w:rsidR="00E51192" w:rsidRPr="00332FCD" w:rsidRDefault="008C37D4" w:rsidP="00916DF0">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Les spécifications doivent être définies en fonction des caractéristiques et/ou des critères de performance requis. II </w:t>
      </w:r>
      <w:r w:rsidR="00F76759" w:rsidRPr="00332FCD">
        <w:rPr>
          <w:rFonts w:ascii="Andes" w:hAnsi="Andes" w:cs="Arial"/>
          <w:sz w:val="22"/>
          <w:szCs w:val="22"/>
        </w:rPr>
        <w:t>convient</w:t>
      </w:r>
      <w:r w:rsidRPr="00332FCD">
        <w:rPr>
          <w:rFonts w:ascii="Andes" w:hAnsi="Andes" w:cs="Arial"/>
          <w:sz w:val="22"/>
          <w:szCs w:val="22"/>
        </w:rPr>
        <w:t xml:space="preserve"> </w:t>
      </w:r>
      <w:r w:rsidR="00F76759" w:rsidRPr="00332FCD">
        <w:rPr>
          <w:rFonts w:ascii="Andes" w:hAnsi="Andes" w:cs="Arial"/>
          <w:sz w:val="22"/>
          <w:szCs w:val="22"/>
        </w:rPr>
        <w:t>d'é</w:t>
      </w:r>
      <w:r w:rsidRPr="00332FCD">
        <w:rPr>
          <w:rFonts w:ascii="Andes" w:hAnsi="Andes" w:cs="Arial"/>
          <w:sz w:val="22"/>
          <w:szCs w:val="22"/>
        </w:rPr>
        <w:t xml:space="preserve">viter toute référence à des noms de marque, à des numéros de catalogue ou à des classifications </w:t>
      </w:r>
      <w:r w:rsidR="009E3768" w:rsidRPr="00332FCD">
        <w:rPr>
          <w:rFonts w:ascii="Andes" w:hAnsi="Andes" w:cs="Arial"/>
          <w:sz w:val="22"/>
          <w:szCs w:val="22"/>
        </w:rPr>
        <w:t>similaires</w:t>
      </w:r>
      <w:r w:rsidRPr="00332FCD">
        <w:rPr>
          <w:rFonts w:ascii="Andes" w:hAnsi="Andes" w:cs="Arial"/>
          <w:sz w:val="22"/>
          <w:szCs w:val="22"/>
        </w:rPr>
        <w:t xml:space="preserve">. S’il est nécessaire de citer un nom de marque ou le numéro de catalogue d’un fabricant particulier pour compléter une spécification qui, sinon, ne serait pas assez précise, on ajoutera les mots </w:t>
      </w:r>
      <w:r w:rsidR="00F76759" w:rsidRPr="00332FCD">
        <w:rPr>
          <w:rFonts w:ascii="Andes" w:hAnsi="Andes" w:cs="Arial"/>
          <w:sz w:val="22"/>
          <w:szCs w:val="22"/>
        </w:rPr>
        <w:t>«</w:t>
      </w:r>
      <w:r w:rsidR="00F76759" w:rsidRPr="00332FCD">
        <w:rPr>
          <w:rFonts w:ascii="Calibri" w:hAnsi="Calibri" w:cs="Calibri"/>
          <w:sz w:val="22"/>
          <w:szCs w:val="22"/>
        </w:rPr>
        <w:t> </w:t>
      </w:r>
      <w:r w:rsidRPr="00332FCD">
        <w:rPr>
          <w:rFonts w:ascii="Andes" w:hAnsi="Andes" w:cs="Arial"/>
          <w:sz w:val="22"/>
          <w:szCs w:val="22"/>
        </w:rPr>
        <w:t>ou l’équivalent</w:t>
      </w:r>
      <w:r w:rsidR="00F76759" w:rsidRPr="00332FCD">
        <w:rPr>
          <w:rFonts w:ascii="Calibri" w:hAnsi="Calibri" w:cs="Calibri"/>
          <w:sz w:val="22"/>
          <w:szCs w:val="22"/>
        </w:rPr>
        <w:t> </w:t>
      </w:r>
      <w:r w:rsidR="00F76759" w:rsidRPr="00332FCD">
        <w:rPr>
          <w:rFonts w:ascii="Andes" w:hAnsi="Andes" w:cs="Arial"/>
          <w:sz w:val="22"/>
          <w:szCs w:val="22"/>
        </w:rPr>
        <w:t>»</w:t>
      </w:r>
      <w:r w:rsidRPr="00332FCD">
        <w:rPr>
          <w:rFonts w:ascii="Andes" w:hAnsi="Andes" w:cs="Arial"/>
          <w:sz w:val="22"/>
          <w:szCs w:val="22"/>
        </w:rPr>
        <w:t xml:space="preserve"> après ce nom de marque ou numéro du catalogue</w:t>
      </w:r>
      <w:r w:rsidR="00CF5DF5" w:rsidRPr="00332FCD">
        <w:rPr>
          <w:rFonts w:ascii="Andes" w:hAnsi="Andes" w:cs="Arial"/>
          <w:sz w:val="22"/>
          <w:szCs w:val="22"/>
        </w:rPr>
        <w:t xml:space="preserve"> pour que puissent être </w:t>
      </w:r>
      <w:r w:rsidRPr="00332FCD">
        <w:rPr>
          <w:rFonts w:ascii="Andes" w:hAnsi="Andes" w:cs="Arial"/>
          <w:sz w:val="22"/>
          <w:szCs w:val="22"/>
        </w:rPr>
        <w:t xml:space="preserve">acceptées des offres de </w:t>
      </w:r>
      <w:r w:rsidR="00CF5DF5" w:rsidRPr="00332FCD">
        <w:rPr>
          <w:rFonts w:ascii="Andes" w:hAnsi="Andes" w:cs="Arial"/>
          <w:sz w:val="22"/>
          <w:szCs w:val="22"/>
        </w:rPr>
        <w:t xml:space="preserve">Fournitures </w:t>
      </w:r>
      <w:r w:rsidRPr="00332FCD">
        <w:rPr>
          <w:rFonts w:ascii="Andes" w:hAnsi="Andes" w:cs="Arial"/>
          <w:sz w:val="22"/>
          <w:szCs w:val="22"/>
        </w:rPr>
        <w:t>qui présentent des caractéristiques semblables et dont la performance est au moins</w:t>
      </w:r>
      <w:r w:rsidR="00CF5DF5" w:rsidRPr="00332FCD">
        <w:rPr>
          <w:rFonts w:ascii="Andes" w:hAnsi="Andes" w:cs="Arial"/>
          <w:sz w:val="22"/>
          <w:szCs w:val="22"/>
        </w:rPr>
        <w:t xml:space="preserve"> équivalente</w:t>
      </w:r>
      <w:r w:rsidR="008B3E3D" w:rsidRPr="00332FCD">
        <w:rPr>
          <w:rFonts w:ascii="Andes" w:hAnsi="Andes" w:cs="Arial"/>
          <w:sz w:val="22"/>
          <w:szCs w:val="22"/>
        </w:rPr>
        <w:t>,</w:t>
      </w:r>
      <w:r w:rsidR="00CF5DF5" w:rsidRPr="00332FCD">
        <w:rPr>
          <w:rFonts w:ascii="Andes" w:hAnsi="Andes" w:cs="Arial"/>
          <w:sz w:val="22"/>
          <w:szCs w:val="22"/>
        </w:rPr>
        <w:t xml:space="preserve"> pour l’essentiel</w:t>
      </w:r>
      <w:r w:rsidR="008B3E3D" w:rsidRPr="00332FCD">
        <w:rPr>
          <w:rFonts w:ascii="Andes" w:hAnsi="Andes" w:cs="Arial"/>
          <w:sz w:val="22"/>
          <w:szCs w:val="22"/>
        </w:rPr>
        <w:t>,</w:t>
      </w:r>
      <w:r w:rsidR="00CF5DF5" w:rsidRPr="00332FCD">
        <w:rPr>
          <w:rFonts w:ascii="Andes" w:hAnsi="Andes" w:cs="Arial"/>
          <w:sz w:val="22"/>
          <w:szCs w:val="22"/>
        </w:rPr>
        <w:t xml:space="preserve"> </w:t>
      </w:r>
      <w:r w:rsidRPr="00332FCD">
        <w:rPr>
          <w:rFonts w:ascii="Andes" w:hAnsi="Andes" w:cs="Arial"/>
          <w:sz w:val="22"/>
          <w:szCs w:val="22"/>
        </w:rPr>
        <w:t xml:space="preserve">à celle des </w:t>
      </w:r>
      <w:r w:rsidR="00CF5DF5" w:rsidRPr="00332FCD">
        <w:rPr>
          <w:rFonts w:ascii="Andes" w:hAnsi="Andes" w:cs="Arial"/>
          <w:sz w:val="22"/>
          <w:szCs w:val="22"/>
        </w:rPr>
        <w:t xml:space="preserve">Fournitures </w:t>
      </w:r>
      <w:r w:rsidRPr="00332FCD">
        <w:rPr>
          <w:rFonts w:ascii="Andes" w:hAnsi="Andes" w:cs="Arial"/>
          <w:sz w:val="22"/>
          <w:szCs w:val="22"/>
        </w:rPr>
        <w:t xml:space="preserve">spécifiées. </w:t>
      </w:r>
    </w:p>
    <w:p w14:paraId="542674B2" w14:textId="5ABC41F4" w:rsidR="00F865E5" w:rsidRPr="00332FCD" w:rsidRDefault="001E5704" w:rsidP="00916DF0">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1261" w:name="_Toc453170866"/>
      <w:bookmarkStart w:id="1262" w:name="_Toc453544288"/>
      <w:r w:rsidRPr="00332FCD">
        <w:rPr>
          <w:rFonts w:ascii="Andes" w:eastAsiaTheme="majorEastAsia" w:hAnsi="Andes" w:cstheme="majorBidi"/>
          <w:bCs w:val="0"/>
          <w:color w:val="C45911"/>
          <w:sz w:val="32"/>
          <w:szCs w:val="32"/>
        </w:rPr>
        <w:t xml:space="preserve">Types de contrat et arrangements contractuels </w:t>
      </w:r>
      <w:bookmarkEnd w:id="1261"/>
      <w:bookmarkEnd w:id="1262"/>
    </w:p>
    <w:p w14:paraId="6257B55E" w14:textId="424154C3" w:rsidR="00F865E5" w:rsidRPr="00332FCD" w:rsidRDefault="00D8192D" w:rsidP="00916DF0">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 choix du type de contrat et de l’arrangement contractuel tient compte de la nature, des risques et de la complexité du marché, et des aspects liés à l’O</w:t>
      </w:r>
      <w:r w:rsidR="00A67339" w:rsidRPr="00332FCD">
        <w:rPr>
          <w:rFonts w:ascii="Andes" w:hAnsi="Andes" w:cs="Arial"/>
          <w:sz w:val="22"/>
          <w:szCs w:val="22"/>
        </w:rPr>
        <w:t xml:space="preserve">ptimisation </w:t>
      </w:r>
      <w:r w:rsidRPr="00332FCD">
        <w:rPr>
          <w:rFonts w:ascii="Andes" w:hAnsi="Andes" w:cs="Arial"/>
          <w:sz w:val="22"/>
          <w:szCs w:val="22"/>
        </w:rPr>
        <w:t>D</w:t>
      </w:r>
      <w:r w:rsidR="00A67339" w:rsidRPr="00332FCD">
        <w:rPr>
          <w:rFonts w:ascii="Andes" w:hAnsi="Andes" w:cs="Arial"/>
          <w:sz w:val="22"/>
          <w:szCs w:val="22"/>
        </w:rPr>
        <w:t xml:space="preserve">es </w:t>
      </w:r>
      <w:r w:rsidRPr="00332FCD">
        <w:rPr>
          <w:rFonts w:ascii="Andes" w:hAnsi="Andes" w:cs="Arial"/>
          <w:sz w:val="22"/>
          <w:szCs w:val="22"/>
        </w:rPr>
        <w:t>R</w:t>
      </w:r>
      <w:r w:rsidR="00A67339" w:rsidRPr="00332FCD">
        <w:rPr>
          <w:rFonts w:ascii="Andes" w:hAnsi="Andes" w:cs="Arial"/>
          <w:sz w:val="22"/>
          <w:szCs w:val="22"/>
        </w:rPr>
        <w:t>essources (ODR)</w:t>
      </w:r>
      <w:r w:rsidRPr="00332FCD">
        <w:rPr>
          <w:rFonts w:ascii="Andes" w:hAnsi="Andes" w:cs="Arial"/>
          <w:sz w:val="22"/>
          <w:szCs w:val="22"/>
        </w:rPr>
        <w:t>. Les types de contrat et les arrangements contractuels applicables sont notamment les suivants</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rémunération forfaitaire, clés en main, basé sur la performance, basé sur le prix unitaire, basée sur le temps</w:t>
      </w:r>
      <w:r w:rsidR="007C00A4" w:rsidRPr="00332FCD">
        <w:rPr>
          <w:rFonts w:ascii="Andes" w:hAnsi="Andes" w:cs="Arial"/>
          <w:sz w:val="22"/>
          <w:szCs w:val="22"/>
        </w:rPr>
        <w:t xml:space="preserve"> passé</w:t>
      </w:r>
      <w:r w:rsidRPr="00332FCD">
        <w:rPr>
          <w:rFonts w:ascii="Andes" w:hAnsi="Andes" w:cs="Arial"/>
          <w:sz w:val="22"/>
          <w:szCs w:val="22"/>
        </w:rPr>
        <w:t>, Accord Cadre, construction</w:t>
      </w:r>
      <w:r w:rsidR="008B3E3D" w:rsidRPr="00332FCD">
        <w:rPr>
          <w:rFonts w:ascii="Andes" w:hAnsi="Andes" w:cs="Arial"/>
          <w:sz w:val="22"/>
          <w:szCs w:val="22"/>
        </w:rPr>
        <w:t>-exploitation-</w:t>
      </w:r>
      <w:r w:rsidRPr="00332FCD">
        <w:rPr>
          <w:rFonts w:ascii="Andes" w:hAnsi="Andes" w:cs="Arial"/>
          <w:sz w:val="22"/>
          <w:szCs w:val="22"/>
        </w:rPr>
        <w:t>pro</w:t>
      </w:r>
      <w:r w:rsidR="008B3E3D" w:rsidRPr="00332FCD">
        <w:rPr>
          <w:rFonts w:ascii="Andes" w:hAnsi="Andes" w:cs="Arial"/>
          <w:sz w:val="22"/>
          <w:szCs w:val="22"/>
        </w:rPr>
        <w:t>priété et</w:t>
      </w:r>
      <w:r w:rsidR="00B74FD1" w:rsidRPr="00332FCD">
        <w:rPr>
          <w:rFonts w:ascii="Andes" w:hAnsi="Andes" w:cs="Arial"/>
          <w:sz w:val="22"/>
          <w:szCs w:val="22"/>
        </w:rPr>
        <w:t xml:space="preserve"> construction</w:t>
      </w:r>
      <w:r w:rsidR="008B3E3D" w:rsidRPr="00332FCD">
        <w:rPr>
          <w:rFonts w:ascii="Andes" w:hAnsi="Andes" w:cs="Arial"/>
          <w:sz w:val="22"/>
          <w:szCs w:val="22"/>
        </w:rPr>
        <w:t>-</w:t>
      </w:r>
      <w:r w:rsidR="00B74FD1" w:rsidRPr="00332FCD">
        <w:rPr>
          <w:rFonts w:ascii="Andes" w:hAnsi="Andes" w:cs="Arial"/>
          <w:sz w:val="22"/>
          <w:szCs w:val="22"/>
        </w:rPr>
        <w:t>exploitation</w:t>
      </w:r>
      <w:r w:rsidR="008B3E3D" w:rsidRPr="00332FCD">
        <w:rPr>
          <w:rFonts w:ascii="Andes" w:hAnsi="Andes" w:cs="Arial"/>
          <w:sz w:val="22"/>
          <w:szCs w:val="22"/>
        </w:rPr>
        <w:t>-</w:t>
      </w:r>
      <w:r w:rsidR="00B74FD1" w:rsidRPr="00332FCD">
        <w:rPr>
          <w:rFonts w:ascii="Andes" w:hAnsi="Andes" w:cs="Arial"/>
          <w:sz w:val="22"/>
          <w:szCs w:val="22"/>
        </w:rPr>
        <w:t>transfert. Pour plus de détails, voir annexe</w:t>
      </w:r>
      <w:r w:rsidRPr="00332FCD">
        <w:rPr>
          <w:rFonts w:ascii="Andes" w:hAnsi="Andes" w:cs="Arial"/>
          <w:sz w:val="22"/>
          <w:szCs w:val="22"/>
        </w:rPr>
        <w:t xml:space="preserve"> </w:t>
      </w:r>
      <w:r w:rsidR="00F865E5" w:rsidRPr="00332FCD">
        <w:rPr>
          <w:rFonts w:ascii="Andes" w:hAnsi="Andes" w:cs="Arial"/>
          <w:sz w:val="22"/>
          <w:szCs w:val="22"/>
        </w:rPr>
        <w:t xml:space="preserve">VIII, </w:t>
      </w:r>
      <w:r w:rsidR="00B74FD1" w:rsidRPr="00332FCD">
        <w:rPr>
          <w:rFonts w:ascii="Andes" w:hAnsi="Andes" w:cs="Arial"/>
          <w:sz w:val="22"/>
          <w:szCs w:val="22"/>
        </w:rPr>
        <w:t>Types de contrat</w:t>
      </w:r>
      <w:r w:rsidR="00687669" w:rsidRPr="00332FCD">
        <w:rPr>
          <w:rFonts w:ascii="Andes" w:hAnsi="Andes" w:cs="Arial"/>
          <w:sz w:val="22"/>
          <w:szCs w:val="22"/>
        </w:rPr>
        <w:t xml:space="preserve">.  </w:t>
      </w:r>
    </w:p>
    <w:p w14:paraId="59D5B5C8" w14:textId="373ED1C8" w:rsidR="00F865E5" w:rsidRPr="00332FCD" w:rsidRDefault="00B74FD1" w:rsidP="00916DF0">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Clauses et conditions contractuelles</w:t>
      </w:r>
    </w:p>
    <w:p w14:paraId="76ABA34D" w14:textId="10426CDC" w:rsidR="00DE3F9C" w:rsidRPr="00332FCD" w:rsidRDefault="005502BB" w:rsidP="00916DF0">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Les clauses et conditions contractuelles des marchés financés par la Banque doivent comporter une répartition adéquate des droits et obligations et des risques et responsabilités. À cette fin</w:t>
      </w:r>
      <w:r w:rsidR="00F76759" w:rsidRPr="00332FCD">
        <w:rPr>
          <w:rFonts w:ascii="Andes" w:hAnsi="Andes" w:cs="Arial"/>
          <w:sz w:val="22"/>
          <w:szCs w:val="22"/>
        </w:rPr>
        <w:t xml:space="preserve">, </w:t>
      </w:r>
      <w:r w:rsidRPr="00332FCD">
        <w:rPr>
          <w:rFonts w:ascii="Andes" w:hAnsi="Andes" w:cs="Arial"/>
          <w:sz w:val="22"/>
          <w:szCs w:val="22"/>
        </w:rPr>
        <w:t>il faut déterminer quelle est la partie la mieux placé</w:t>
      </w:r>
      <w:r w:rsidR="000720DA" w:rsidRPr="00332FCD">
        <w:rPr>
          <w:rFonts w:ascii="Andes" w:hAnsi="Andes" w:cs="Arial"/>
          <w:sz w:val="22"/>
          <w:szCs w:val="22"/>
        </w:rPr>
        <w:t>e</w:t>
      </w:r>
      <w:r w:rsidRPr="00332FCD">
        <w:rPr>
          <w:rFonts w:ascii="Andes" w:hAnsi="Andes" w:cs="Arial"/>
          <w:sz w:val="22"/>
          <w:szCs w:val="22"/>
        </w:rPr>
        <w:t xml:space="preserve"> pour gérer les risques</w:t>
      </w:r>
      <w:r w:rsidR="000720DA" w:rsidRPr="00332FCD">
        <w:rPr>
          <w:rFonts w:ascii="Andes" w:hAnsi="Andes" w:cs="Arial"/>
          <w:sz w:val="22"/>
          <w:szCs w:val="22"/>
        </w:rPr>
        <w:t xml:space="preserve"> sans perdre de vue </w:t>
      </w:r>
      <w:r w:rsidRPr="00332FCD">
        <w:rPr>
          <w:rFonts w:ascii="Andes" w:hAnsi="Andes" w:cs="Arial"/>
          <w:sz w:val="22"/>
          <w:szCs w:val="22"/>
        </w:rPr>
        <w:t>les coûts et les incitations</w:t>
      </w:r>
      <w:r w:rsidR="000720DA" w:rsidRPr="00332FCD">
        <w:rPr>
          <w:rFonts w:ascii="Andes" w:hAnsi="Andes" w:cs="Arial"/>
          <w:sz w:val="22"/>
          <w:szCs w:val="22"/>
        </w:rPr>
        <w:t xml:space="preserve"> qui résultent du mode de répartition retenu. Pour plus de détails, voir </w:t>
      </w:r>
      <w:r w:rsidR="005F1593" w:rsidRPr="00332FCD">
        <w:rPr>
          <w:rFonts w:ascii="Andes" w:hAnsi="Andes" w:cs="Arial"/>
          <w:sz w:val="22"/>
          <w:szCs w:val="22"/>
        </w:rPr>
        <w:t xml:space="preserve">annexe </w:t>
      </w:r>
      <w:r w:rsidR="00DE3F9C" w:rsidRPr="00332FCD">
        <w:rPr>
          <w:rFonts w:ascii="Andes" w:hAnsi="Andes" w:cs="Arial"/>
          <w:sz w:val="22"/>
          <w:szCs w:val="22"/>
        </w:rPr>
        <w:t xml:space="preserve">IX, </w:t>
      </w:r>
      <w:r w:rsidR="005F1593" w:rsidRPr="00332FCD">
        <w:rPr>
          <w:rFonts w:ascii="Andes" w:hAnsi="Andes" w:cs="Arial"/>
          <w:sz w:val="22"/>
          <w:szCs w:val="22"/>
        </w:rPr>
        <w:t>Clauses et conditions contractuelles pour les marchés faisant appel à la concurrence internationale</w:t>
      </w:r>
      <w:r w:rsidR="00FE621C" w:rsidRPr="00332FCD">
        <w:rPr>
          <w:rFonts w:ascii="Andes" w:hAnsi="Andes" w:cs="Arial"/>
          <w:sz w:val="22"/>
          <w:szCs w:val="22"/>
        </w:rPr>
        <w:t xml:space="preserve">. </w:t>
      </w:r>
      <w:r w:rsidR="005F1593" w:rsidRPr="00332FCD">
        <w:rPr>
          <w:rFonts w:ascii="Andes" w:hAnsi="Andes" w:cs="Arial"/>
          <w:sz w:val="22"/>
          <w:szCs w:val="22"/>
        </w:rPr>
        <w:t>Les documents contractuels définissent clairement</w:t>
      </w:r>
      <w:r w:rsidR="00730BDF" w:rsidRPr="00332FCD">
        <w:rPr>
          <w:rFonts w:ascii="Calibri" w:hAnsi="Calibri" w:cs="Calibri"/>
          <w:sz w:val="22"/>
          <w:szCs w:val="22"/>
        </w:rPr>
        <w:t> </w:t>
      </w:r>
      <w:r w:rsidR="00730BDF" w:rsidRPr="00332FCD">
        <w:rPr>
          <w:rFonts w:ascii="Andes" w:hAnsi="Andes" w:cs="Arial"/>
          <w:sz w:val="22"/>
          <w:szCs w:val="22"/>
        </w:rPr>
        <w:t>:</w:t>
      </w:r>
      <w:r w:rsidR="005F1593" w:rsidRPr="00332FCD">
        <w:rPr>
          <w:rFonts w:ascii="Andes" w:hAnsi="Andes" w:cs="Arial"/>
          <w:sz w:val="22"/>
          <w:szCs w:val="22"/>
        </w:rPr>
        <w:t xml:space="preserve"> </w:t>
      </w:r>
    </w:p>
    <w:p w14:paraId="31A4C586" w14:textId="027C6EBC" w:rsidR="00DE3F9C" w:rsidRPr="00332FCD" w:rsidRDefault="00A67339" w:rsidP="00916DF0">
      <w:pPr>
        <w:pStyle w:val="Paragraphedeliste"/>
        <w:numPr>
          <w:ilvl w:val="0"/>
          <w:numId w:val="268"/>
        </w:numPr>
        <w:spacing w:before="0" w:line="240" w:lineRule="auto"/>
        <w:contextualSpacing w:val="0"/>
        <w:rPr>
          <w:rFonts w:ascii="Andes" w:hAnsi="Andes" w:cs="Arial"/>
          <w:sz w:val="22"/>
          <w:szCs w:val="22"/>
        </w:rPr>
      </w:pPr>
      <w:r w:rsidRPr="00332FCD">
        <w:rPr>
          <w:rFonts w:ascii="Andes" w:hAnsi="Andes" w:cs="Arial"/>
          <w:sz w:val="22"/>
          <w:szCs w:val="22"/>
        </w:rPr>
        <w:t xml:space="preserve">l’ampleur </w:t>
      </w:r>
      <w:r w:rsidR="005F1593" w:rsidRPr="00332FCD">
        <w:rPr>
          <w:rFonts w:ascii="Andes" w:hAnsi="Andes" w:cs="Arial"/>
          <w:sz w:val="22"/>
          <w:szCs w:val="22"/>
        </w:rPr>
        <w:t>du travail à réaliser</w:t>
      </w:r>
      <w:r w:rsidR="00730BDF" w:rsidRPr="00332FCD">
        <w:rPr>
          <w:rFonts w:ascii="Calibri" w:hAnsi="Calibri" w:cs="Calibri"/>
          <w:sz w:val="22"/>
          <w:szCs w:val="22"/>
        </w:rPr>
        <w:t> </w:t>
      </w:r>
      <w:r w:rsidR="00730BDF" w:rsidRPr="00332FCD">
        <w:rPr>
          <w:rFonts w:ascii="Andes" w:hAnsi="Andes" w:cs="Arial"/>
          <w:sz w:val="22"/>
          <w:szCs w:val="22"/>
        </w:rPr>
        <w:t>;</w:t>
      </w:r>
      <w:r w:rsidR="00F865E5" w:rsidRPr="00332FCD">
        <w:rPr>
          <w:rFonts w:ascii="Andes" w:hAnsi="Andes" w:cs="Arial"/>
          <w:sz w:val="22"/>
          <w:szCs w:val="22"/>
        </w:rPr>
        <w:t xml:space="preserve"> </w:t>
      </w:r>
    </w:p>
    <w:p w14:paraId="193A6599" w14:textId="6ABB78FC" w:rsidR="00DE3F9C" w:rsidRPr="00332FCD" w:rsidRDefault="005F1593" w:rsidP="00916DF0">
      <w:pPr>
        <w:pStyle w:val="Paragraphedeliste"/>
        <w:numPr>
          <w:ilvl w:val="0"/>
          <w:numId w:val="268"/>
        </w:numPr>
        <w:spacing w:before="0" w:line="240" w:lineRule="auto"/>
        <w:contextualSpacing w:val="0"/>
        <w:rPr>
          <w:rFonts w:ascii="Andes" w:hAnsi="Andes" w:cs="Arial"/>
          <w:sz w:val="22"/>
          <w:szCs w:val="22"/>
        </w:rPr>
      </w:pPr>
      <w:r w:rsidRPr="00332FCD">
        <w:rPr>
          <w:rFonts w:ascii="Andes" w:hAnsi="Andes" w:cs="Arial"/>
          <w:sz w:val="22"/>
          <w:szCs w:val="22"/>
        </w:rPr>
        <w:t xml:space="preserve">les Fournitures, les Travaux, les Services Autres que des Services de Consultants ou les Services de Consultants à </w:t>
      </w:r>
      <w:r w:rsidR="00A67339" w:rsidRPr="00332FCD">
        <w:rPr>
          <w:rFonts w:ascii="Andes" w:hAnsi="Andes" w:cs="Arial"/>
          <w:sz w:val="22"/>
          <w:szCs w:val="22"/>
        </w:rPr>
        <w:t>pourvoir</w:t>
      </w:r>
      <w:r w:rsidR="00A67339" w:rsidRPr="00332FCD">
        <w:rPr>
          <w:rFonts w:ascii="Calibri" w:hAnsi="Calibri" w:cs="Calibri"/>
          <w:sz w:val="22"/>
          <w:szCs w:val="22"/>
        </w:rPr>
        <w:t> </w:t>
      </w:r>
      <w:r w:rsidR="00730BDF" w:rsidRPr="00332FCD">
        <w:rPr>
          <w:rFonts w:ascii="Andes" w:hAnsi="Andes" w:cs="Arial"/>
          <w:sz w:val="22"/>
          <w:szCs w:val="22"/>
        </w:rPr>
        <w:t>;</w:t>
      </w:r>
      <w:r w:rsidR="00F865E5" w:rsidRPr="00332FCD">
        <w:rPr>
          <w:rFonts w:ascii="Andes" w:hAnsi="Andes" w:cs="Arial"/>
          <w:sz w:val="22"/>
          <w:szCs w:val="22"/>
        </w:rPr>
        <w:t xml:space="preserve"> </w:t>
      </w:r>
    </w:p>
    <w:p w14:paraId="70584FBB" w14:textId="1E1C9237" w:rsidR="00DE3F9C" w:rsidRPr="00332FCD" w:rsidRDefault="005F1593" w:rsidP="00916DF0">
      <w:pPr>
        <w:pStyle w:val="Paragraphedeliste"/>
        <w:numPr>
          <w:ilvl w:val="0"/>
          <w:numId w:val="268"/>
        </w:numPr>
        <w:spacing w:before="0" w:line="240" w:lineRule="auto"/>
        <w:contextualSpacing w:val="0"/>
        <w:rPr>
          <w:rFonts w:ascii="Andes" w:hAnsi="Andes" w:cs="Arial"/>
          <w:sz w:val="22"/>
          <w:szCs w:val="22"/>
        </w:rPr>
      </w:pPr>
      <w:r w:rsidRPr="00332FCD">
        <w:rPr>
          <w:rFonts w:ascii="Andes" w:hAnsi="Andes" w:cs="Arial"/>
          <w:sz w:val="22"/>
          <w:szCs w:val="22"/>
        </w:rPr>
        <w:t>les droits et obligations des parties contractantes</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et </w:t>
      </w:r>
    </w:p>
    <w:p w14:paraId="06F7BF22" w14:textId="6E289D03" w:rsidR="00F865E5" w:rsidRPr="00332FCD" w:rsidRDefault="00CF12EA" w:rsidP="00916DF0">
      <w:pPr>
        <w:pStyle w:val="Paragraphedeliste"/>
        <w:numPr>
          <w:ilvl w:val="0"/>
          <w:numId w:val="268"/>
        </w:numPr>
        <w:spacing w:before="0" w:line="240" w:lineRule="auto"/>
        <w:contextualSpacing w:val="0"/>
        <w:rPr>
          <w:rFonts w:ascii="Andes" w:hAnsi="Andes" w:cs="Arial"/>
          <w:sz w:val="22"/>
          <w:szCs w:val="22"/>
        </w:rPr>
      </w:pPr>
      <w:r w:rsidRPr="00332FCD">
        <w:rPr>
          <w:rFonts w:ascii="Andes" w:hAnsi="Andes" w:cs="Arial"/>
          <w:sz w:val="22"/>
          <w:szCs w:val="22"/>
        </w:rPr>
        <w:t>les autres clauses et conditions applicables</w:t>
      </w:r>
      <w:r w:rsidR="00687669" w:rsidRPr="00332FCD">
        <w:rPr>
          <w:rFonts w:ascii="Andes" w:hAnsi="Andes" w:cs="Arial"/>
          <w:sz w:val="22"/>
          <w:szCs w:val="22"/>
        </w:rPr>
        <w:t xml:space="preserve">.  </w:t>
      </w:r>
    </w:p>
    <w:p w14:paraId="696C3B1D" w14:textId="77777777" w:rsidR="00F865E5" w:rsidRPr="00332FCD" w:rsidRDefault="00F865E5" w:rsidP="00916DF0">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1263" w:name="_Toc453170868"/>
      <w:bookmarkStart w:id="1264" w:name="_Toc453544290"/>
      <w:r w:rsidRPr="00332FCD">
        <w:rPr>
          <w:rFonts w:ascii="Andes" w:eastAsiaTheme="majorEastAsia" w:hAnsi="Andes" w:cstheme="majorBidi"/>
          <w:bCs w:val="0"/>
          <w:color w:val="C45911"/>
          <w:sz w:val="32"/>
          <w:szCs w:val="32"/>
        </w:rPr>
        <w:lastRenderedPageBreak/>
        <w:t>Incoterms</w:t>
      </w:r>
      <w:bookmarkEnd w:id="1263"/>
      <w:bookmarkEnd w:id="1264"/>
    </w:p>
    <w:p w14:paraId="7824B77A" w14:textId="351D48B8" w:rsidR="00F865E5" w:rsidRPr="00332FCD" w:rsidRDefault="00CF12EA" w:rsidP="00916DF0">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Dans les marchés faisant appel à la concurrence internationale, </w:t>
      </w:r>
      <w:r w:rsidR="00A67339" w:rsidRPr="00332FCD">
        <w:rPr>
          <w:rFonts w:ascii="Andes" w:hAnsi="Andes" w:cs="Arial"/>
          <w:sz w:val="22"/>
          <w:szCs w:val="22"/>
        </w:rPr>
        <w:t xml:space="preserve">les </w:t>
      </w:r>
      <w:r w:rsidR="009447C6" w:rsidRPr="00332FCD">
        <w:rPr>
          <w:rFonts w:ascii="Andes" w:hAnsi="Andes" w:cs="Arial"/>
          <w:sz w:val="22"/>
          <w:szCs w:val="22"/>
        </w:rPr>
        <w:t xml:space="preserve">Incoterms </w:t>
      </w:r>
      <w:r w:rsidR="00A67339" w:rsidRPr="00332FCD">
        <w:rPr>
          <w:rFonts w:ascii="Andes" w:hAnsi="Andes" w:cs="Arial"/>
          <w:sz w:val="22"/>
          <w:szCs w:val="22"/>
        </w:rPr>
        <w:t xml:space="preserve">sont </w:t>
      </w:r>
      <w:r w:rsidRPr="00332FCD">
        <w:rPr>
          <w:rFonts w:ascii="Andes" w:hAnsi="Andes" w:cs="Arial"/>
          <w:sz w:val="22"/>
          <w:szCs w:val="22"/>
        </w:rPr>
        <w:t>utilisé</w:t>
      </w:r>
      <w:r w:rsidR="00A67339" w:rsidRPr="00332FCD">
        <w:rPr>
          <w:rFonts w:ascii="Andes" w:hAnsi="Andes" w:cs="Arial"/>
          <w:sz w:val="22"/>
          <w:szCs w:val="22"/>
        </w:rPr>
        <w:t>s</w:t>
      </w:r>
      <w:r w:rsidRPr="00332FCD">
        <w:rPr>
          <w:rFonts w:ascii="Andes" w:hAnsi="Andes" w:cs="Arial"/>
          <w:sz w:val="22"/>
          <w:szCs w:val="22"/>
        </w:rPr>
        <w:t xml:space="preserve"> pour les marchés de Fournitures. Les Dossiers de Passation des Marchés précisent la version d’</w:t>
      </w:r>
      <w:r w:rsidR="009447C6" w:rsidRPr="00332FCD">
        <w:rPr>
          <w:rFonts w:ascii="Andes" w:hAnsi="Andes" w:cs="Arial"/>
          <w:sz w:val="22"/>
          <w:szCs w:val="22"/>
        </w:rPr>
        <w:t xml:space="preserve">Incoterms </w:t>
      </w:r>
      <w:r w:rsidRPr="00332FCD">
        <w:rPr>
          <w:rFonts w:ascii="Andes" w:hAnsi="Andes" w:cs="Arial"/>
          <w:sz w:val="22"/>
          <w:szCs w:val="22"/>
        </w:rPr>
        <w:t>qui doit être utilisé</w:t>
      </w:r>
      <w:r w:rsidR="008B3E3D" w:rsidRPr="00332FCD">
        <w:rPr>
          <w:rFonts w:ascii="Andes" w:hAnsi="Andes" w:cs="Arial"/>
          <w:sz w:val="22"/>
          <w:szCs w:val="22"/>
        </w:rPr>
        <w:t>e</w:t>
      </w:r>
      <w:r w:rsidR="00687669" w:rsidRPr="00332FCD">
        <w:rPr>
          <w:rFonts w:ascii="Andes" w:hAnsi="Andes" w:cs="Arial"/>
          <w:sz w:val="22"/>
          <w:szCs w:val="22"/>
        </w:rPr>
        <w:t xml:space="preserve">.  </w:t>
      </w:r>
    </w:p>
    <w:p w14:paraId="339FAB66" w14:textId="548F2E91" w:rsidR="00C811D2" w:rsidRPr="00332FCD" w:rsidRDefault="00F40ECD" w:rsidP="00916DF0">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1265" w:name="_Toc453170869"/>
      <w:bookmarkStart w:id="1266" w:name="_Toc453544291"/>
      <w:r w:rsidRPr="00332FCD">
        <w:rPr>
          <w:rFonts w:ascii="Andes" w:eastAsiaTheme="majorEastAsia" w:hAnsi="Andes" w:cstheme="majorBidi"/>
          <w:bCs w:val="0"/>
          <w:color w:val="C45911"/>
          <w:sz w:val="32"/>
          <w:szCs w:val="32"/>
        </w:rPr>
        <w:t xml:space="preserve">Éclaircissements sur les Dossiers de Passation des Marchés </w:t>
      </w:r>
      <w:bookmarkEnd w:id="1265"/>
      <w:bookmarkEnd w:id="1266"/>
    </w:p>
    <w:p w14:paraId="0F7F2713" w14:textId="03CEB4EF" w:rsidR="00D9402C" w:rsidRPr="00332FCD" w:rsidRDefault="00ED31F1" w:rsidP="00916DF0">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Les Candidats/Soumissionnaire</w:t>
      </w:r>
      <w:r w:rsidR="00F76759" w:rsidRPr="00332FCD">
        <w:rPr>
          <w:rFonts w:ascii="Andes" w:hAnsi="Andes" w:cs="Arial"/>
          <w:sz w:val="22"/>
          <w:szCs w:val="22"/>
        </w:rPr>
        <w:t>s/P</w:t>
      </w:r>
      <w:r w:rsidRPr="00332FCD">
        <w:rPr>
          <w:rFonts w:ascii="Andes" w:hAnsi="Andes" w:cs="Arial"/>
          <w:sz w:val="22"/>
          <w:szCs w:val="22"/>
        </w:rPr>
        <w:t xml:space="preserve">roposants/Consultants potentiels peuvent demander Par Écrit des éclaircissements sur les Dossiers de Passation des Marchés publiés par l’Emprunteur. La réponse de l’Emprunteur à une demande d’éclaircissements ne doit pas révéler d’informations susceptibles de procurer un avantage </w:t>
      </w:r>
      <w:r w:rsidR="008B3E3D" w:rsidRPr="00332FCD">
        <w:rPr>
          <w:rFonts w:ascii="Andes" w:hAnsi="Andes" w:cs="Arial"/>
          <w:sz w:val="22"/>
          <w:szCs w:val="22"/>
        </w:rPr>
        <w:t>injuste</w:t>
      </w:r>
      <w:r w:rsidRPr="00332FCD">
        <w:rPr>
          <w:rFonts w:ascii="Andes" w:hAnsi="Andes" w:cs="Arial"/>
          <w:sz w:val="22"/>
          <w:szCs w:val="22"/>
        </w:rPr>
        <w:t xml:space="preserve">. </w:t>
      </w:r>
      <w:r w:rsidR="00FE6878" w:rsidRPr="00332FCD">
        <w:rPr>
          <w:rFonts w:ascii="Andes" w:hAnsi="Andes" w:cs="Arial"/>
          <w:sz w:val="22"/>
          <w:szCs w:val="22"/>
        </w:rPr>
        <w:t xml:space="preserve">Tous les éclaircissements et </w:t>
      </w:r>
      <w:r w:rsidR="00275304" w:rsidRPr="00332FCD">
        <w:rPr>
          <w:rFonts w:ascii="Andes" w:hAnsi="Andes" w:cs="Arial"/>
          <w:sz w:val="22"/>
          <w:szCs w:val="22"/>
        </w:rPr>
        <w:t>les addendas</w:t>
      </w:r>
      <w:r w:rsidR="00FE6878" w:rsidRPr="00332FCD">
        <w:rPr>
          <w:rFonts w:ascii="Andes" w:hAnsi="Andes" w:cs="Arial"/>
          <w:sz w:val="22"/>
          <w:szCs w:val="22"/>
        </w:rPr>
        <w:t xml:space="preserve"> relatifs aux do</w:t>
      </w:r>
      <w:r w:rsidR="003A07A0" w:rsidRPr="00332FCD">
        <w:rPr>
          <w:rFonts w:ascii="Andes" w:hAnsi="Andes" w:cs="Arial"/>
          <w:sz w:val="22"/>
          <w:szCs w:val="22"/>
        </w:rPr>
        <w:t>ssiers</w:t>
      </w:r>
      <w:r w:rsidR="00FE6878" w:rsidRPr="00332FCD">
        <w:rPr>
          <w:rFonts w:ascii="Andes" w:hAnsi="Andes" w:cs="Arial"/>
          <w:sz w:val="22"/>
          <w:szCs w:val="22"/>
        </w:rPr>
        <w:t xml:space="preserve"> de </w:t>
      </w:r>
      <w:r w:rsidR="00A34EE9" w:rsidRPr="00332FCD">
        <w:rPr>
          <w:rFonts w:ascii="Andes" w:hAnsi="Andes" w:cs="Arial"/>
          <w:sz w:val="22"/>
          <w:szCs w:val="22"/>
        </w:rPr>
        <w:t>préqualification</w:t>
      </w:r>
      <w:r w:rsidR="00FE6878" w:rsidRPr="00332FCD">
        <w:rPr>
          <w:rFonts w:ascii="Andes" w:hAnsi="Andes" w:cs="Arial"/>
          <w:sz w:val="22"/>
          <w:szCs w:val="22"/>
        </w:rPr>
        <w:t>, de sélection initiale, d’</w:t>
      </w:r>
      <w:r w:rsidR="00B72BEF">
        <w:rPr>
          <w:rFonts w:ascii="Andes" w:hAnsi="Andes" w:cs="Arial"/>
          <w:sz w:val="22"/>
          <w:szCs w:val="22"/>
        </w:rPr>
        <w:t>A</w:t>
      </w:r>
      <w:r w:rsidR="00FE6878" w:rsidRPr="00332FCD">
        <w:rPr>
          <w:rFonts w:ascii="Andes" w:hAnsi="Andes" w:cs="Arial"/>
          <w:sz w:val="22"/>
          <w:szCs w:val="22"/>
        </w:rPr>
        <w:t>ppel d’</w:t>
      </w:r>
      <w:r w:rsidR="00B72BEF">
        <w:rPr>
          <w:rFonts w:ascii="Andes" w:hAnsi="Andes" w:cs="Arial"/>
          <w:sz w:val="22"/>
          <w:szCs w:val="22"/>
        </w:rPr>
        <w:t>O</w:t>
      </w:r>
      <w:r w:rsidR="00FE6878" w:rsidRPr="00332FCD">
        <w:rPr>
          <w:rFonts w:ascii="Andes" w:hAnsi="Andes" w:cs="Arial"/>
          <w:sz w:val="22"/>
          <w:szCs w:val="22"/>
        </w:rPr>
        <w:t>ffres et d’</w:t>
      </w:r>
      <w:r w:rsidR="00B72BEF">
        <w:rPr>
          <w:rFonts w:ascii="Andes" w:hAnsi="Andes" w:cs="Arial"/>
          <w:sz w:val="22"/>
          <w:szCs w:val="22"/>
        </w:rPr>
        <w:t>A</w:t>
      </w:r>
      <w:r w:rsidR="00FE6878" w:rsidRPr="00332FCD">
        <w:rPr>
          <w:rFonts w:ascii="Andes" w:hAnsi="Andes" w:cs="Arial"/>
          <w:sz w:val="22"/>
          <w:szCs w:val="22"/>
        </w:rPr>
        <w:t xml:space="preserve">ppel à </w:t>
      </w:r>
      <w:r w:rsidR="00A34EE9">
        <w:rPr>
          <w:rFonts w:ascii="Andes" w:hAnsi="Andes" w:cs="Arial"/>
          <w:sz w:val="22"/>
          <w:szCs w:val="22"/>
        </w:rPr>
        <w:t>P</w:t>
      </w:r>
      <w:r w:rsidR="00FE6878" w:rsidRPr="00332FCD">
        <w:rPr>
          <w:rFonts w:ascii="Andes" w:hAnsi="Andes" w:cs="Arial"/>
          <w:sz w:val="22"/>
          <w:szCs w:val="22"/>
        </w:rPr>
        <w:t>ropositions doivent être établis Par Écrit et adressé</w:t>
      </w:r>
      <w:r w:rsidR="00FF2D6E" w:rsidRPr="00332FCD">
        <w:rPr>
          <w:rFonts w:ascii="Andes" w:hAnsi="Andes" w:cs="Arial"/>
          <w:sz w:val="22"/>
          <w:szCs w:val="22"/>
        </w:rPr>
        <w:t>s</w:t>
      </w:r>
      <w:r w:rsidR="00FE6878" w:rsidRPr="00332FCD">
        <w:rPr>
          <w:rFonts w:ascii="Andes" w:hAnsi="Andes" w:cs="Arial"/>
          <w:sz w:val="22"/>
          <w:szCs w:val="22"/>
        </w:rPr>
        <w:t xml:space="preserve"> simultanément à tous les destinataires des documents originaux et à tous les Candidats/Soumissionnaires/Proposants/Consultants potentiels </w:t>
      </w:r>
      <w:r w:rsidR="003A07A0" w:rsidRPr="00332FCD">
        <w:rPr>
          <w:rFonts w:ascii="Andes" w:hAnsi="Andes" w:cs="Arial"/>
          <w:sz w:val="22"/>
          <w:szCs w:val="22"/>
        </w:rPr>
        <w:t>exis</w:t>
      </w:r>
      <w:r w:rsidR="008B3E3D" w:rsidRPr="00332FCD">
        <w:rPr>
          <w:rFonts w:ascii="Andes" w:hAnsi="Andes" w:cs="Arial"/>
          <w:sz w:val="22"/>
          <w:szCs w:val="22"/>
        </w:rPr>
        <w:t>tants</w:t>
      </w:r>
      <w:r w:rsidR="00FF2D6E" w:rsidRPr="00332FCD">
        <w:rPr>
          <w:rFonts w:ascii="Andes" w:hAnsi="Andes" w:cs="Arial"/>
          <w:sz w:val="22"/>
          <w:szCs w:val="22"/>
        </w:rPr>
        <w:t xml:space="preserve">, avec un délai suffisant pour leur permettre de prendre les dispositions voulues. </w:t>
      </w:r>
    </w:p>
    <w:p w14:paraId="1C0AAE2A" w14:textId="6F9FC412" w:rsidR="007D0293" w:rsidRDefault="00FF2D6E" w:rsidP="00916DF0">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Toute modification apportée à des Dossiers de Passation des Marchés déjà publiés doit être faite Par Écrit et prendre la forme d’un addendum. Si nécessaire, la date limite de remise des Candidatures/Offre</w:t>
      </w:r>
      <w:r w:rsidR="005D62AD" w:rsidRPr="00332FCD">
        <w:rPr>
          <w:rFonts w:ascii="Andes" w:hAnsi="Andes" w:cs="Arial"/>
          <w:sz w:val="22"/>
          <w:szCs w:val="22"/>
        </w:rPr>
        <w:t>s</w:t>
      </w:r>
      <w:r w:rsidRPr="00332FCD">
        <w:rPr>
          <w:rFonts w:ascii="Andes" w:hAnsi="Andes" w:cs="Arial"/>
          <w:sz w:val="22"/>
          <w:szCs w:val="22"/>
        </w:rPr>
        <w:t>/</w:t>
      </w:r>
      <w:r w:rsidR="005D62AD" w:rsidRPr="00332FCD">
        <w:rPr>
          <w:rFonts w:ascii="Andes" w:hAnsi="Andes" w:cs="Arial"/>
          <w:sz w:val="22"/>
          <w:szCs w:val="22"/>
        </w:rPr>
        <w:t xml:space="preserve">Propositions </w:t>
      </w:r>
      <w:r w:rsidRPr="00332FCD">
        <w:rPr>
          <w:rFonts w:ascii="Andes" w:hAnsi="Andes" w:cs="Arial"/>
          <w:sz w:val="22"/>
          <w:szCs w:val="22"/>
        </w:rPr>
        <w:t xml:space="preserve">est repoussée. </w:t>
      </w:r>
    </w:p>
    <w:p w14:paraId="6EE5203C" w14:textId="3EBCCDC0" w:rsidR="00AA02CB" w:rsidRPr="00882278" w:rsidRDefault="00AA02CB" w:rsidP="00AA02CB">
      <w:pPr>
        <w:pStyle w:val="Titre1"/>
        <w:spacing w:before="240"/>
        <w:rPr>
          <w:rFonts w:ascii="Andes" w:eastAsiaTheme="majorEastAsia" w:hAnsi="Andes" w:cstheme="majorBidi"/>
          <w:color w:val="C45911"/>
          <w:sz w:val="32"/>
          <w:szCs w:val="32"/>
        </w:rPr>
      </w:pPr>
      <w:r w:rsidRPr="00882278">
        <w:rPr>
          <w:rFonts w:ascii="Andes" w:eastAsiaTheme="majorEastAsia" w:hAnsi="Andes" w:cstheme="majorBidi"/>
          <w:color w:val="C45911"/>
          <w:sz w:val="32"/>
          <w:szCs w:val="32"/>
        </w:rPr>
        <w:t xml:space="preserve">Paiement direct par la </w:t>
      </w:r>
      <w:r w:rsidR="00BA1B76">
        <w:rPr>
          <w:rFonts w:ascii="Andes" w:eastAsiaTheme="majorEastAsia" w:hAnsi="Andes" w:cstheme="majorBidi"/>
          <w:color w:val="C45911"/>
          <w:sz w:val="32"/>
          <w:szCs w:val="32"/>
        </w:rPr>
        <w:t>B</w:t>
      </w:r>
      <w:r w:rsidRPr="00882278">
        <w:rPr>
          <w:rFonts w:ascii="Andes" w:eastAsiaTheme="majorEastAsia" w:hAnsi="Andes" w:cstheme="majorBidi"/>
          <w:color w:val="C45911"/>
          <w:sz w:val="32"/>
          <w:szCs w:val="32"/>
        </w:rPr>
        <w:t>anque</w:t>
      </w:r>
    </w:p>
    <w:p w14:paraId="4702F8B5" w14:textId="7016CF04" w:rsidR="00AA02CB" w:rsidRPr="00882278" w:rsidRDefault="00AA02CB" w:rsidP="008E0C0F">
      <w:pPr>
        <w:pStyle w:val="Paragraphedeliste"/>
        <w:numPr>
          <w:ilvl w:val="0"/>
          <w:numId w:val="78"/>
        </w:numPr>
        <w:spacing w:before="0" w:line="240" w:lineRule="auto"/>
        <w:ind w:left="634" w:hanging="634"/>
        <w:contextualSpacing w:val="0"/>
        <w:rPr>
          <w:rFonts w:ascii="Andes" w:hAnsi="Andes" w:cs="Arial"/>
          <w:sz w:val="22"/>
          <w:szCs w:val="22"/>
        </w:rPr>
      </w:pPr>
      <w:r w:rsidRPr="00882278">
        <w:rPr>
          <w:rFonts w:ascii="Andes" w:hAnsi="Andes" w:cs="Arial"/>
          <w:sz w:val="22"/>
          <w:szCs w:val="22"/>
        </w:rPr>
        <w:t xml:space="preserve">Pour les marchés dont le coût est estimé à plus de 10 millions </w:t>
      </w:r>
      <w:r w:rsidR="00B8550B">
        <w:rPr>
          <w:rFonts w:ascii="Andes" w:hAnsi="Andes" w:cs="Arial"/>
          <w:sz w:val="22"/>
          <w:szCs w:val="22"/>
        </w:rPr>
        <w:t>de dollars des Etats-Unis</w:t>
      </w:r>
      <w:r w:rsidRPr="00882278">
        <w:rPr>
          <w:rFonts w:ascii="Andes" w:hAnsi="Andes" w:cs="Arial"/>
          <w:sz w:val="22"/>
          <w:szCs w:val="22"/>
        </w:rPr>
        <w:t xml:space="preserve">, attribués </w:t>
      </w:r>
      <w:r w:rsidR="00404AE1">
        <w:rPr>
          <w:rFonts w:ascii="Andes" w:hAnsi="Andes" w:cs="Arial"/>
          <w:sz w:val="22"/>
          <w:szCs w:val="22"/>
        </w:rPr>
        <w:t>par</w:t>
      </w:r>
      <w:r w:rsidRPr="00882278">
        <w:rPr>
          <w:rFonts w:ascii="Andes" w:hAnsi="Andes" w:cs="Arial"/>
          <w:sz w:val="22"/>
          <w:szCs w:val="22"/>
        </w:rPr>
        <w:t xml:space="preserve"> </w:t>
      </w:r>
      <w:r w:rsidR="00C05CD6">
        <w:rPr>
          <w:rFonts w:ascii="Andes" w:hAnsi="Andes" w:cs="Arial"/>
          <w:sz w:val="22"/>
          <w:szCs w:val="22"/>
        </w:rPr>
        <w:t>mise en concurrence i</w:t>
      </w:r>
      <w:r w:rsidRPr="00882278">
        <w:rPr>
          <w:rFonts w:ascii="Andes" w:hAnsi="Andes" w:cs="Arial"/>
          <w:sz w:val="22"/>
          <w:szCs w:val="22"/>
        </w:rPr>
        <w:t>nternational</w:t>
      </w:r>
      <w:r w:rsidR="00C05CD6">
        <w:rPr>
          <w:rFonts w:ascii="Andes" w:hAnsi="Andes" w:cs="Arial"/>
          <w:sz w:val="22"/>
          <w:szCs w:val="22"/>
        </w:rPr>
        <w:t>e</w:t>
      </w:r>
      <w:r w:rsidR="00C136CF">
        <w:rPr>
          <w:rFonts w:ascii="Andes" w:hAnsi="Andes" w:cs="Arial"/>
          <w:sz w:val="22"/>
          <w:szCs w:val="22"/>
        </w:rPr>
        <w:t xml:space="preserve"> ou </w:t>
      </w:r>
      <w:r w:rsidR="00404AE1">
        <w:rPr>
          <w:rFonts w:ascii="Andes" w:hAnsi="Andes" w:cs="Arial"/>
          <w:sz w:val="22"/>
          <w:szCs w:val="22"/>
        </w:rPr>
        <w:t xml:space="preserve">par </w:t>
      </w:r>
      <w:r w:rsidR="00C136CF">
        <w:rPr>
          <w:rFonts w:ascii="Andes" w:hAnsi="Andes" w:cs="Arial"/>
          <w:sz w:val="22"/>
          <w:szCs w:val="22"/>
        </w:rPr>
        <w:t>Entente</w:t>
      </w:r>
      <w:r w:rsidRPr="00882278">
        <w:rPr>
          <w:rFonts w:ascii="Andes" w:hAnsi="Andes" w:cs="Arial"/>
          <w:sz w:val="22"/>
          <w:szCs w:val="22"/>
        </w:rPr>
        <w:t xml:space="preserve"> directe, la Banque proposera aux </w:t>
      </w:r>
      <w:r w:rsidR="00C136CF">
        <w:rPr>
          <w:rFonts w:ascii="Andes" w:hAnsi="Andes" w:cs="Arial"/>
          <w:sz w:val="22"/>
          <w:szCs w:val="22"/>
        </w:rPr>
        <w:t>E</w:t>
      </w:r>
      <w:r w:rsidRPr="00882278">
        <w:rPr>
          <w:rFonts w:ascii="Andes" w:hAnsi="Andes" w:cs="Arial"/>
          <w:sz w:val="22"/>
          <w:szCs w:val="22"/>
        </w:rPr>
        <w:t>mprunteurs</w:t>
      </w:r>
      <w:r w:rsidR="003E2458">
        <w:rPr>
          <w:rFonts w:ascii="Andes" w:hAnsi="Andes" w:cs="Arial"/>
          <w:sz w:val="22"/>
          <w:szCs w:val="22"/>
        </w:rPr>
        <w:t>,</w:t>
      </w:r>
      <w:r w:rsidR="00C136CF">
        <w:rPr>
          <w:rFonts w:ascii="Andes" w:hAnsi="Andes" w:cs="Arial"/>
          <w:sz w:val="22"/>
          <w:szCs w:val="22"/>
        </w:rPr>
        <w:t xml:space="preserve"> </w:t>
      </w:r>
      <w:r w:rsidRPr="00882278">
        <w:rPr>
          <w:rFonts w:ascii="Andes" w:hAnsi="Andes" w:cs="Arial"/>
          <w:sz w:val="22"/>
          <w:szCs w:val="22"/>
        </w:rPr>
        <w:t xml:space="preserve">conformément au cadre de décaissement </w:t>
      </w:r>
      <w:r w:rsidR="003E2458">
        <w:rPr>
          <w:rFonts w:ascii="Andes" w:hAnsi="Andes" w:cs="Arial"/>
          <w:sz w:val="22"/>
          <w:szCs w:val="22"/>
        </w:rPr>
        <w:t xml:space="preserve">de </w:t>
      </w:r>
      <w:r w:rsidR="00C136CF">
        <w:rPr>
          <w:rFonts w:ascii="Andes" w:hAnsi="Andes" w:cs="Arial"/>
          <w:sz w:val="22"/>
          <w:szCs w:val="22"/>
        </w:rPr>
        <w:t>la Banque</w:t>
      </w:r>
      <w:r w:rsidR="003E2458">
        <w:rPr>
          <w:rFonts w:ascii="Andes" w:hAnsi="Andes" w:cs="Arial"/>
          <w:sz w:val="22"/>
          <w:szCs w:val="22"/>
        </w:rPr>
        <w:t>,</w:t>
      </w:r>
      <w:r w:rsidRPr="00882278">
        <w:rPr>
          <w:rFonts w:ascii="Andes" w:hAnsi="Andes" w:cs="Arial"/>
          <w:sz w:val="22"/>
          <w:szCs w:val="22"/>
        </w:rPr>
        <w:t xml:space="preserve"> d'effectuer les paiements au nom de l'</w:t>
      </w:r>
      <w:r w:rsidR="00756BBC">
        <w:rPr>
          <w:rFonts w:ascii="Andes" w:hAnsi="Andes" w:cs="Arial"/>
          <w:sz w:val="22"/>
          <w:szCs w:val="22"/>
        </w:rPr>
        <w:t>E</w:t>
      </w:r>
      <w:r w:rsidRPr="00882278">
        <w:rPr>
          <w:rFonts w:ascii="Andes" w:hAnsi="Andes" w:cs="Arial"/>
          <w:sz w:val="22"/>
          <w:szCs w:val="22"/>
        </w:rPr>
        <w:t>mprunteur directement au fournisseur, à l'entrepreneur ou au consultant</w:t>
      </w:r>
      <w:r w:rsidR="00756BBC">
        <w:rPr>
          <w:rFonts w:ascii="Andes" w:hAnsi="Andes" w:cs="Arial"/>
          <w:sz w:val="22"/>
          <w:szCs w:val="22"/>
        </w:rPr>
        <w:t xml:space="preserve"> étranger</w:t>
      </w:r>
      <w:r w:rsidRPr="00882278">
        <w:rPr>
          <w:rFonts w:ascii="Andes" w:hAnsi="Andes" w:cs="Arial"/>
          <w:sz w:val="22"/>
          <w:szCs w:val="22"/>
        </w:rPr>
        <w:t xml:space="preserve"> pour la part </w:t>
      </w:r>
      <w:r w:rsidR="008E0C0F">
        <w:rPr>
          <w:rFonts w:ascii="Andes" w:hAnsi="Andes" w:cs="Arial"/>
          <w:sz w:val="22"/>
          <w:szCs w:val="22"/>
        </w:rPr>
        <w:t>d</w:t>
      </w:r>
      <w:r w:rsidR="008E0C0F" w:rsidRPr="001665D1">
        <w:rPr>
          <w:rFonts w:ascii="Andes" w:hAnsi="Andes" w:cs="Arial"/>
          <w:sz w:val="22"/>
          <w:szCs w:val="22"/>
        </w:rPr>
        <w:t>es dépenses éligibles</w:t>
      </w:r>
      <w:r w:rsidR="008E0C0F">
        <w:rPr>
          <w:rFonts w:ascii="Andes" w:hAnsi="Andes" w:cs="Arial"/>
          <w:sz w:val="22"/>
          <w:szCs w:val="22"/>
        </w:rPr>
        <w:t xml:space="preserve"> </w:t>
      </w:r>
      <w:r w:rsidR="00611FC9">
        <w:rPr>
          <w:rFonts w:ascii="Andes" w:hAnsi="Andes" w:cs="Arial"/>
          <w:sz w:val="22"/>
          <w:szCs w:val="22"/>
        </w:rPr>
        <w:t xml:space="preserve">financée par </w:t>
      </w:r>
      <w:r w:rsidRPr="00882278">
        <w:rPr>
          <w:rFonts w:ascii="Andes" w:hAnsi="Andes" w:cs="Arial"/>
          <w:sz w:val="22"/>
          <w:szCs w:val="22"/>
        </w:rPr>
        <w:t xml:space="preserve">la Banque, à moins que la méthode de décaissement </w:t>
      </w:r>
      <w:r w:rsidR="00285A4D">
        <w:rPr>
          <w:rFonts w:ascii="Andes" w:hAnsi="Andes" w:cs="Arial"/>
          <w:sz w:val="22"/>
          <w:szCs w:val="22"/>
        </w:rPr>
        <w:t>par E</w:t>
      </w:r>
      <w:r w:rsidRPr="00882278">
        <w:rPr>
          <w:rFonts w:ascii="Andes" w:hAnsi="Andes" w:cs="Arial"/>
          <w:sz w:val="22"/>
          <w:szCs w:val="22"/>
        </w:rPr>
        <w:t>ngagement spécial ne soit utilisée.</w:t>
      </w:r>
    </w:p>
    <w:p w14:paraId="7E2B447B" w14:textId="2F4CDA3A" w:rsidR="00FD149D" w:rsidRPr="00332FCD" w:rsidRDefault="00FE568C" w:rsidP="00916DF0">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1267" w:name="_Toc408418484"/>
      <w:bookmarkStart w:id="1268" w:name="_Toc409085714"/>
      <w:bookmarkStart w:id="1269" w:name="_Toc409085991"/>
      <w:bookmarkStart w:id="1270" w:name="_Toc409086268"/>
      <w:bookmarkStart w:id="1271" w:name="_Toc409248878"/>
      <w:bookmarkStart w:id="1272" w:name="_Toc409255458"/>
      <w:bookmarkStart w:id="1273" w:name="_Toc409255738"/>
      <w:bookmarkStart w:id="1274" w:name="_Toc409256018"/>
      <w:bookmarkStart w:id="1275" w:name="_Toc409256298"/>
      <w:bookmarkStart w:id="1276" w:name="_Toc409256578"/>
      <w:bookmarkStart w:id="1277" w:name="_Toc409270273"/>
      <w:bookmarkStart w:id="1278" w:name="_Toc409270553"/>
      <w:bookmarkStart w:id="1279" w:name="_Toc409509163"/>
      <w:bookmarkStart w:id="1280" w:name="_Toc409509446"/>
      <w:bookmarkStart w:id="1281" w:name="_Toc409509729"/>
      <w:bookmarkStart w:id="1282" w:name="_Toc409510012"/>
      <w:bookmarkStart w:id="1283" w:name="_Toc409510293"/>
      <w:bookmarkStart w:id="1284" w:name="_Toc409595772"/>
      <w:bookmarkStart w:id="1285" w:name="_Toc409606948"/>
      <w:bookmarkStart w:id="1286" w:name="_Toc408418485"/>
      <w:bookmarkStart w:id="1287" w:name="_Toc409085715"/>
      <w:bookmarkStart w:id="1288" w:name="_Toc409085992"/>
      <w:bookmarkStart w:id="1289" w:name="_Toc409086269"/>
      <w:bookmarkStart w:id="1290" w:name="_Toc409248879"/>
      <w:bookmarkStart w:id="1291" w:name="_Toc409255459"/>
      <w:bookmarkStart w:id="1292" w:name="_Toc409255739"/>
      <w:bookmarkStart w:id="1293" w:name="_Toc409256019"/>
      <w:bookmarkStart w:id="1294" w:name="_Toc409256299"/>
      <w:bookmarkStart w:id="1295" w:name="_Toc409256579"/>
      <w:bookmarkStart w:id="1296" w:name="_Toc409270274"/>
      <w:bookmarkStart w:id="1297" w:name="_Toc409270554"/>
      <w:bookmarkStart w:id="1298" w:name="_Toc409509164"/>
      <w:bookmarkStart w:id="1299" w:name="_Toc409509447"/>
      <w:bookmarkStart w:id="1300" w:name="_Toc409509730"/>
      <w:bookmarkStart w:id="1301" w:name="_Toc409510013"/>
      <w:bookmarkStart w:id="1302" w:name="_Toc409510294"/>
      <w:bookmarkStart w:id="1303" w:name="_Toc409595773"/>
      <w:bookmarkStart w:id="1304" w:name="_Toc409606949"/>
      <w:bookmarkStart w:id="1305" w:name="_Toc408418486"/>
      <w:bookmarkStart w:id="1306" w:name="_Toc409085716"/>
      <w:bookmarkStart w:id="1307" w:name="_Toc409085993"/>
      <w:bookmarkStart w:id="1308" w:name="_Toc409086270"/>
      <w:bookmarkStart w:id="1309" w:name="_Toc409248880"/>
      <w:bookmarkStart w:id="1310" w:name="_Toc409255460"/>
      <w:bookmarkStart w:id="1311" w:name="_Toc409255740"/>
      <w:bookmarkStart w:id="1312" w:name="_Toc409256020"/>
      <w:bookmarkStart w:id="1313" w:name="_Toc409256300"/>
      <w:bookmarkStart w:id="1314" w:name="_Toc409256580"/>
      <w:bookmarkStart w:id="1315" w:name="_Toc409270275"/>
      <w:bookmarkStart w:id="1316" w:name="_Toc409270555"/>
      <w:bookmarkStart w:id="1317" w:name="_Toc409509165"/>
      <w:bookmarkStart w:id="1318" w:name="_Toc409509448"/>
      <w:bookmarkStart w:id="1319" w:name="_Toc409509731"/>
      <w:bookmarkStart w:id="1320" w:name="_Toc409510014"/>
      <w:bookmarkStart w:id="1321" w:name="_Toc409510295"/>
      <w:bookmarkStart w:id="1322" w:name="_Toc409595774"/>
      <w:bookmarkStart w:id="1323" w:name="_Toc409606950"/>
      <w:bookmarkStart w:id="1324" w:name="_Toc408418487"/>
      <w:bookmarkStart w:id="1325" w:name="_Toc409085717"/>
      <w:bookmarkStart w:id="1326" w:name="_Toc409085994"/>
      <w:bookmarkStart w:id="1327" w:name="_Toc409086271"/>
      <w:bookmarkStart w:id="1328" w:name="_Toc409248881"/>
      <w:bookmarkStart w:id="1329" w:name="_Toc409255461"/>
      <w:bookmarkStart w:id="1330" w:name="_Toc409255741"/>
      <w:bookmarkStart w:id="1331" w:name="_Toc409256021"/>
      <w:bookmarkStart w:id="1332" w:name="_Toc409256301"/>
      <w:bookmarkStart w:id="1333" w:name="_Toc409256581"/>
      <w:bookmarkStart w:id="1334" w:name="_Toc409270276"/>
      <w:bookmarkStart w:id="1335" w:name="_Toc409270556"/>
      <w:bookmarkStart w:id="1336" w:name="_Toc409509166"/>
      <w:bookmarkStart w:id="1337" w:name="_Toc409509449"/>
      <w:bookmarkStart w:id="1338" w:name="_Toc409509732"/>
      <w:bookmarkStart w:id="1339" w:name="_Toc409510015"/>
      <w:bookmarkStart w:id="1340" w:name="_Toc409510296"/>
      <w:bookmarkStart w:id="1341" w:name="_Toc409595775"/>
      <w:bookmarkStart w:id="1342" w:name="_Toc409606951"/>
      <w:bookmarkStart w:id="1343" w:name="_Toc408418488"/>
      <w:bookmarkStart w:id="1344" w:name="_Toc409085718"/>
      <w:bookmarkStart w:id="1345" w:name="_Toc409085995"/>
      <w:bookmarkStart w:id="1346" w:name="_Toc409086272"/>
      <w:bookmarkStart w:id="1347" w:name="_Toc409248882"/>
      <w:bookmarkStart w:id="1348" w:name="_Toc409255462"/>
      <w:bookmarkStart w:id="1349" w:name="_Toc409255742"/>
      <w:bookmarkStart w:id="1350" w:name="_Toc409256022"/>
      <w:bookmarkStart w:id="1351" w:name="_Toc409256302"/>
      <w:bookmarkStart w:id="1352" w:name="_Toc409256582"/>
      <w:bookmarkStart w:id="1353" w:name="_Toc409270277"/>
      <w:bookmarkStart w:id="1354" w:name="_Toc409270557"/>
      <w:bookmarkStart w:id="1355" w:name="_Toc409509167"/>
      <w:bookmarkStart w:id="1356" w:name="_Toc409509450"/>
      <w:bookmarkStart w:id="1357" w:name="_Toc409509733"/>
      <w:bookmarkStart w:id="1358" w:name="_Toc409510016"/>
      <w:bookmarkStart w:id="1359" w:name="_Toc409510297"/>
      <w:bookmarkStart w:id="1360" w:name="_Toc409595776"/>
      <w:bookmarkStart w:id="1361" w:name="_Toc409606952"/>
      <w:bookmarkStart w:id="1362" w:name="_Toc408418489"/>
      <w:bookmarkStart w:id="1363" w:name="_Toc409085719"/>
      <w:bookmarkStart w:id="1364" w:name="_Toc409085996"/>
      <w:bookmarkStart w:id="1365" w:name="_Toc409086273"/>
      <w:bookmarkStart w:id="1366" w:name="_Toc409248883"/>
      <w:bookmarkStart w:id="1367" w:name="_Toc409255463"/>
      <w:bookmarkStart w:id="1368" w:name="_Toc409255743"/>
      <w:bookmarkStart w:id="1369" w:name="_Toc409256023"/>
      <w:bookmarkStart w:id="1370" w:name="_Toc409256303"/>
      <w:bookmarkStart w:id="1371" w:name="_Toc409256583"/>
      <w:bookmarkStart w:id="1372" w:name="_Toc409270278"/>
      <w:bookmarkStart w:id="1373" w:name="_Toc409270558"/>
      <w:bookmarkStart w:id="1374" w:name="_Toc409509168"/>
      <w:bookmarkStart w:id="1375" w:name="_Toc409509451"/>
      <w:bookmarkStart w:id="1376" w:name="_Toc409509734"/>
      <w:bookmarkStart w:id="1377" w:name="_Toc409510017"/>
      <w:bookmarkStart w:id="1378" w:name="_Toc409510298"/>
      <w:bookmarkStart w:id="1379" w:name="_Toc409595777"/>
      <w:bookmarkStart w:id="1380" w:name="_Toc409606953"/>
      <w:bookmarkStart w:id="1381" w:name="_Toc408418490"/>
      <w:bookmarkStart w:id="1382" w:name="_Toc409085720"/>
      <w:bookmarkStart w:id="1383" w:name="_Toc409085997"/>
      <w:bookmarkStart w:id="1384" w:name="_Toc409086274"/>
      <w:bookmarkStart w:id="1385" w:name="_Toc409248884"/>
      <w:bookmarkStart w:id="1386" w:name="_Toc409255464"/>
      <w:bookmarkStart w:id="1387" w:name="_Toc409255744"/>
      <w:bookmarkStart w:id="1388" w:name="_Toc409256024"/>
      <w:bookmarkStart w:id="1389" w:name="_Toc409256304"/>
      <w:bookmarkStart w:id="1390" w:name="_Toc409256584"/>
      <w:bookmarkStart w:id="1391" w:name="_Toc409270279"/>
      <w:bookmarkStart w:id="1392" w:name="_Toc409270559"/>
      <w:bookmarkStart w:id="1393" w:name="_Toc409509169"/>
      <w:bookmarkStart w:id="1394" w:name="_Toc409509452"/>
      <w:bookmarkStart w:id="1395" w:name="_Toc409509735"/>
      <w:bookmarkStart w:id="1396" w:name="_Toc409510018"/>
      <w:bookmarkStart w:id="1397" w:name="_Toc409510299"/>
      <w:bookmarkStart w:id="1398" w:name="_Toc409595778"/>
      <w:bookmarkStart w:id="1399" w:name="_Toc409606954"/>
      <w:bookmarkStart w:id="1400" w:name="_Toc404234555"/>
      <w:bookmarkStart w:id="1401" w:name="_Toc404234757"/>
      <w:bookmarkStart w:id="1402" w:name="_Toc404235289"/>
      <w:bookmarkStart w:id="1403" w:name="_Toc404235579"/>
      <w:bookmarkStart w:id="1404" w:name="_Toc404235756"/>
      <w:bookmarkStart w:id="1405" w:name="_Toc404236019"/>
      <w:bookmarkStart w:id="1406" w:name="_Toc404236189"/>
      <w:bookmarkStart w:id="1407" w:name="_Toc404236359"/>
      <w:bookmarkStart w:id="1408" w:name="_Toc404236528"/>
      <w:bookmarkStart w:id="1409" w:name="_Toc404236697"/>
      <w:bookmarkStart w:id="1410" w:name="_Toc404236865"/>
      <w:bookmarkStart w:id="1411" w:name="_Toc404237033"/>
      <w:bookmarkStart w:id="1412" w:name="_Toc404755662"/>
      <w:bookmarkStart w:id="1413" w:name="_Toc405205454"/>
      <w:bookmarkStart w:id="1414" w:name="_Toc453170870"/>
      <w:bookmarkStart w:id="1415" w:name="_Toc453544292"/>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r w:rsidRPr="00332FCD">
        <w:rPr>
          <w:rFonts w:ascii="Andes" w:eastAsiaTheme="majorEastAsia" w:hAnsi="Andes" w:cstheme="majorBidi"/>
          <w:bCs w:val="0"/>
          <w:color w:val="C45911"/>
          <w:sz w:val="32"/>
          <w:szCs w:val="32"/>
        </w:rPr>
        <w:t>Garantie d’offre/de proposition</w:t>
      </w:r>
      <w:bookmarkEnd w:id="1414"/>
      <w:bookmarkEnd w:id="1415"/>
    </w:p>
    <w:p w14:paraId="5CEF0F8E" w14:textId="3860CF67" w:rsidR="00BA77DD" w:rsidRPr="00332FCD" w:rsidRDefault="00FE568C" w:rsidP="00916DF0">
      <w:pPr>
        <w:spacing w:line="240" w:lineRule="auto"/>
        <w:contextualSpacing w:val="0"/>
        <w:rPr>
          <w:rFonts w:ascii="Andes" w:hAnsi="Andes" w:cs="Arial"/>
          <w:b/>
          <w:sz w:val="28"/>
          <w:szCs w:val="28"/>
        </w:rPr>
      </w:pPr>
      <w:r w:rsidRPr="00332FCD">
        <w:rPr>
          <w:rFonts w:ascii="Andes" w:hAnsi="Andes" w:cs="Arial"/>
          <w:b/>
          <w:sz w:val="28"/>
          <w:szCs w:val="28"/>
        </w:rPr>
        <w:t>Fournitures, Travaux et Services Autres que Services de Consultants</w:t>
      </w:r>
    </w:p>
    <w:p w14:paraId="2DC1B02F" w14:textId="03A55A15" w:rsidR="00FD149D" w:rsidRPr="00C25660" w:rsidRDefault="00FE568C" w:rsidP="00C25660">
      <w:pPr>
        <w:pStyle w:val="Paragraphedeliste"/>
        <w:numPr>
          <w:ilvl w:val="0"/>
          <w:numId w:val="78"/>
        </w:numPr>
        <w:spacing w:before="0" w:line="240" w:lineRule="auto"/>
        <w:ind w:left="634" w:hanging="634"/>
        <w:contextualSpacing w:val="0"/>
        <w:rPr>
          <w:rFonts w:ascii="Andes" w:hAnsi="Andes" w:cs="Arial"/>
          <w:sz w:val="22"/>
          <w:szCs w:val="22"/>
        </w:rPr>
      </w:pPr>
      <w:r w:rsidRPr="00C25660">
        <w:rPr>
          <w:rFonts w:ascii="Andes" w:hAnsi="Andes" w:cs="Arial"/>
          <w:sz w:val="22"/>
          <w:szCs w:val="22"/>
        </w:rPr>
        <w:t xml:space="preserve">Pour les marchés de Fournitures, Travaux et Services Autres que des Services de Consultants, les Emprunteurs peuvent demander la constitution d’une garantie d’offre/de proposition dont le montant et la forme sont </w:t>
      </w:r>
      <w:r w:rsidR="00F76759" w:rsidRPr="00C25660">
        <w:rPr>
          <w:rFonts w:ascii="Andes" w:hAnsi="Andes" w:cs="Arial"/>
          <w:sz w:val="22"/>
          <w:szCs w:val="22"/>
        </w:rPr>
        <w:t>précisés</w:t>
      </w:r>
      <w:r w:rsidRPr="00C25660">
        <w:rPr>
          <w:rFonts w:ascii="Andes" w:hAnsi="Andes" w:cs="Arial"/>
          <w:sz w:val="22"/>
          <w:szCs w:val="22"/>
        </w:rPr>
        <w:t xml:space="preserve"> dans le </w:t>
      </w:r>
      <w:r w:rsidR="003A07A0" w:rsidRPr="00C25660">
        <w:rPr>
          <w:rFonts w:ascii="Andes" w:hAnsi="Andes" w:cs="Arial"/>
          <w:sz w:val="22"/>
          <w:szCs w:val="22"/>
        </w:rPr>
        <w:t>dossier d’</w:t>
      </w:r>
      <w:r w:rsidR="00A34EE9" w:rsidRPr="00C25660">
        <w:rPr>
          <w:rFonts w:ascii="Andes" w:hAnsi="Andes" w:cs="Arial"/>
          <w:sz w:val="22"/>
          <w:szCs w:val="22"/>
        </w:rPr>
        <w:t>A</w:t>
      </w:r>
      <w:r w:rsidR="003A07A0" w:rsidRPr="00C25660">
        <w:rPr>
          <w:rFonts w:ascii="Andes" w:hAnsi="Andes" w:cs="Arial"/>
          <w:sz w:val="22"/>
          <w:szCs w:val="22"/>
        </w:rPr>
        <w:t>ppel</w:t>
      </w:r>
      <w:r w:rsidRPr="00C25660">
        <w:rPr>
          <w:rFonts w:ascii="Andes" w:hAnsi="Andes" w:cs="Arial"/>
          <w:sz w:val="22"/>
          <w:szCs w:val="22"/>
        </w:rPr>
        <w:t xml:space="preserve"> d’</w:t>
      </w:r>
      <w:r w:rsidR="009258F8" w:rsidRPr="00C25660">
        <w:rPr>
          <w:rFonts w:ascii="Andes" w:hAnsi="Andes" w:cs="Arial"/>
          <w:sz w:val="22"/>
          <w:szCs w:val="22"/>
        </w:rPr>
        <w:t>O</w:t>
      </w:r>
      <w:r w:rsidRPr="00C25660">
        <w:rPr>
          <w:rFonts w:ascii="Andes" w:hAnsi="Andes" w:cs="Arial"/>
          <w:sz w:val="22"/>
          <w:szCs w:val="22"/>
        </w:rPr>
        <w:t xml:space="preserve">ffres/à </w:t>
      </w:r>
      <w:r w:rsidR="009258F8" w:rsidRPr="00C25660">
        <w:rPr>
          <w:rFonts w:ascii="Andes" w:hAnsi="Andes" w:cs="Arial"/>
          <w:sz w:val="22"/>
          <w:szCs w:val="22"/>
        </w:rPr>
        <w:t>P</w:t>
      </w:r>
      <w:r w:rsidRPr="00C25660">
        <w:rPr>
          <w:rFonts w:ascii="Andes" w:hAnsi="Andes" w:cs="Arial"/>
          <w:sz w:val="22"/>
          <w:szCs w:val="22"/>
        </w:rPr>
        <w:t>ropositions.</w:t>
      </w:r>
      <w:r w:rsidR="009F32E1" w:rsidRPr="00C25660">
        <w:rPr>
          <w:rFonts w:ascii="Andes" w:hAnsi="Andes" w:cs="Arial"/>
          <w:sz w:val="22"/>
          <w:szCs w:val="22"/>
        </w:rPr>
        <w:t xml:space="preserve"> La garantie doit avoir une période de validité suffisante pour laisser à l’</w:t>
      </w:r>
      <w:r w:rsidR="00916DF0" w:rsidRPr="00C25660">
        <w:rPr>
          <w:rFonts w:ascii="Andes" w:hAnsi="Andes" w:cs="Arial"/>
          <w:sz w:val="22"/>
          <w:szCs w:val="22"/>
        </w:rPr>
        <w:t xml:space="preserve">Emprunteur </w:t>
      </w:r>
      <w:r w:rsidR="009F32E1" w:rsidRPr="00C25660">
        <w:rPr>
          <w:rFonts w:ascii="Andes" w:hAnsi="Andes" w:cs="Arial"/>
          <w:sz w:val="22"/>
          <w:szCs w:val="22"/>
        </w:rPr>
        <w:t xml:space="preserve">le temps d’agir s’il doit </w:t>
      </w:r>
      <w:r w:rsidR="00A576B7" w:rsidRPr="00C25660">
        <w:rPr>
          <w:rFonts w:ascii="Andes" w:hAnsi="Andes" w:cs="Arial"/>
          <w:sz w:val="22"/>
          <w:szCs w:val="22"/>
        </w:rPr>
        <w:t>la faire valoir</w:t>
      </w:r>
      <w:r w:rsidR="009F32E1" w:rsidRPr="00C25660">
        <w:rPr>
          <w:rFonts w:ascii="Andes" w:hAnsi="Andes" w:cs="Arial"/>
          <w:sz w:val="22"/>
          <w:szCs w:val="22"/>
        </w:rPr>
        <w:t>. En règle générale, elle reste valide quatre</w:t>
      </w:r>
      <w:r w:rsidR="00F76759" w:rsidRPr="00882278">
        <w:rPr>
          <w:rFonts w:ascii="Andes" w:hAnsi="Andes" w:cs="Arial"/>
          <w:sz w:val="22"/>
          <w:szCs w:val="22"/>
        </w:rPr>
        <w:t> </w:t>
      </w:r>
      <w:r w:rsidR="00574BF3" w:rsidRPr="00C25660">
        <w:rPr>
          <w:rFonts w:ascii="Andes" w:hAnsi="Andes" w:cs="Arial"/>
          <w:sz w:val="22"/>
          <w:szCs w:val="22"/>
        </w:rPr>
        <w:t xml:space="preserve">(4) </w:t>
      </w:r>
      <w:r w:rsidR="009F32E1" w:rsidRPr="00C25660">
        <w:rPr>
          <w:rFonts w:ascii="Andes" w:hAnsi="Andes" w:cs="Arial"/>
          <w:sz w:val="22"/>
          <w:szCs w:val="22"/>
        </w:rPr>
        <w:t>semaines de plus que l’Offre ou la Proposition. Les garanties des Soumissionnaire</w:t>
      </w:r>
      <w:r w:rsidR="00916DF0" w:rsidRPr="00C25660">
        <w:rPr>
          <w:rFonts w:ascii="Andes" w:hAnsi="Andes" w:cs="Arial"/>
          <w:sz w:val="22"/>
          <w:szCs w:val="22"/>
        </w:rPr>
        <w:t>s</w:t>
      </w:r>
      <w:r w:rsidR="009F32E1" w:rsidRPr="00C25660">
        <w:rPr>
          <w:rFonts w:ascii="Andes" w:hAnsi="Andes" w:cs="Arial"/>
          <w:sz w:val="22"/>
          <w:szCs w:val="22"/>
        </w:rPr>
        <w:t xml:space="preserve">/Proposants non retenus leur seront restituées lorsque le contrat est signé avec le Soumissionnaire/Proposant retenu. </w:t>
      </w:r>
      <w:r w:rsidR="00A74F29" w:rsidRPr="00C25660">
        <w:rPr>
          <w:rFonts w:ascii="Andes" w:hAnsi="Andes" w:cs="Arial"/>
          <w:sz w:val="22"/>
          <w:szCs w:val="22"/>
        </w:rPr>
        <w:t>L</w:t>
      </w:r>
      <w:r w:rsidR="002D608E" w:rsidRPr="00C25660">
        <w:rPr>
          <w:rFonts w:ascii="Andes" w:hAnsi="Andes" w:cs="Arial"/>
          <w:sz w:val="22"/>
          <w:szCs w:val="22"/>
        </w:rPr>
        <w:t>a</w:t>
      </w:r>
      <w:r w:rsidR="00A74F29" w:rsidRPr="00C25660">
        <w:rPr>
          <w:rFonts w:ascii="Andes" w:hAnsi="Andes" w:cs="Arial"/>
          <w:sz w:val="22"/>
          <w:szCs w:val="22"/>
        </w:rPr>
        <w:t xml:space="preserve"> garantie d’Offre</w:t>
      </w:r>
      <w:r w:rsidR="00962F7A" w:rsidRPr="00C25660">
        <w:rPr>
          <w:rFonts w:ascii="Andes" w:hAnsi="Andes" w:cs="Arial"/>
          <w:sz w:val="22"/>
          <w:szCs w:val="22"/>
        </w:rPr>
        <w:t xml:space="preserve">/de </w:t>
      </w:r>
      <w:r w:rsidR="00A74F29" w:rsidRPr="00C25660">
        <w:rPr>
          <w:rFonts w:ascii="Andes" w:hAnsi="Andes" w:cs="Arial"/>
          <w:sz w:val="22"/>
          <w:szCs w:val="22"/>
        </w:rPr>
        <w:t xml:space="preserve">Proposition doit être émise par une banque </w:t>
      </w:r>
      <w:r w:rsidR="00207415" w:rsidRPr="00C25660">
        <w:rPr>
          <w:rFonts w:ascii="Andes" w:hAnsi="Andes" w:cs="Arial"/>
          <w:sz w:val="22"/>
          <w:szCs w:val="22"/>
        </w:rPr>
        <w:t xml:space="preserve">réputée, </w:t>
      </w:r>
      <w:r w:rsidR="00A74F29" w:rsidRPr="00C25660">
        <w:rPr>
          <w:rFonts w:ascii="Andes" w:hAnsi="Andes" w:cs="Arial"/>
          <w:sz w:val="22"/>
          <w:szCs w:val="22"/>
        </w:rPr>
        <w:t xml:space="preserve">ou par une institution non bancaire (telle qu’une société d’assurance, de cautionnement ou de garantie), </w:t>
      </w:r>
      <w:r w:rsidR="00597B06" w:rsidRPr="00C25660">
        <w:rPr>
          <w:rFonts w:ascii="Andes" w:hAnsi="Andes" w:cs="Arial"/>
          <w:sz w:val="22"/>
          <w:szCs w:val="22"/>
        </w:rPr>
        <w:t>situé</w:t>
      </w:r>
      <w:r w:rsidR="00962F7A" w:rsidRPr="00C25660">
        <w:rPr>
          <w:rFonts w:ascii="Andes" w:hAnsi="Andes" w:cs="Arial"/>
          <w:sz w:val="22"/>
          <w:szCs w:val="22"/>
        </w:rPr>
        <w:t>e</w:t>
      </w:r>
      <w:r w:rsidR="00597B06" w:rsidRPr="00C25660">
        <w:rPr>
          <w:rFonts w:ascii="Andes" w:hAnsi="Andes" w:cs="Arial"/>
          <w:sz w:val="22"/>
          <w:szCs w:val="22"/>
        </w:rPr>
        <w:t xml:space="preserve"> dans un pays éligible, </w:t>
      </w:r>
      <w:r w:rsidR="00962F7A" w:rsidRPr="00C25660">
        <w:rPr>
          <w:rFonts w:ascii="Andes" w:hAnsi="Andes" w:cs="Arial"/>
          <w:sz w:val="22"/>
          <w:szCs w:val="22"/>
        </w:rPr>
        <w:t>sélectionnée par le Soumissionnaire/Proposant.</w:t>
      </w:r>
      <w:r w:rsidR="00962F7A" w:rsidRPr="00C25660">
        <w:rPr>
          <w:rFonts w:eastAsiaTheme="minorEastAsia"/>
          <w:color w:val="000000"/>
          <w:sz w:val="16"/>
          <w:szCs w:val="16"/>
        </w:rPr>
        <w:t xml:space="preserve"> </w:t>
      </w:r>
      <w:r w:rsidR="00962F7A" w:rsidRPr="00C25660">
        <w:rPr>
          <w:rFonts w:ascii="Andes" w:hAnsi="Andes" w:cs="Arial"/>
          <w:sz w:val="22"/>
          <w:szCs w:val="22"/>
        </w:rPr>
        <w:t xml:space="preserve">Si la garantie est émise par une institution financière non bancaire située </w:t>
      </w:r>
      <w:r w:rsidR="002D608E" w:rsidRPr="00C25660">
        <w:rPr>
          <w:rFonts w:ascii="Andes" w:hAnsi="Andes" w:cs="Arial"/>
          <w:sz w:val="22"/>
          <w:szCs w:val="22"/>
        </w:rPr>
        <w:t>en dehors</w:t>
      </w:r>
      <w:r w:rsidR="00962F7A" w:rsidRPr="00C25660">
        <w:rPr>
          <w:rFonts w:ascii="Andes" w:hAnsi="Andes" w:cs="Arial"/>
          <w:sz w:val="22"/>
          <w:szCs w:val="22"/>
        </w:rPr>
        <w:t xml:space="preserve"> du pays de l'Emprunteur et </w:t>
      </w:r>
      <w:r w:rsidR="00207415" w:rsidRPr="00C25660">
        <w:rPr>
          <w:rFonts w:ascii="Andes" w:hAnsi="Andes" w:cs="Arial"/>
          <w:sz w:val="22"/>
          <w:szCs w:val="22"/>
        </w:rPr>
        <w:t xml:space="preserve">qui </w:t>
      </w:r>
      <w:r w:rsidR="00962F7A" w:rsidRPr="00C25660">
        <w:rPr>
          <w:rFonts w:ascii="Andes" w:hAnsi="Andes" w:cs="Arial"/>
          <w:sz w:val="22"/>
          <w:szCs w:val="22"/>
        </w:rPr>
        <w:t xml:space="preserve">ne peut être </w:t>
      </w:r>
      <w:r w:rsidR="00207415" w:rsidRPr="00C25660">
        <w:rPr>
          <w:rFonts w:ascii="Andes" w:hAnsi="Andes" w:cs="Arial"/>
          <w:sz w:val="22"/>
          <w:szCs w:val="22"/>
        </w:rPr>
        <w:t>exécutoire</w:t>
      </w:r>
      <w:r w:rsidR="00962F7A" w:rsidRPr="00C25660">
        <w:rPr>
          <w:rFonts w:ascii="Andes" w:hAnsi="Andes" w:cs="Arial"/>
          <w:sz w:val="22"/>
          <w:szCs w:val="22"/>
        </w:rPr>
        <w:t xml:space="preserve"> dans ce pays, ladite institution doit avoir</w:t>
      </w:r>
      <w:r w:rsidR="00EC26D3" w:rsidRPr="00C25660">
        <w:rPr>
          <w:rFonts w:ascii="Andes" w:hAnsi="Andes" w:cs="Arial"/>
          <w:sz w:val="22"/>
          <w:szCs w:val="22"/>
        </w:rPr>
        <w:t xml:space="preserve"> un correspondant financier </w:t>
      </w:r>
      <w:r w:rsidR="00962F7A" w:rsidRPr="00C25660">
        <w:rPr>
          <w:rFonts w:ascii="Andes" w:hAnsi="Andes" w:cs="Arial"/>
          <w:sz w:val="22"/>
          <w:szCs w:val="22"/>
        </w:rPr>
        <w:t xml:space="preserve">dans le pays de l’Emprunteur pour que la garantie puisse y être </w:t>
      </w:r>
      <w:r w:rsidR="00207415" w:rsidRPr="00C25660">
        <w:rPr>
          <w:rFonts w:ascii="Andes" w:hAnsi="Andes" w:cs="Arial"/>
          <w:sz w:val="22"/>
          <w:szCs w:val="22"/>
        </w:rPr>
        <w:t>exécutoire</w:t>
      </w:r>
      <w:r w:rsidR="00962F7A" w:rsidRPr="00C25660">
        <w:rPr>
          <w:rFonts w:ascii="Andes" w:hAnsi="Andes" w:cs="Arial"/>
          <w:sz w:val="22"/>
          <w:szCs w:val="22"/>
        </w:rPr>
        <w:t xml:space="preserve">. Les </w:t>
      </w:r>
      <w:r w:rsidR="00574BF3" w:rsidRPr="00C25660">
        <w:rPr>
          <w:rFonts w:ascii="Andes" w:hAnsi="Andes" w:cs="Arial"/>
          <w:sz w:val="22"/>
          <w:szCs w:val="22"/>
        </w:rPr>
        <w:t>Soumissionnaires</w:t>
      </w:r>
      <w:r w:rsidR="00962F7A" w:rsidRPr="00C25660">
        <w:rPr>
          <w:rFonts w:ascii="Andes" w:hAnsi="Andes" w:cs="Arial"/>
          <w:sz w:val="22"/>
          <w:szCs w:val="22"/>
        </w:rPr>
        <w:t>/Proposant</w:t>
      </w:r>
      <w:r w:rsidR="00574BF3" w:rsidRPr="00C25660">
        <w:rPr>
          <w:rFonts w:ascii="Andes" w:hAnsi="Andes" w:cs="Arial"/>
          <w:sz w:val="22"/>
          <w:szCs w:val="22"/>
        </w:rPr>
        <w:t xml:space="preserve">s </w:t>
      </w:r>
      <w:r w:rsidR="00962F7A" w:rsidRPr="00C25660">
        <w:rPr>
          <w:rFonts w:ascii="Andes" w:hAnsi="Andes" w:cs="Arial"/>
          <w:sz w:val="22"/>
          <w:szCs w:val="22"/>
        </w:rPr>
        <w:t xml:space="preserve">doivent être autorisés à soumettre des </w:t>
      </w:r>
      <w:r w:rsidR="00962F7A" w:rsidRPr="00C25660">
        <w:rPr>
          <w:rFonts w:ascii="Andes" w:hAnsi="Andes" w:cs="Arial"/>
          <w:sz w:val="22"/>
          <w:szCs w:val="22"/>
        </w:rPr>
        <w:lastRenderedPageBreak/>
        <w:t xml:space="preserve">garanties d’Offre/de Proposition sous forme de garanties bancaires directement émises par la banque de leur choix </w:t>
      </w:r>
      <w:r w:rsidR="00E52913" w:rsidRPr="00C25660">
        <w:rPr>
          <w:rFonts w:ascii="Andes" w:hAnsi="Andes" w:cs="Arial"/>
          <w:sz w:val="22"/>
          <w:szCs w:val="22"/>
        </w:rPr>
        <w:t>dans tout pays éligible</w:t>
      </w:r>
      <w:r w:rsidR="00962F7A" w:rsidRPr="00C25660">
        <w:rPr>
          <w:rFonts w:ascii="Andes" w:hAnsi="Andes" w:cs="Arial"/>
          <w:sz w:val="22"/>
          <w:szCs w:val="22"/>
        </w:rPr>
        <w:t xml:space="preserve">. </w:t>
      </w:r>
    </w:p>
    <w:p w14:paraId="7A90D79B" w14:textId="371995CC" w:rsidR="00FD149D" w:rsidRPr="00332FCD" w:rsidRDefault="00E52913" w:rsidP="001A50C4">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Au lieu d’une garantie d’Offre/de Proposition, l’Emprunteur peut demander aux Soumissionnaires/Proposants de signer une déclaration de garantie d’Offre/de Proposition dans laquelle ils reconnaissent que, s’ils retirent ou modifient leur Offre/Proposition pendant la période de validité ou bien, si le marché </w:t>
      </w:r>
      <w:r w:rsidR="00151901">
        <w:rPr>
          <w:rFonts w:ascii="Andes" w:hAnsi="Andes" w:cs="Arial"/>
          <w:sz w:val="22"/>
          <w:szCs w:val="22"/>
        </w:rPr>
        <w:t xml:space="preserve">leur </w:t>
      </w:r>
      <w:r w:rsidRPr="00332FCD">
        <w:rPr>
          <w:rFonts w:ascii="Andes" w:hAnsi="Andes" w:cs="Arial"/>
          <w:sz w:val="22"/>
          <w:szCs w:val="22"/>
        </w:rPr>
        <w:t>est attribué</w:t>
      </w:r>
      <w:r w:rsidR="00574BF3" w:rsidRPr="00332FCD">
        <w:rPr>
          <w:rFonts w:ascii="Andes" w:hAnsi="Andes" w:cs="Arial"/>
          <w:sz w:val="22"/>
          <w:szCs w:val="22"/>
        </w:rPr>
        <w:t>,</w:t>
      </w:r>
      <w:r w:rsidRPr="00332FCD">
        <w:rPr>
          <w:rFonts w:ascii="Andes" w:hAnsi="Andes" w:cs="Arial"/>
          <w:sz w:val="22"/>
          <w:szCs w:val="22"/>
        </w:rPr>
        <w:t xml:space="preserve"> mais </w:t>
      </w:r>
      <w:r w:rsidR="00EC7650" w:rsidRPr="00332FCD">
        <w:rPr>
          <w:rFonts w:ascii="Andes" w:hAnsi="Andes" w:cs="Arial"/>
          <w:sz w:val="22"/>
          <w:szCs w:val="22"/>
        </w:rPr>
        <w:t>q</w:t>
      </w:r>
      <w:r w:rsidR="00EC7650">
        <w:rPr>
          <w:rFonts w:ascii="Andes" w:hAnsi="Andes" w:cs="Arial"/>
          <w:sz w:val="22"/>
          <w:szCs w:val="22"/>
        </w:rPr>
        <w:t xml:space="preserve">ue </w:t>
      </w:r>
      <w:r w:rsidR="00EC7650" w:rsidRPr="00332FCD">
        <w:rPr>
          <w:rFonts w:ascii="Andes" w:hAnsi="Andes" w:cs="Arial"/>
          <w:sz w:val="22"/>
          <w:szCs w:val="22"/>
        </w:rPr>
        <w:t xml:space="preserve">le Soumissionnaire/Proposant </w:t>
      </w:r>
      <w:r w:rsidR="00153BA7">
        <w:rPr>
          <w:rFonts w:ascii="Andes" w:hAnsi="Andes" w:cs="Arial"/>
          <w:sz w:val="22"/>
          <w:szCs w:val="22"/>
        </w:rPr>
        <w:t xml:space="preserve">attributaire </w:t>
      </w:r>
      <w:r w:rsidRPr="00332FCD">
        <w:rPr>
          <w:rFonts w:ascii="Andes" w:hAnsi="Andes" w:cs="Arial"/>
          <w:sz w:val="22"/>
          <w:szCs w:val="22"/>
        </w:rPr>
        <w:t xml:space="preserve">ne le signe pas ou ne soumet pas une garantie d’exécution avant la date limite arrêtée dans le </w:t>
      </w:r>
      <w:r w:rsidR="003A07A0" w:rsidRPr="00332FCD">
        <w:rPr>
          <w:rFonts w:ascii="Andes" w:hAnsi="Andes" w:cs="Arial"/>
          <w:sz w:val="22"/>
          <w:szCs w:val="22"/>
        </w:rPr>
        <w:t>dossier d’</w:t>
      </w:r>
      <w:r w:rsidR="00EC7B77">
        <w:rPr>
          <w:rFonts w:ascii="Andes" w:hAnsi="Andes" w:cs="Arial"/>
          <w:sz w:val="22"/>
          <w:szCs w:val="22"/>
        </w:rPr>
        <w:t>A</w:t>
      </w:r>
      <w:r w:rsidR="003A07A0" w:rsidRPr="00332FCD">
        <w:rPr>
          <w:rFonts w:ascii="Andes" w:hAnsi="Andes" w:cs="Arial"/>
          <w:sz w:val="22"/>
          <w:szCs w:val="22"/>
        </w:rPr>
        <w:t>ppel</w:t>
      </w:r>
      <w:r w:rsidRPr="00332FCD">
        <w:rPr>
          <w:rFonts w:ascii="Andes" w:hAnsi="Andes" w:cs="Arial"/>
          <w:sz w:val="22"/>
          <w:szCs w:val="22"/>
        </w:rPr>
        <w:t xml:space="preserve"> d’</w:t>
      </w:r>
      <w:r w:rsidR="00EC7B77">
        <w:rPr>
          <w:rFonts w:ascii="Andes" w:hAnsi="Andes" w:cs="Arial"/>
          <w:sz w:val="22"/>
          <w:szCs w:val="22"/>
        </w:rPr>
        <w:t>O</w:t>
      </w:r>
      <w:r w:rsidRPr="00332FCD">
        <w:rPr>
          <w:rFonts w:ascii="Andes" w:hAnsi="Andes" w:cs="Arial"/>
          <w:sz w:val="22"/>
          <w:szCs w:val="22"/>
        </w:rPr>
        <w:t xml:space="preserve">ffres/à </w:t>
      </w:r>
      <w:r w:rsidR="00EC7B77">
        <w:rPr>
          <w:rFonts w:ascii="Andes" w:hAnsi="Andes" w:cs="Arial"/>
          <w:sz w:val="22"/>
          <w:szCs w:val="22"/>
        </w:rPr>
        <w:t>P</w:t>
      </w:r>
      <w:r w:rsidRPr="00332FCD">
        <w:rPr>
          <w:rFonts w:ascii="Andes" w:hAnsi="Andes" w:cs="Arial"/>
          <w:sz w:val="22"/>
          <w:szCs w:val="22"/>
        </w:rPr>
        <w:t>ropositions, alors le Soumissionnaire/Proposant se verra exclure pour la durée prévue dans</w:t>
      </w:r>
      <w:r w:rsidR="00CA08AE" w:rsidRPr="00332FCD">
        <w:rPr>
          <w:rFonts w:ascii="Andes" w:hAnsi="Andes" w:cs="Arial"/>
          <w:sz w:val="22"/>
          <w:szCs w:val="22"/>
        </w:rPr>
        <w:t xml:space="preserve"> ledit do</w:t>
      </w:r>
      <w:r w:rsidR="003A07A0" w:rsidRPr="00332FCD">
        <w:rPr>
          <w:rFonts w:ascii="Andes" w:hAnsi="Andes" w:cs="Arial"/>
          <w:sz w:val="22"/>
          <w:szCs w:val="22"/>
        </w:rPr>
        <w:t>ssier</w:t>
      </w:r>
      <w:r w:rsidR="00CA08AE" w:rsidRPr="00332FCD">
        <w:rPr>
          <w:rFonts w:ascii="Andes" w:hAnsi="Andes" w:cs="Arial"/>
          <w:sz w:val="22"/>
          <w:szCs w:val="22"/>
        </w:rPr>
        <w:t xml:space="preserve"> </w:t>
      </w:r>
      <w:r w:rsidRPr="00332FCD">
        <w:rPr>
          <w:rFonts w:ascii="Andes" w:hAnsi="Andes" w:cs="Arial"/>
          <w:sz w:val="22"/>
          <w:szCs w:val="22"/>
        </w:rPr>
        <w:t>pour les marchés de l’organisme qui a lancé l'</w:t>
      </w:r>
      <w:r w:rsidR="0009405B">
        <w:rPr>
          <w:rFonts w:ascii="Andes" w:hAnsi="Andes" w:cs="Arial"/>
          <w:sz w:val="22"/>
          <w:szCs w:val="22"/>
        </w:rPr>
        <w:t>A</w:t>
      </w:r>
      <w:r w:rsidRPr="00332FCD">
        <w:rPr>
          <w:rFonts w:ascii="Andes" w:hAnsi="Andes" w:cs="Arial"/>
          <w:sz w:val="22"/>
          <w:szCs w:val="22"/>
        </w:rPr>
        <w:t>ppel d'</w:t>
      </w:r>
      <w:r w:rsidR="0009405B">
        <w:rPr>
          <w:rFonts w:ascii="Andes" w:hAnsi="Andes" w:cs="Arial"/>
          <w:sz w:val="22"/>
          <w:szCs w:val="22"/>
        </w:rPr>
        <w:t>O</w:t>
      </w:r>
      <w:r w:rsidRPr="00332FCD">
        <w:rPr>
          <w:rFonts w:ascii="Andes" w:hAnsi="Andes" w:cs="Arial"/>
          <w:sz w:val="22"/>
          <w:szCs w:val="22"/>
        </w:rPr>
        <w:t xml:space="preserve">ffres/à </w:t>
      </w:r>
      <w:r w:rsidR="0009405B">
        <w:rPr>
          <w:rFonts w:ascii="Andes" w:hAnsi="Andes" w:cs="Arial"/>
          <w:sz w:val="22"/>
          <w:szCs w:val="22"/>
        </w:rPr>
        <w:t>P</w:t>
      </w:r>
      <w:r w:rsidRPr="00332FCD">
        <w:rPr>
          <w:rFonts w:ascii="Andes" w:hAnsi="Andes" w:cs="Arial"/>
          <w:sz w:val="22"/>
          <w:szCs w:val="22"/>
        </w:rPr>
        <w:t xml:space="preserve">ropositions. </w:t>
      </w:r>
    </w:p>
    <w:p w14:paraId="21AC6207" w14:textId="2A7EAD04" w:rsidR="00C811D2" w:rsidRPr="00332FCD" w:rsidRDefault="00EC26D3" w:rsidP="001A50C4">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1416" w:name="_Toc453170871"/>
      <w:bookmarkStart w:id="1417" w:name="_Toc453544293"/>
      <w:r w:rsidRPr="00332FCD">
        <w:rPr>
          <w:rFonts w:ascii="Andes" w:eastAsiaTheme="majorEastAsia" w:hAnsi="Andes" w:cstheme="majorBidi"/>
          <w:bCs w:val="0"/>
          <w:color w:val="C45911"/>
          <w:sz w:val="32"/>
          <w:szCs w:val="32"/>
        </w:rPr>
        <w:t xml:space="preserve">Délai </w:t>
      </w:r>
      <w:r w:rsidR="00D04331" w:rsidRPr="00332FCD">
        <w:rPr>
          <w:rFonts w:ascii="Andes" w:eastAsiaTheme="majorEastAsia" w:hAnsi="Andes" w:cstheme="majorBidi"/>
          <w:bCs w:val="0"/>
          <w:color w:val="C45911"/>
          <w:sz w:val="32"/>
          <w:szCs w:val="32"/>
        </w:rPr>
        <w:t xml:space="preserve">de préparation et </w:t>
      </w:r>
      <w:r w:rsidR="00300732" w:rsidRPr="00332FCD">
        <w:rPr>
          <w:rFonts w:ascii="Andes" w:eastAsiaTheme="majorEastAsia" w:hAnsi="Andes" w:cstheme="majorBidi"/>
          <w:bCs w:val="0"/>
          <w:color w:val="C45911"/>
          <w:sz w:val="32"/>
          <w:szCs w:val="32"/>
        </w:rPr>
        <w:t>de remise des Offres/P</w:t>
      </w:r>
      <w:r w:rsidR="00D04331" w:rsidRPr="00332FCD">
        <w:rPr>
          <w:rFonts w:ascii="Andes" w:eastAsiaTheme="majorEastAsia" w:hAnsi="Andes" w:cstheme="majorBidi"/>
          <w:bCs w:val="0"/>
          <w:color w:val="C45911"/>
          <w:sz w:val="32"/>
          <w:szCs w:val="32"/>
        </w:rPr>
        <w:t xml:space="preserve">ropositions </w:t>
      </w:r>
      <w:bookmarkEnd w:id="1416"/>
      <w:bookmarkEnd w:id="1417"/>
    </w:p>
    <w:p w14:paraId="6D395ED0" w14:textId="2FF0EEEF" w:rsidR="00FE1683" w:rsidRPr="00332FCD" w:rsidRDefault="00D04331" w:rsidP="001A50C4">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Le délai imparti pour la préparation et la remise des </w:t>
      </w:r>
      <w:r w:rsidR="00455C5C" w:rsidRPr="00332FCD">
        <w:rPr>
          <w:rFonts w:ascii="Andes" w:hAnsi="Andes" w:cs="Arial"/>
          <w:sz w:val="22"/>
          <w:szCs w:val="22"/>
        </w:rPr>
        <w:t xml:space="preserve">Offres/Propositions </w:t>
      </w:r>
      <w:r w:rsidRPr="00332FCD">
        <w:rPr>
          <w:rFonts w:ascii="Andes" w:hAnsi="Andes" w:cs="Arial"/>
          <w:sz w:val="22"/>
          <w:szCs w:val="22"/>
        </w:rPr>
        <w:t>doit être fixé compte tenu des conditions propres au projet</w:t>
      </w:r>
      <w:r w:rsidR="00455C5C" w:rsidRPr="00332FCD">
        <w:rPr>
          <w:rFonts w:ascii="Andes" w:hAnsi="Andes" w:cs="Arial"/>
          <w:sz w:val="22"/>
          <w:szCs w:val="22"/>
        </w:rPr>
        <w:t>,</w:t>
      </w:r>
      <w:r w:rsidRPr="00332FCD">
        <w:rPr>
          <w:rFonts w:ascii="Andes" w:hAnsi="Andes" w:cs="Arial"/>
          <w:sz w:val="22"/>
          <w:szCs w:val="22"/>
        </w:rPr>
        <w:t xml:space="preserve"> et de </w:t>
      </w:r>
      <w:r w:rsidR="00207415" w:rsidRPr="00332FCD">
        <w:rPr>
          <w:rFonts w:ascii="Andes" w:hAnsi="Andes" w:cs="Arial"/>
          <w:sz w:val="22"/>
          <w:szCs w:val="22"/>
        </w:rPr>
        <w:t>l’ampleur</w:t>
      </w:r>
      <w:r w:rsidR="00455C5C" w:rsidRPr="00332FCD">
        <w:rPr>
          <w:rFonts w:ascii="Andes" w:hAnsi="Andes" w:cs="Arial"/>
          <w:sz w:val="22"/>
          <w:szCs w:val="22"/>
        </w:rPr>
        <w:t xml:space="preserve">, des risques et </w:t>
      </w:r>
      <w:r w:rsidRPr="00332FCD">
        <w:rPr>
          <w:rFonts w:ascii="Andes" w:hAnsi="Andes" w:cs="Arial"/>
          <w:sz w:val="22"/>
          <w:szCs w:val="22"/>
        </w:rPr>
        <w:t>de la complexité du marché.</w:t>
      </w:r>
      <w:r w:rsidR="00455C5C" w:rsidRPr="00332FCD">
        <w:rPr>
          <w:rFonts w:ascii="Andes" w:hAnsi="Andes" w:cs="Arial"/>
          <w:sz w:val="22"/>
          <w:szCs w:val="22"/>
        </w:rPr>
        <w:t xml:space="preserve"> Le délai minimum de préparation des Offres/Propositions est de trente</w:t>
      </w:r>
      <w:r w:rsidR="00455C5C" w:rsidRPr="00332FCD">
        <w:rPr>
          <w:rFonts w:ascii="Calibri" w:hAnsi="Calibri" w:cs="Arial"/>
          <w:sz w:val="22"/>
          <w:szCs w:val="22"/>
        </w:rPr>
        <w:t xml:space="preserve"> (30) </w:t>
      </w:r>
      <w:r w:rsidR="00455C5C" w:rsidRPr="00332FCD">
        <w:rPr>
          <w:rFonts w:ascii="Andes" w:hAnsi="Andes" w:cs="Arial"/>
          <w:sz w:val="22"/>
          <w:szCs w:val="22"/>
        </w:rPr>
        <w:t xml:space="preserve">jours ouvrables pour </w:t>
      </w:r>
      <w:r w:rsidR="00EC26D3" w:rsidRPr="00332FCD">
        <w:rPr>
          <w:rFonts w:ascii="Andes" w:hAnsi="Andes" w:cs="Arial"/>
          <w:sz w:val="22"/>
          <w:szCs w:val="22"/>
        </w:rPr>
        <w:t xml:space="preserve">un </w:t>
      </w:r>
      <w:r w:rsidR="00C51DF5">
        <w:rPr>
          <w:rFonts w:ascii="Andes" w:hAnsi="Andes" w:cs="Arial"/>
          <w:sz w:val="22"/>
          <w:szCs w:val="22"/>
        </w:rPr>
        <w:t>Appel d’Offres/ à Propositions</w:t>
      </w:r>
      <w:r w:rsidR="00EC26D3" w:rsidRPr="00332FCD">
        <w:rPr>
          <w:rFonts w:ascii="Andes" w:hAnsi="Andes" w:cs="Arial"/>
          <w:sz w:val="22"/>
          <w:szCs w:val="22"/>
        </w:rPr>
        <w:t xml:space="preserve"> international ouvert</w:t>
      </w:r>
      <w:r w:rsidR="005F02EF" w:rsidRPr="00332FCD">
        <w:rPr>
          <w:rFonts w:ascii="Andes" w:hAnsi="Andes" w:cs="Arial"/>
          <w:sz w:val="22"/>
          <w:szCs w:val="22"/>
        </w:rPr>
        <w:t>,</w:t>
      </w:r>
      <w:r w:rsidR="00C811D2" w:rsidRPr="00332FCD">
        <w:rPr>
          <w:rFonts w:ascii="Andes" w:hAnsi="Andes" w:cs="Arial"/>
          <w:sz w:val="22"/>
          <w:szCs w:val="22"/>
        </w:rPr>
        <w:t xml:space="preserve"> </w:t>
      </w:r>
      <w:r w:rsidR="00455C5C" w:rsidRPr="00332FCD">
        <w:rPr>
          <w:rFonts w:ascii="Andes" w:hAnsi="Andes" w:cs="Arial"/>
          <w:sz w:val="22"/>
          <w:szCs w:val="22"/>
        </w:rPr>
        <w:t>sauf disposition contraire arrêtée avec la Banque</w:t>
      </w:r>
      <w:r w:rsidR="00687669" w:rsidRPr="00332FCD">
        <w:rPr>
          <w:rFonts w:ascii="Andes" w:hAnsi="Andes" w:cs="Arial"/>
          <w:sz w:val="22"/>
          <w:szCs w:val="22"/>
        </w:rPr>
        <w:t xml:space="preserve">. </w:t>
      </w:r>
      <w:r w:rsidR="00455C5C" w:rsidRPr="00332FCD">
        <w:rPr>
          <w:rFonts w:ascii="Andes" w:hAnsi="Andes" w:cs="Arial"/>
          <w:sz w:val="22"/>
          <w:szCs w:val="22"/>
        </w:rPr>
        <w:t>Pour les marchés complexes,</w:t>
      </w:r>
      <w:r w:rsidR="004B739F" w:rsidRPr="00332FCD">
        <w:rPr>
          <w:rFonts w:ascii="Andes" w:hAnsi="Andes" w:cs="Arial"/>
          <w:sz w:val="22"/>
          <w:szCs w:val="22"/>
        </w:rPr>
        <w:t xml:space="preserve"> l’Emprunteur peut organiser une réunion avant la remise des Offres/Propositions pour permettre aux Soumissionnaires/Proposants/Consultants potentiels de rencontrer ses représentants et de demander des précisions.</w:t>
      </w:r>
      <w:r w:rsidR="00687669" w:rsidRPr="00332FCD">
        <w:rPr>
          <w:rFonts w:ascii="Andes" w:hAnsi="Andes" w:cs="Arial"/>
          <w:sz w:val="22"/>
          <w:szCs w:val="22"/>
        </w:rPr>
        <w:t xml:space="preserve"> </w:t>
      </w:r>
      <w:r w:rsidR="004B739F" w:rsidRPr="00332FCD">
        <w:rPr>
          <w:rFonts w:ascii="Andes" w:hAnsi="Andes" w:cs="Arial"/>
          <w:sz w:val="22"/>
          <w:szCs w:val="22"/>
        </w:rPr>
        <w:t xml:space="preserve">L’Emprunteur doit également leur donner un accès raisonnable aux sites du projet. </w:t>
      </w:r>
    </w:p>
    <w:p w14:paraId="4CF73B36" w14:textId="6B947E2F" w:rsidR="00C811D2" w:rsidRPr="00332FCD" w:rsidRDefault="004B739F" w:rsidP="001A50C4">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L’APPM et le do</w:t>
      </w:r>
      <w:r w:rsidR="001B1E81" w:rsidRPr="00332FCD">
        <w:rPr>
          <w:rFonts w:ascii="Andes" w:hAnsi="Andes" w:cs="Arial"/>
          <w:sz w:val="22"/>
          <w:szCs w:val="22"/>
        </w:rPr>
        <w:t>ssier</w:t>
      </w:r>
      <w:r w:rsidRPr="00332FCD">
        <w:rPr>
          <w:rFonts w:ascii="Andes" w:hAnsi="Andes" w:cs="Arial"/>
          <w:sz w:val="22"/>
          <w:szCs w:val="22"/>
        </w:rPr>
        <w:t xml:space="preserve"> d’</w:t>
      </w:r>
      <w:r w:rsidR="00C173B6">
        <w:rPr>
          <w:rFonts w:ascii="Andes" w:hAnsi="Andes" w:cs="Arial"/>
          <w:sz w:val="22"/>
          <w:szCs w:val="22"/>
        </w:rPr>
        <w:t>A</w:t>
      </w:r>
      <w:r w:rsidRPr="00332FCD">
        <w:rPr>
          <w:rFonts w:ascii="Andes" w:hAnsi="Andes" w:cs="Arial"/>
          <w:sz w:val="22"/>
          <w:szCs w:val="22"/>
        </w:rPr>
        <w:t>ppel d’</w:t>
      </w:r>
      <w:r w:rsidR="00C173B6">
        <w:rPr>
          <w:rFonts w:ascii="Andes" w:hAnsi="Andes" w:cs="Arial"/>
          <w:sz w:val="22"/>
          <w:szCs w:val="22"/>
        </w:rPr>
        <w:t>O</w:t>
      </w:r>
      <w:r w:rsidRPr="00332FCD">
        <w:rPr>
          <w:rFonts w:ascii="Andes" w:hAnsi="Andes" w:cs="Arial"/>
          <w:sz w:val="22"/>
          <w:szCs w:val="22"/>
        </w:rPr>
        <w:t xml:space="preserve">ffres/à </w:t>
      </w:r>
      <w:r w:rsidR="00C173B6">
        <w:rPr>
          <w:rFonts w:ascii="Andes" w:hAnsi="Andes" w:cs="Arial"/>
          <w:sz w:val="22"/>
          <w:szCs w:val="22"/>
        </w:rPr>
        <w:t>P</w:t>
      </w:r>
      <w:r w:rsidRPr="00332FCD">
        <w:rPr>
          <w:rFonts w:ascii="Andes" w:hAnsi="Andes" w:cs="Arial"/>
          <w:sz w:val="22"/>
          <w:szCs w:val="22"/>
        </w:rPr>
        <w:t xml:space="preserve">ropositions </w:t>
      </w:r>
      <w:r w:rsidR="001B1E81" w:rsidRPr="00332FCD">
        <w:rPr>
          <w:rFonts w:ascii="Andes" w:hAnsi="Andes" w:cs="Arial"/>
          <w:sz w:val="22"/>
          <w:szCs w:val="22"/>
        </w:rPr>
        <w:t>donnent</w:t>
      </w:r>
      <w:r w:rsidRPr="00332FCD">
        <w:rPr>
          <w:rFonts w:ascii="Andes" w:hAnsi="Andes" w:cs="Arial"/>
          <w:sz w:val="22"/>
          <w:szCs w:val="22"/>
        </w:rPr>
        <w:t xml:space="preserve"> la date limite de</w:t>
      </w:r>
      <w:r w:rsidR="003C5C80" w:rsidRPr="00332FCD">
        <w:rPr>
          <w:rFonts w:ascii="Andes" w:hAnsi="Andes" w:cs="Arial"/>
          <w:sz w:val="22"/>
          <w:szCs w:val="22"/>
        </w:rPr>
        <w:t xml:space="preserve"> remise </w:t>
      </w:r>
      <w:r w:rsidRPr="00332FCD">
        <w:rPr>
          <w:rFonts w:ascii="Andes" w:hAnsi="Andes" w:cs="Arial"/>
          <w:sz w:val="22"/>
          <w:szCs w:val="22"/>
        </w:rPr>
        <w:t>et le lieu de réception des Offres/Propositions</w:t>
      </w:r>
      <w:r w:rsidR="00687669" w:rsidRPr="00332FCD">
        <w:rPr>
          <w:rFonts w:ascii="Andes" w:hAnsi="Andes" w:cs="Arial"/>
          <w:sz w:val="22"/>
          <w:szCs w:val="22"/>
        </w:rPr>
        <w:t>.</w:t>
      </w:r>
      <w:r w:rsidR="003C5C80" w:rsidRPr="00332FCD">
        <w:rPr>
          <w:rFonts w:ascii="Andes" w:hAnsi="Andes" w:cs="Arial"/>
          <w:sz w:val="22"/>
          <w:szCs w:val="22"/>
        </w:rPr>
        <w:t xml:space="preserve"> Les Soumissionnaires/Proposants/Consultants peuvent envoyer leurs Offres/Propositions par la poste ou les remettre en main propre. Les Emprunteurs peuvent également utiliser des systèmes électroniques dans les conditions prévues au </w:t>
      </w:r>
      <w:r w:rsidR="00EE6569">
        <w:rPr>
          <w:rFonts w:ascii="Andes" w:hAnsi="Andes" w:cs="Arial"/>
          <w:sz w:val="22"/>
          <w:szCs w:val="22"/>
        </w:rPr>
        <w:t>P</w:t>
      </w:r>
      <w:r w:rsidR="00F43E5A" w:rsidRPr="00332FCD">
        <w:rPr>
          <w:rFonts w:ascii="Andes" w:hAnsi="Andes" w:cs="Arial"/>
          <w:sz w:val="22"/>
          <w:szCs w:val="22"/>
        </w:rPr>
        <w:t>aragraphe</w:t>
      </w:r>
      <w:r w:rsidR="00F43E5A" w:rsidRPr="00332FCD">
        <w:rPr>
          <w:rFonts w:ascii="Calibri" w:hAnsi="Calibri" w:cs="Calibri"/>
          <w:sz w:val="22"/>
          <w:szCs w:val="22"/>
        </w:rPr>
        <w:t> </w:t>
      </w:r>
      <w:r w:rsidR="007F2ECE" w:rsidRPr="00332FCD">
        <w:rPr>
          <w:rFonts w:ascii="Andes" w:hAnsi="Andes" w:cs="Arial"/>
          <w:sz w:val="22"/>
          <w:szCs w:val="22"/>
        </w:rPr>
        <w:t>5.</w:t>
      </w:r>
      <w:r w:rsidR="007752AC" w:rsidRPr="00332FCD">
        <w:rPr>
          <w:rFonts w:ascii="Andes" w:hAnsi="Andes" w:cs="Arial"/>
          <w:sz w:val="22"/>
          <w:szCs w:val="22"/>
        </w:rPr>
        <w:t>8</w:t>
      </w:r>
      <w:r w:rsidR="00C54C69" w:rsidRPr="00332FCD">
        <w:rPr>
          <w:rFonts w:ascii="Andes" w:hAnsi="Andes" w:cs="Arial"/>
          <w:sz w:val="22"/>
          <w:szCs w:val="22"/>
        </w:rPr>
        <w:t>.</w:t>
      </w:r>
    </w:p>
    <w:p w14:paraId="43A764F4" w14:textId="0A53DFF2" w:rsidR="00BB1F8F" w:rsidRPr="00332FCD" w:rsidRDefault="00207415" w:rsidP="001A50C4">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 xml:space="preserve"> Groupement d’entreprises</w:t>
      </w:r>
    </w:p>
    <w:p w14:paraId="07D8B26C" w14:textId="7CB7CAE8" w:rsidR="00BB1F8F" w:rsidRPr="00332FCD" w:rsidRDefault="002E41E5" w:rsidP="001A50C4">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Les entreprises participant à des marchés financés par la Banque peuvent s’associer à des entreprises nationales et/ou étrangères pour renforcer leurs compétences et leurs capacités. Un</w:t>
      </w:r>
      <w:r w:rsidR="00207415" w:rsidRPr="00332FCD">
        <w:rPr>
          <w:rFonts w:ascii="Andes" w:hAnsi="Andes" w:cs="Arial"/>
          <w:sz w:val="22"/>
          <w:szCs w:val="22"/>
        </w:rPr>
        <w:t xml:space="preserve"> groupement d’entreprises </w:t>
      </w:r>
      <w:r w:rsidRPr="00332FCD">
        <w:rPr>
          <w:rFonts w:ascii="Andes" w:hAnsi="Andes" w:cs="Arial"/>
          <w:sz w:val="22"/>
          <w:szCs w:val="22"/>
        </w:rPr>
        <w:t xml:space="preserve">peut être constitué pour une longue durée (indépendamment d'une candidature à un marché) ou à l'occasion d’un marché donné. Tous les </w:t>
      </w:r>
      <w:r w:rsidR="00207415" w:rsidRPr="00332FCD">
        <w:rPr>
          <w:rFonts w:ascii="Andes" w:hAnsi="Andes" w:cs="Arial"/>
          <w:sz w:val="22"/>
          <w:szCs w:val="22"/>
        </w:rPr>
        <w:t xml:space="preserve">membres à ce groupement d’entreprises </w:t>
      </w:r>
      <w:r w:rsidRPr="00332FCD">
        <w:rPr>
          <w:rFonts w:ascii="Andes" w:hAnsi="Andes" w:cs="Arial"/>
          <w:sz w:val="22"/>
          <w:szCs w:val="22"/>
        </w:rPr>
        <w:t xml:space="preserve">sont solidairement et conjointement responsables pour </w:t>
      </w:r>
      <w:r w:rsidR="00341E9F" w:rsidRPr="00332FCD">
        <w:rPr>
          <w:rFonts w:ascii="Andes" w:hAnsi="Andes" w:cs="Arial"/>
          <w:sz w:val="22"/>
          <w:szCs w:val="22"/>
        </w:rPr>
        <w:t>le contrat dans son intégralité.</w:t>
      </w:r>
      <w:r w:rsidRPr="00332FCD">
        <w:rPr>
          <w:rFonts w:ascii="Andes" w:hAnsi="Andes" w:cs="Arial"/>
          <w:sz w:val="22"/>
          <w:szCs w:val="22"/>
        </w:rPr>
        <w:t xml:space="preserve"> La Banque n’accepte pas que</w:t>
      </w:r>
      <w:r w:rsidR="00341E9F" w:rsidRPr="00332FCD">
        <w:rPr>
          <w:rFonts w:ascii="Andes" w:hAnsi="Andes" w:cs="Arial"/>
          <w:sz w:val="22"/>
          <w:szCs w:val="22"/>
        </w:rPr>
        <w:t xml:space="preserve"> la participation à un marché soit subordonnée </w:t>
      </w:r>
      <w:r w:rsidRPr="00332FCD">
        <w:rPr>
          <w:rFonts w:ascii="Andes" w:hAnsi="Andes" w:cs="Arial"/>
          <w:sz w:val="22"/>
          <w:szCs w:val="22"/>
        </w:rPr>
        <w:t>à la constitution</w:t>
      </w:r>
      <w:r w:rsidR="00341E9F" w:rsidRPr="00332FCD">
        <w:rPr>
          <w:rFonts w:ascii="Andes" w:hAnsi="Andes" w:cs="Arial"/>
          <w:sz w:val="22"/>
          <w:szCs w:val="22"/>
        </w:rPr>
        <w:t xml:space="preserve"> d’un</w:t>
      </w:r>
      <w:r w:rsidR="00207415" w:rsidRPr="00332FCD">
        <w:rPr>
          <w:rFonts w:ascii="Andes" w:hAnsi="Andes" w:cs="Arial"/>
          <w:sz w:val="22"/>
          <w:szCs w:val="22"/>
        </w:rPr>
        <w:t xml:space="preserve"> groupement d’entreprises </w:t>
      </w:r>
      <w:r w:rsidRPr="00332FCD">
        <w:rPr>
          <w:rFonts w:ascii="Andes" w:hAnsi="Andes" w:cs="Arial"/>
          <w:sz w:val="22"/>
          <w:szCs w:val="22"/>
        </w:rPr>
        <w:t xml:space="preserve">ou à d’autres formes d’association obligatoire entre entreprises. </w:t>
      </w:r>
    </w:p>
    <w:p w14:paraId="1F417B2E" w14:textId="72687E21" w:rsidR="00E51192" w:rsidRPr="00332FCD" w:rsidRDefault="00341E9F" w:rsidP="001A50C4">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Validité des Offres/Propositions</w:t>
      </w:r>
    </w:p>
    <w:p w14:paraId="2E1F520D" w14:textId="136E87A9" w:rsidR="00E51192" w:rsidRPr="00332FCD" w:rsidRDefault="00341E9F" w:rsidP="001A50C4">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La période de validité des Offres/Propositions mentionnée dans le </w:t>
      </w:r>
      <w:r w:rsidR="003A07A0" w:rsidRPr="00332FCD">
        <w:rPr>
          <w:rFonts w:ascii="Andes" w:hAnsi="Andes" w:cs="Arial"/>
          <w:sz w:val="22"/>
          <w:szCs w:val="22"/>
        </w:rPr>
        <w:t>dossier d’</w:t>
      </w:r>
      <w:r w:rsidR="00A41638">
        <w:rPr>
          <w:rFonts w:ascii="Andes" w:hAnsi="Andes" w:cs="Arial"/>
          <w:sz w:val="22"/>
          <w:szCs w:val="22"/>
        </w:rPr>
        <w:t>A</w:t>
      </w:r>
      <w:r w:rsidR="003A07A0" w:rsidRPr="00332FCD">
        <w:rPr>
          <w:rFonts w:ascii="Andes" w:hAnsi="Andes" w:cs="Arial"/>
          <w:sz w:val="22"/>
          <w:szCs w:val="22"/>
        </w:rPr>
        <w:t>ppel</w:t>
      </w:r>
      <w:r w:rsidRPr="00332FCD">
        <w:rPr>
          <w:rFonts w:ascii="Andes" w:hAnsi="Andes" w:cs="Arial"/>
          <w:sz w:val="22"/>
          <w:szCs w:val="22"/>
        </w:rPr>
        <w:t xml:space="preserve"> d’</w:t>
      </w:r>
      <w:r w:rsidR="00F86F20">
        <w:rPr>
          <w:rFonts w:ascii="Andes" w:hAnsi="Andes" w:cs="Arial"/>
          <w:sz w:val="22"/>
          <w:szCs w:val="22"/>
        </w:rPr>
        <w:t>O</w:t>
      </w:r>
      <w:r w:rsidRPr="00332FCD">
        <w:rPr>
          <w:rFonts w:ascii="Andes" w:hAnsi="Andes" w:cs="Arial"/>
          <w:sz w:val="22"/>
          <w:szCs w:val="22"/>
        </w:rPr>
        <w:t xml:space="preserve">ffres/à </w:t>
      </w:r>
      <w:r w:rsidR="00F86F20">
        <w:rPr>
          <w:rFonts w:ascii="Andes" w:hAnsi="Andes" w:cs="Arial"/>
          <w:sz w:val="22"/>
          <w:szCs w:val="22"/>
        </w:rPr>
        <w:t>P</w:t>
      </w:r>
      <w:r w:rsidRPr="00332FCD">
        <w:rPr>
          <w:rFonts w:ascii="Andes" w:hAnsi="Andes" w:cs="Arial"/>
          <w:sz w:val="22"/>
          <w:szCs w:val="22"/>
        </w:rPr>
        <w:t>ropositions doit être suffisante pour permettre à l’Emprunteur de</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w:t>
      </w:r>
    </w:p>
    <w:p w14:paraId="029B9B5C" w14:textId="3C4794AC" w:rsidR="00E51192" w:rsidRPr="00332FCD" w:rsidRDefault="00341E9F" w:rsidP="001A50C4">
      <w:pPr>
        <w:pStyle w:val="Paragraphedeliste"/>
        <w:numPr>
          <w:ilvl w:val="0"/>
          <w:numId w:val="157"/>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comparer et évaluer les Offres/Propositions</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00E51192" w:rsidRPr="00332FCD">
        <w:rPr>
          <w:rFonts w:ascii="Andes" w:eastAsiaTheme="minorHAnsi" w:hAnsi="Andes" w:cs="Arial"/>
          <w:color w:val="000000"/>
          <w:sz w:val="22"/>
          <w:szCs w:val="22"/>
        </w:rPr>
        <w:t xml:space="preserve"> </w:t>
      </w:r>
    </w:p>
    <w:p w14:paraId="26A3DBB6" w14:textId="1494626E" w:rsidR="00E51192" w:rsidRPr="00332FCD" w:rsidRDefault="00085120" w:rsidP="001A50C4">
      <w:pPr>
        <w:pStyle w:val="Paragraphedeliste"/>
        <w:numPr>
          <w:ilvl w:val="0"/>
          <w:numId w:val="157"/>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obtenir toutes les approbations nécessaires de la part de l’organisme responsable de la passation du marché</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w:t>
      </w:r>
    </w:p>
    <w:p w14:paraId="51144F90" w14:textId="20C56EBC" w:rsidR="00255143" w:rsidRPr="000A68E8" w:rsidRDefault="00085120" w:rsidP="001A50C4">
      <w:pPr>
        <w:pStyle w:val="Paragraphedeliste"/>
        <w:numPr>
          <w:ilvl w:val="0"/>
          <w:numId w:val="157"/>
        </w:numPr>
        <w:spacing w:before="0" w:line="240" w:lineRule="auto"/>
        <w:contextualSpacing w:val="0"/>
        <w:rPr>
          <w:rFonts w:ascii="Andes" w:hAnsi="Andes" w:cs="Arial"/>
          <w:sz w:val="22"/>
          <w:szCs w:val="22"/>
        </w:rPr>
      </w:pPr>
      <w:r w:rsidRPr="00332FCD">
        <w:rPr>
          <w:rFonts w:ascii="Andes" w:eastAsiaTheme="minorHAnsi" w:hAnsi="Andes" w:cs="Arial"/>
          <w:color w:val="000000"/>
          <w:sz w:val="22"/>
          <w:szCs w:val="22"/>
        </w:rPr>
        <w:lastRenderedPageBreak/>
        <w:t>tenir compte d</w:t>
      </w:r>
      <w:r w:rsidR="004504E6">
        <w:rPr>
          <w:rFonts w:ascii="Andes" w:eastAsiaTheme="minorHAnsi" w:hAnsi="Andes" w:cs="Arial"/>
          <w:color w:val="000000"/>
          <w:sz w:val="22"/>
          <w:szCs w:val="22"/>
        </w:rPr>
        <w:t xml:space="preserve">u temps nécessaire pour </w:t>
      </w:r>
      <w:r w:rsidRPr="00332FCD">
        <w:rPr>
          <w:rFonts w:ascii="Andes" w:eastAsiaTheme="minorHAnsi" w:hAnsi="Andes" w:cs="Arial"/>
          <w:color w:val="000000"/>
          <w:sz w:val="22"/>
          <w:szCs w:val="22"/>
        </w:rPr>
        <w:t xml:space="preserve">l’examen préalable </w:t>
      </w:r>
      <w:r w:rsidR="004504E6">
        <w:rPr>
          <w:rFonts w:ascii="Andes" w:eastAsiaTheme="minorHAnsi" w:hAnsi="Andes" w:cs="Arial"/>
          <w:color w:val="000000"/>
          <w:sz w:val="22"/>
          <w:szCs w:val="22"/>
        </w:rPr>
        <w:t xml:space="preserve">par </w:t>
      </w:r>
      <w:r w:rsidRPr="00332FCD">
        <w:rPr>
          <w:rFonts w:ascii="Andes" w:eastAsiaTheme="minorHAnsi" w:hAnsi="Andes" w:cs="Arial"/>
          <w:color w:val="000000"/>
          <w:sz w:val="22"/>
          <w:szCs w:val="22"/>
        </w:rPr>
        <w:t>la Banque, si le Plan de Passation des Marchés le prescrit</w:t>
      </w:r>
      <w:r w:rsidR="00255143">
        <w:rPr>
          <w:rFonts w:ascii="Andes" w:eastAsiaTheme="minorHAnsi" w:hAnsi="Andes" w:cs="Arial"/>
          <w:color w:val="000000"/>
          <w:sz w:val="22"/>
          <w:szCs w:val="22"/>
        </w:rPr>
        <w:t> ; et</w:t>
      </w:r>
    </w:p>
    <w:p w14:paraId="77308CF0" w14:textId="2ADA4A98" w:rsidR="00E51192" w:rsidRPr="00332FCD" w:rsidRDefault="00255143" w:rsidP="001A50C4">
      <w:pPr>
        <w:pStyle w:val="Paragraphedeliste"/>
        <w:numPr>
          <w:ilvl w:val="0"/>
          <w:numId w:val="157"/>
        </w:numPr>
        <w:spacing w:before="0" w:line="240" w:lineRule="auto"/>
        <w:contextualSpacing w:val="0"/>
        <w:rPr>
          <w:rFonts w:ascii="Andes" w:hAnsi="Andes" w:cs="Arial"/>
          <w:sz w:val="22"/>
          <w:szCs w:val="22"/>
        </w:rPr>
      </w:pPr>
      <w:r>
        <w:rPr>
          <w:rFonts w:ascii="Andes" w:eastAsiaTheme="minorHAnsi" w:hAnsi="Andes" w:cs="Arial"/>
          <w:color w:val="000000"/>
          <w:sz w:val="22"/>
          <w:szCs w:val="22"/>
        </w:rPr>
        <w:t>attribuer le marché</w:t>
      </w:r>
      <w:r w:rsidR="00E51192" w:rsidRPr="00332FCD">
        <w:rPr>
          <w:rFonts w:ascii="Andes" w:hAnsi="Andes" w:cs="Arial"/>
          <w:sz w:val="22"/>
          <w:szCs w:val="22"/>
        </w:rPr>
        <w:t>.</w:t>
      </w:r>
    </w:p>
    <w:p w14:paraId="1C9BD065" w14:textId="726FB616" w:rsidR="00C811D2" w:rsidRPr="00332FCD" w:rsidRDefault="00AD1EF8" w:rsidP="001A50C4">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Ouverture des plis</w:t>
      </w:r>
    </w:p>
    <w:p w14:paraId="08D84349" w14:textId="73472B02" w:rsidR="004B6558" w:rsidRDefault="00860B6A" w:rsidP="001A50C4">
      <w:pPr>
        <w:pStyle w:val="Paragraphedeliste"/>
        <w:numPr>
          <w:ilvl w:val="0"/>
          <w:numId w:val="78"/>
        </w:numPr>
        <w:spacing w:before="0" w:line="240" w:lineRule="auto"/>
        <w:ind w:left="634" w:hanging="634"/>
        <w:contextualSpacing w:val="0"/>
        <w:rPr>
          <w:rFonts w:ascii="Andes" w:hAnsi="Andes" w:cs="Arial"/>
          <w:sz w:val="22"/>
          <w:szCs w:val="22"/>
        </w:rPr>
      </w:pPr>
      <w:r w:rsidRPr="00882278">
        <w:rPr>
          <w:rFonts w:ascii="Andes" w:hAnsi="Andes" w:cs="Arial"/>
          <w:sz w:val="22"/>
          <w:szCs w:val="22"/>
        </w:rPr>
        <w:t xml:space="preserve">Dans le cas d'une procédure en </w:t>
      </w:r>
      <w:r w:rsidR="004C7E91">
        <w:rPr>
          <w:rFonts w:ascii="Andes" w:hAnsi="Andes" w:cs="Arial"/>
          <w:sz w:val="22"/>
          <w:szCs w:val="22"/>
        </w:rPr>
        <w:t xml:space="preserve">une seule étape, une </w:t>
      </w:r>
      <w:r w:rsidRPr="00882278">
        <w:rPr>
          <w:rFonts w:ascii="Andes" w:hAnsi="Andes" w:cs="Arial"/>
          <w:sz w:val="22"/>
          <w:szCs w:val="22"/>
        </w:rPr>
        <w:t xml:space="preserve">seule enveloppe, ou pour la première enveloppe d'une procédure en deux étapes, la date et l'heure d'ouverture des </w:t>
      </w:r>
      <w:r w:rsidR="00F03D20">
        <w:rPr>
          <w:rFonts w:ascii="Andes" w:hAnsi="Andes" w:cs="Arial"/>
          <w:sz w:val="22"/>
          <w:szCs w:val="22"/>
        </w:rPr>
        <w:t>O</w:t>
      </w:r>
      <w:r w:rsidRPr="00882278">
        <w:rPr>
          <w:rFonts w:ascii="Andes" w:hAnsi="Andes" w:cs="Arial"/>
          <w:sz w:val="22"/>
          <w:szCs w:val="22"/>
        </w:rPr>
        <w:t>ffres/</w:t>
      </w:r>
      <w:r w:rsidR="00F03D20">
        <w:rPr>
          <w:rFonts w:ascii="Andes" w:hAnsi="Andes" w:cs="Arial"/>
          <w:sz w:val="22"/>
          <w:szCs w:val="22"/>
        </w:rPr>
        <w:t>P</w:t>
      </w:r>
      <w:r w:rsidRPr="00882278">
        <w:rPr>
          <w:rFonts w:ascii="Andes" w:hAnsi="Andes" w:cs="Arial"/>
          <w:sz w:val="22"/>
          <w:szCs w:val="22"/>
        </w:rPr>
        <w:t xml:space="preserve">ropositions sont les mêmes que la date limite de réception des </w:t>
      </w:r>
      <w:r w:rsidR="00F03D20">
        <w:rPr>
          <w:rFonts w:ascii="Andes" w:hAnsi="Andes" w:cs="Arial"/>
          <w:sz w:val="22"/>
          <w:szCs w:val="22"/>
        </w:rPr>
        <w:t>O</w:t>
      </w:r>
      <w:r w:rsidRPr="00882278">
        <w:rPr>
          <w:rFonts w:ascii="Andes" w:hAnsi="Andes" w:cs="Arial"/>
          <w:sz w:val="22"/>
          <w:szCs w:val="22"/>
        </w:rPr>
        <w:t>ffres/</w:t>
      </w:r>
      <w:r w:rsidR="00F03D20">
        <w:rPr>
          <w:rFonts w:ascii="Andes" w:hAnsi="Andes" w:cs="Arial"/>
          <w:sz w:val="22"/>
          <w:szCs w:val="22"/>
        </w:rPr>
        <w:t>P</w:t>
      </w:r>
      <w:r w:rsidRPr="00882278">
        <w:rPr>
          <w:rFonts w:ascii="Andes" w:hAnsi="Andes" w:cs="Arial"/>
          <w:sz w:val="22"/>
          <w:szCs w:val="22"/>
        </w:rPr>
        <w:t>ropositions ou peu de temps après.  La date et l'heure de l'</w:t>
      </w:r>
      <w:r w:rsidR="00DA39CF">
        <w:rPr>
          <w:rFonts w:ascii="Andes" w:hAnsi="Andes" w:cs="Arial"/>
          <w:sz w:val="22"/>
          <w:szCs w:val="22"/>
        </w:rPr>
        <w:t>ouverture de ces</w:t>
      </w:r>
      <w:r w:rsidRPr="00882278">
        <w:rPr>
          <w:rFonts w:ascii="Andes" w:hAnsi="Andes" w:cs="Arial"/>
          <w:sz w:val="22"/>
          <w:szCs w:val="22"/>
        </w:rPr>
        <w:t xml:space="preserve"> </w:t>
      </w:r>
      <w:r w:rsidR="00DA39CF">
        <w:rPr>
          <w:rFonts w:ascii="Andes" w:hAnsi="Andes" w:cs="Arial"/>
          <w:sz w:val="22"/>
          <w:szCs w:val="22"/>
        </w:rPr>
        <w:t>O</w:t>
      </w:r>
      <w:r w:rsidRPr="00882278">
        <w:rPr>
          <w:rFonts w:ascii="Andes" w:hAnsi="Andes" w:cs="Arial"/>
          <w:sz w:val="22"/>
          <w:szCs w:val="22"/>
        </w:rPr>
        <w:t>ffres/</w:t>
      </w:r>
      <w:r w:rsidR="00DA39CF">
        <w:rPr>
          <w:rFonts w:ascii="Andes" w:hAnsi="Andes" w:cs="Arial"/>
          <w:sz w:val="22"/>
          <w:szCs w:val="22"/>
        </w:rPr>
        <w:t>P</w:t>
      </w:r>
      <w:r w:rsidRPr="00882278">
        <w:rPr>
          <w:rFonts w:ascii="Andes" w:hAnsi="Andes" w:cs="Arial"/>
          <w:sz w:val="22"/>
          <w:szCs w:val="22"/>
        </w:rPr>
        <w:t xml:space="preserve">ropositions sont annoncées, ainsi que le lieu d'ouverture des </w:t>
      </w:r>
      <w:r w:rsidR="00DA39CF">
        <w:rPr>
          <w:rFonts w:ascii="Andes" w:hAnsi="Andes" w:cs="Arial"/>
          <w:sz w:val="22"/>
          <w:szCs w:val="22"/>
        </w:rPr>
        <w:t>O</w:t>
      </w:r>
      <w:r w:rsidRPr="00882278">
        <w:rPr>
          <w:rFonts w:ascii="Andes" w:hAnsi="Andes" w:cs="Arial"/>
          <w:sz w:val="22"/>
          <w:szCs w:val="22"/>
        </w:rPr>
        <w:t>ffres/</w:t>
      </w:r>
      <w:r w:rsidR="00DA39CF">
        <w:rPr>
          <w:rFonts w:ascii="Andes" w:hAnsi="Andes" w:cs="Arial"/>
          <w:sz w:val="22"/>
          <w:szCs w:val="22"/>
        </w:rPr>
        <w:t>P</w:t>
      </w:r>
      <w:r w:rsidRPr="00882278">
        <w:rPr>
          <w:rFonts w:ascii="Andes" w:hAnsi="Andes" w:cs="Arial"/>
          <w:sz w:val="22"/>
          <w:szCs w:val="22"/>
        </w:rPr>
        <w:t xml:space="preserve">ropositions, dans le </w:t>
      </w:r>
      <w:r w:rsidR="008165B4">
        <w:rPr>
          <w:rFonts w:ascii="Andes" w:hAnsi="Andes" w:cs="Arial"/>
          <w:sz w:val="22"/>
          <w:szCs w:val="22"/>
        </w:rPr>
        <w:t>D</w:t>
      </w:r>
      <w:r w:rsidRPr="00882278">
        <w:rPr>
          <w:rFonts w:ascii="Andes" w:hAnsi="Andes" w:cs="Arial"/>
          <w:sz w:val="22"/>
          <w:szCs w:val="22"/>
        </w:rPr>
        <w:t>ocument d'appel d'offres/</w:t>
      </w:r>
      <w:r w:rsidR="008165B4">
        <w:rPr>
          <w:rFonts w:ascii="Andes" w:hAnsi="Andes" w:cs="Arial"/>
          <w:sz w:val="22"/>
          <w:szCs w:val="22"/>
        </w:rPr>
        <w:t>D</w:t>
      </w:r>
      <w:r w:rsidRPr="00882278">
        <w:rPr>
          <w:rFonts w:ascii="Andes" w:hAnsi="Andes" w:cs="Arial"/>
          <w:sz w:val="22"/>
          <w:szCs w:val="22"/>
        </w:rPr>
        <w:t xml:space="preserve">emande de propositions et/ou dans </w:t>
      </w:r>
      <w:r w:rsidR="008165B4">
        <w:rPr>
          <w:rFonts w:ascii="Andes" w:hAnsi="Andes" w:cs="Arial"/>
          <w:sz w:val="22"/>
          <w:szCs w:val="22"/>
        </w:rPr>
        <w:t>l’APPM</w:t>
      </w:r>
      <w:r w:rsidRPr="00882278">
        <w:rPr>
          <w:rFonts w:ascii="Andes" w:hAnsi="Andes" w:cs="Arial"/>
          <w:sz w:val="22"/>
          <w:szCs w:val="22"/>
        </w:rPr>
        <w:t xml:space="preserve">.  </w:t>
      </w:r>
      <w:r w:rsidR="001A50C4" w:rsidRPr="00332FCD">
        <w:rPr>
          <w:rFonts w:ascii="Andes" w:hAnsi="Andes" w:cs="Arial"/>
          <w:sz w:val="22"/>
          <w:szCs w:val="22"/>
        </w:rPr>
        <w:t xml:space="preserve">Dans une procédure à </w:t>
      </w:r>
      <w:r w:rsidR="004D30FA" w:rsidRPr="00332FCD">
        <w:rPr>
          <w:rFonts w:ascii="Andes" w:hAnsi="Andes" w:cs="Arial"/>
          <w:sz w:val="22"/>
          <w:szCs w:val="22"/>
        </w:rPr>
        <w:t xml:space="preserve">une seule étape </w:t>
      </w:r>
      <w:r w:rsidR="001A50C4" w:rsidRPr="00332FCD">
        <w:rPr>
          <w:rFonts w:ascii="Andes" w:hAnsi="Andes" w:cs="Arial"/>
          <w:sz w:val="22"/>
          <w:szCs w:val="22"/>
        </w:rPr>
        <w:t xml:space="preserve">et </w:t>
      </w:r>
      <w:r w:rsidR="004D30FA" w:rsidRPr="00332FCD">
        <w:rPr>
          <w:rFonts w:ascii="Andes" w:hAnsi="Andes" w:cs="Arial"/>
          <w:sz w:val="22"/>
          <w:szCs w:val="22"/>
        </w:rPr>
        <w:t>double enveloppe</w:t>
      </w:r>
      <w:r w:rsidR="001A50C4" w:rsidRPr="00332FCD">
        <w:rPr>
          <w:rFonts w:ascii="Andes" w:hAnsi="Andes" w:cs="Arial"/>
          <w:sz w:val="22"/>
          <w:szCs w:val="22"/>
        </w:rPr>
        <w:t xml:space="preserve">, la date, </w:t>
      </w:r>
      <w:r w:rsidR="00EC26D3" w:rsidRPr="00332FCD">
        <w:rPr>
          <w:rFonts w:ascii="Andes" w:hAnsi="Andes" w:cs="Arial"/>
          <w:sz w:val="22"/>
          <w:szCs w:val="22"/>
        </w:rPr>
        <w:t xml:space="preserve">l’heure </w:t>
      </w:r>
      <w:r w:rsidR="001A50C4" w:rsidRPr="00332FCD">
        <w:rPr>
          <w:rFonts w:ascii="Andes" w:hAnsi="Andes" w:cs="Arial"/>
          <w:sz w:val="22"/>
          <w:szCs w:val="22"/>
        </w:rPr>
        <w:t xml:space="preserve">et le lieu de l’ouverture de la seconde enveloppe doivent aussi être annoncés en conséquence. </w:t>
      </w:r>
    </w:p>
    <w:p w14:paraId="20967A40" w14:textId="7FA7B13B" w:rsidR="000128B2" w:rsidRPr="00332FCD" w:rsidRDefault="005C2C8C" w:rsidP="001A50C4">
      <w:pPr>
        <w:pStyle w:val="Paragraphedeliste"/>
        <w:numPr>
          <w:ilvl w:val="0"/>
          <w:numId w:val="78"/>
        </w:numPr>
        <w:spacing w:before="0" w:line="240" w:lineRule="auto"/>
        <w:ind w:left="634" w:hanging="634"/>
        <w:contextualSpacing w:val="0"/>
        <w:rPr>
          <w:rFonts w:ascii="Andes" w:hAnsi="Andes" w:cs="Arial"/>
          <w:sz w:val="22"/>
          <w:szCs w:val="22"/>
        </w:rPr>
      </w:pPr>
      <w:r>
        <w:rPr>
          <w:rFonts w:ascii="Andes" w:hAnsi="Andes" w:cs="Arial"/>
          <w:sz w:val="22"/>
          <w:szCs w:val="22"/>
        </w:rPr>
        <w:t>Dans le cas du processus à deux envelop</w:t>
      </w:r>
      <w:r w:rsidR="00195B72">
        <w:rPr>
          <w:rFonts w:ascii="Andes" w:hAnsi="Andes" w:cs="Arial"/>
          <w:sz w:val="22"/>
          <w:szCs w:val="22"/>
        </w:rPr>
        <w:t>p</w:t>
      </w:r>
      <w:r>
        <w:rPr>
          <w:rFonts w:ascii="Andes" w:hAnsi="Andes" w:cs="Arial"/>
          <w:sz w:val="22"/>
          <w:szCs w:val="22"/>
        </w:rPr>
        <w:t xml:space="preserve">es </w:t>
      </w:r>
      <w:r w:rsidR="00195B72">
        <w:rPr>
          <w:rFonts w:ascii="Andes" w:hAnsi="Andes" w:cs="Arial"/>
          <w:sz w:val="22"/>
          <w:szCs w:val="22"/>
        </w:rPr>
        <w:t xml:space="preserve">(sans MOF ou Négociations, ou un processus autre que le Dialogue Compétitif), la seconde enveloppe ne doit pas être ouverte avant dix (10) jours ouvrables à compter de la communication aux Soumissionnaires/ Proposants/ Consultants </w:t>
      </w:r>
      <w:r w:rsidR="00937266">
        <w:rPr>
          <w:rFonts w:ascii="Andes" w:hAnsi="Andes" w:cs="Arial"/>
          <w:sz w:val="22"/>
          <w:szCs w:val="22"/>
        </w:rPr>
        <w:t>d</w:t>
      </w:r>
      <w:r w:rsidR="00195B72">
        <w:rPr>
          <w:rFonts w:ascii="Andes" w:hAnsi="Andes" w:cs="Arial"/>
          <w:sz w:val="22"/>
          <w:szCs w:val="22"/>
        </w:rPr>
        <w:t>es résultats de l’évaluation de la première enveloppe. Cependant, si l’Emprunteur reçoit une plainte relative à la passation de marchés</w:t>
      </w:r>
      <w:r w:rsidR="00806FFA">
        <w:rPr>
          <w:rFonts w:ascii="Andes" w:hAnsi="Andes" w:cs="Arial"/>
          <w:sz w:val="22"/>
          <w:szCs w:val="22"/>
        </w:rPr>
        <w:t xml:space="preserve"> liée aux résultats de l’évaluation de la première enveloppe dans les dix (10) jours</w:t>
      </w:r>
      <w:r w:rsidR="00937266">
        <w:rPr>
          <w:rFonts w:ascii="Andes" w:hAnsi="Andes" w:cs="Arial"/>
          <w:sz w:val="22"/>
          <w:szCs w:val="22"/>
        </w:rPr>
        <w:t xml:space="preserve"> ouvrables</w:t>
      </w:r>
      <w:r w:rsidR="00806FFA">
        <w:rPr>
          <w:rFonts w:ascii="Andes" w:hAnsi="Andes" w:cs="Arial"/>
          <w:sz w:val="22"/>
          <w:szCs w:val="22"/>
        </w:rPr>
        <w:t>, la date d’ouverture</w:t>
      </w:r>
      <w:r w:rsidR="006F461C">
        <w:rPr>
          <w:rFonts w:ascii="Andes" w:hAnsi="Andes" w:cs="Arial"/>
          <w:sz w:val="22"/>
          <w:szCs w:val="22"/>
        </w:rPr>
        <w:t xml:space="preserve"> de la deuxième enveloppe</w:t>
      </w:r>
      <w:r w:rsidR="00806FFA">
        <w:rPr>
          <w:rFonts w:ascii="Andes" w:hAnsi="Andes" w:cs="Arial"/>
          <w:sz w:val="22"/>
          <w:szCs w:val="22"/>
        </w:rPr>
        <w:t xml:space="preserve"> doit être conditionnée par le Paragraphe 3.1 (b) de l’Annexe III, Plaintes </w:t>
      </w:r>
      <w:r w:rsidR="00D20D35">
        <w:rPr>
          <w:rFonts w:ascii="Andes" w:hAnsi="Andes" w:cs="Arial"/>
          <w:sz w:val="22"/>
          <w:szCs w:val="22"/>
        </w:rPr>
        <w:t>relatives</w:t>
      </w:r>
      <w:r w:rsidR="006F00D5">
        <w:rPr>
          <w:rFonts w:ascii="Andes" w:hAnsi="Andes" w:cs="Arial"/>
          <w:sz w:val="22"/>
          <w:szCs w:val="22"/>
        </w:rPr>
        <w:t xml:space="preserve"> à</w:t>
      </w:r>
      <w:r w:rsidR="00806FFA">
        <w:rPr>
          <w:rFonts w:ascii="Andes" w:hAnsi="Andes" w:cs="Arial"/>
          <w:sz w:val="22"/>
          <w:szCs w:val="22"/>
        </w:rPr>
        <w:t xml:space="preserve"> la Passation de</w:t>
      </w:r>
      <w:r w:rsidR="006F00D5">
        <w:rPr>
          <w:rFonts w:ascii="Andes" w:hAnsi="Andes" w:cs="Arial"/>
          <w:sz w:val="22"/>
          <w:szCs w:val="22"/>
        </w:rPr>
        <w:t>s</w:t>
      </w:r>
      <w:r w:rsidR="00806FFA">
        <w:rPr>
          <w:rFonts w:ascii="Andes" w:hAnsi="Andes" w:cs="Arial"/>
          <w:sz w:val="22"/>
          <w:szCs w:val="22"/>
        </w:rPr>
        <w:t xml:space="preserve"> </w:t>
      </w:r>
      <w:r w:rsidR="006F00D5">
        <w:rPr>
          <w:rFonts w:ascii="Andes" w:hAnsi="Andes" w:cs="Arial"/>
          <w:sz w:val="22"/>
          <w:szCs w:val="22"/>
        </w:rPr>
        <w:t>M</w:t>
      </w:r>
      <w:r w:rsidR="00806FFA">
        <w:rPr>
          <w:rFonts w:ascii="Andes" w:hAnsi="Andes" w:cs="Arial"/>
          <w:sz w:val="22"/>
          <w:szCs w:val="22"/>
        </w:rPr>
        <w:t>archés.</w:t>
      </w:r>
      <w:r w:rsidR="00195B72">
        <w:rPr>
          <w:rFonts w:ascii="Andes" w:hAnsi="Andes" w:cs="Arial"/>
          <w:sz w:val="22"/>
          <w:szCs w:val="22"/>
        </w:rPr>
        <w:t xml:space="preserve">  </w:t>
      </w:r>
    </w:p>
    <w:p w14:paraId="47DCAEA2" w14:textId="31F01301" w:rsidR="00C12B16" w:rsidRPr="00332FCD" w:rsidRDefault="00365C02" w:rsidP="009A43BE">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En règle générale, la séance d’ouverture des plis </w:t>
      </w:r>
      <w:r w:rsidR="0049426A" w:rsidRPr="00332FCD">
        <w:rPr>
          <w:rFonts w:ascii="Andes" w:hAnsi="Andes" w:cs="Arial"/>
          <w:sz w:val="22"/>
          <w:szCs w:val="22"/>
        </w:rPr>
        <w:t xml:space="preserve">contenant les Offres/Propositions </w:t>
      </w:r>
      <w:r w:rsidRPr="00332FCD">
        <w:rPr>
          <w:rFonts w:ascii="Andes" w:hAnsi="Andes" w:cs="Arial"/>
          <w:sz w:val="22"/>
          <w:szCs w:val="22"/>
        </w:rPr>
        <w:t xml:space="preserve">est publique. Dans certains cas (p. ex. </w:t>
      </w:r>
      <w:r w:rsidR="0067580A" w:rsidRPr="00332FCD">
        <w:rPr>
          <w:rFonts w:ascii="Andes" w:hAnsi="Andes" w:cs="Arial"/>
          <w:sz w:val="22"/>
          <w:szCs w:val="22"/>
        </w:rPr>
        <w:t xml:space="preserve">lorsqu’une procédure de MOF ou de Négociations est utilisée, ou lors d’un Dialogue </w:t>
      </w:r>
      <w:r w:rsidR="007C649B" w:rsidRPr="00332FCD">
        <w:rPr>
          <w:rFonts w:ascii="Andes" w:hAnsi="Andes" w:cs="Arial"/>
          <w:sz w:val="22"/>
          <w:szCs w:val="22"/>
        </w:rPr>
        <w:t>Compétitif</w:t>
      </w:r>
      <w:r w:rsidR="0067580A" w:rsidRPr="00332FCD">
        <w:rPr>
          <w:rFonts w:ascii="Andes" w:hAnsi="Andes" w:cs="Arial"/>
          <w:sz w:val="22"/>
          <w:szCs w:val="22"/>
        </w:rPr>
        <w:t>)</w:t>
      </w:r>
      <w:r w:rsidR="0049426A" w:rsidRPr="00332FCD">
        <w:rPr>
          <w:rFonts w:ascii="Andes" w:hAnsi="Andes" w:cs="Arial"/>
          <w:sz w:val="22"/>
          <w:szCs w:val="22"/>
        </w:rPr>
        <w:t>,</w:t>
      </w:r>
      <w:r w:rsidR="0067580A" w:rsidRPr="00332FCD">
        <w:rPr>
          <w:rFonts w:ascii="Andes" w:hAnsi="Andes" w:cs="Arial"/>
          <w:sz w:val="22"/>
          <w:szCs w:val="22"/>
        </w:rPr>
        <w:t xml:space="preserve"> </w:t>
      </w:r>
      <w:r w:rsidR="0049426A" w:rsidRPr="00332FCD">
        <w:rPr>
          <w:rFonts w:ascii="Andes" w:hAnsi="Andes" w:cs="Arial"/>
          <w:sz w:val="22"/>
          <w:szCs w:val="22"/>
        </w:rPr>
        <w:t>la séance d’ouverture des plis n’est généralement pas publique, mais se déroul</w:t>
      </w:r>
      <w:r w:rsidR="00CF45C1" w:rsidRPr="00332FCD">
        <w:rPr>
          <w:rFonts w:ascii="Andes" w:hAnsi="Andes" w:cs="Arial"/>
          <w:sz w:val="22"/>
          <w:szCs w:val="22"/>
        </w:rPr>
        <w:t>e</w:t>
      </w:r>
      <w:r w:rsidR="0049426A" w:rsidRPr="00332FCD">
        <w:rPr>
          <w:rFonts w:ascii="Andes" w:hAnsi="Andes" w:cs="Arial"/>
          <w:sz w:val="22"/>
          <w:szCs w:val="22"/>
        </w:rPr>
        <w:t xml:space="preserve"> en présence d’un Garant de Probité</w:t>
      </w:r>
      <w:r w:rsidR="009568E2" w:rsidRPr="00332FCD">
        <w:rPr>
          <w:rFonts w:ascii="Andes" w:hAnsi="Andes" w:cs="Arial"/>
          <w:sz w:val="22"/>
          <w:szCs w:val="22"/>
        </w:rPr>
        <w:t>,</w:t>
      </w:r>
      <w:r w:rsidR="0049426A" w:rsidRPr="00332FCD">
        <w:rPr>
          <w:rFonts w:ascii="Andes" w:hAnsi="Andes" w:cs="Arial"/>
          <w:sz w:val="22"/>
          <w:szCs w:val="22"/>
        </w:rPr>
        <w:t xml:space="preserve"> jugé acceptable par la Banque. </w:t>
      </w:r>
    </w:p>
    <w:p w14:paraId="78245E55" w14:textId="79E60C83" w:rsidR="00C811D2" w:rsidRPr="00332FCD" w:rsidRDefault="0049426A" w:rsidP="009A43BE">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Lors de l'ouverture des plis, l'Emprunteur ne doit</w:t>
      </w:r>
      <w:r w:rsidR="009568E2" w:rsidRPr="00332FCD">
        <w:rPr>
          <w:rFonts w:ascii="Andes" w:hAnsi="Andes" w:cs="Arial"/>
          <w:sz w:val="22"/>
          <w:szCs w:val="22"/>
        </w:rPr>
        <w:t xml:space="preserve"> pas </w:t>
      </w:r>
      <w:r w:rsidRPr="00332FCD">
        <w:rPr>
          <w:rFonts w:ascii="Andes" w:hAnsi="Andes" w:cs="Arial"/>
          <w:sz w:val="22"/>
          <w:szCs w:val="22"/>
        </w:rPr>
        <w:t>se prononcer sur les mérites des Offres/Propositions</w:t>
      </w:r>
      <w:r w:rsidR="009568E2" w:rsidRPr="00332FCD">
        <w:rPr>
          <w:rFonts w:ascii="Andes" w:hAnsi="Andes" w:cs="Arial"/>
          <w:sz w:val="22"/>
          <w:szCs w:val="22"/>
        </w:rPr>
        <w:t xml:space="preserve"> et ne peut rejeter </w:t>
      </w:r>
      <w:r w:rsidRPr="00332FCD">
        <w:rPr>
          <w:rFonts w:ascii="Andes" w:hAnsi="Andes" w:cs="Arial"/>
          <w:sz w:val="22"/>
          <w:szCs w:val="22"/>
        </w:rPr>
        <w:t xml:space="preserve">aucune des Offres/Propositions </w:t>
      </w:r>
      <w:r w:rsidR="007C649B" w:rsidRPr="00332FCD">
        <w:rPr>
          <w:rFonts w:ascii="Andes" w:hAnsi="Andes" w:cs="Arial"/>
          <w:sz w:val="22"/>
          <w:szCs w:val="22"/>
        </w:rPr>
        <w:t xml:space="preserve">qui ont été </w:t>
      </w:r>
      <w:r w:rsidR="00574BF3" w:rsidRPr="00332FCD">
        <w:rPr>
          <w:rFonts w:ascii="Andes" w:hAnsi="Andes" w:cs="Arial"/>
          <w:sz w:val="22"/>
          <w:szCs w:val="22"/>
        </w:rPr>
        <w:t>reçues</w:t>
      </w:r>
      <w:r w:rsidRPr="00332FCD">
        <w:rPr>
          <w:rFonts w:ascii="Andes" w:hAnsi="Andes" w:cs="Arial"/>
          <w:sz w:val="22"/>
          <w:szCs w:val="22"/>
        </w:rPr>
        <w:t xml:space="preserve"> dans les délais. </w:t>
      </w:r>
    </w:p>
    <w:p w14:paraId="2643C8C9" w14:textId="064B5BBF" w:rsidR="00765338" w:rsidRPr="00332FCD" w:rsidRDefault="0049426A" w:rsidP="009A43BE">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Dans une procédure à une seule étape et à enveloppe unique, l’Emprunteur</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w:t>
      </w:r>
    </w:p>
    <w:p w14:paraId="117A7BB3" w14:textId="6215D66B" w:rsidR="00C811D2" w:rsidRPr="00332FCD" w:rsidRDefault="00CD1DD4" w:rsidP="009A43BE">
      <w:pPr>
        <w:pStyle w:val="Paragraphedeliste"/>
        <w:numPr>
          <w:ilvl w:val="0"/>
          <w:numId w:val="158"/>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ouvre en public tous les plis reçus</w:t>
      </w:r>
      <w:r w:rsidR="009568E2" w:rsidRPr="00332FCD">
        <w:rPr>
          <w:rFonts w:ascii="Andes" w:eastAsiaTheme="minorHAnsi" w:hAnsi="Andes" w:cs="Arial"/>
          <w:color w:val="000000"/>
          <w:sz w:val="22"/>
          <w:szCs w:val="22"/>
        </w:rPr>
        <w:t xml:space="preserve"> à </w:t>
      </w:r>
      <w:r w:rsidRPr="00332FCD">
        <w:rPr>
          <w:rFonts w:ascii="Andes" w:eastAsiaTheme="minorHAnsi" w:hAnsi="Andes" w:cs="Arial"/>
          <w:color w:val="000000"/>
          <w:sz w:val="22"/>
          <w:szCs w:val="22"/>
        </w:rPr>
        <w:t xml:space="preserve">la date </w:t>
      </w:r>
      <w:r w:rsidR="007C649B" w:rsidRPr="00332FCD">
        <w:rPr>
          <w:rFonts w:ascii="Andes" w:eastAsiaTheme="minorHAnsi" w:hAnsi="Andes" w:cs="Arial"/>
          <w:color w:val="000000"/>
          <w:sz w:val="22"/>
          <w:szCs w:val="22"/>
        </w:rPr>
        <w:t xml:space="preserve">et à l’heure </w:t>
      </w:r>
      <w:r w:rsidRPr="00332FCD">
        <w:rPr>
          <w:rFonts w:ascii="Andes" w:eastAsiaTheme="minorHAnsi" w:hAnsi="Andes" w:cs="Arial"/>
          <w:color w:val="000000"/>
          <w:sz w:val="22"/>
          <w:szCs w:val="22"/>
        </w:rPr>
        <w:t>limite</w:t>
      </w:r>
      <w:r w:rsidR="007C649B" w:rsidRPr="00332FCD">
        <w:rPr>
          <w:rFonts w:ascii="Andes" w:eastAsiaTheme="minorHAnsi" w:hAnsi="Andes" w:cs="Arial"/>
          <w:color w:val="000000"/>
          <w:sz w:val="22"/>
          <w:szCs w:val="22"/>
        </w:rPr>
        <w:t>s</w:t>
      </w:r>
      <w:r w:rsidRPr="00332FCD">
        <w:rPr>
          <w:rFonts w:ascii="Andes" w:eastAsiaTheme="minorHAnsi" w:hAnsi="Andes" w:cs="Arial"/>
          <w:color w:val="000000"/>
          <w:sz w:val="22"/>
          <w:szCs w:val="22"/>
        </w:rPr>
        <w:t xml:space="preserve"> de remise des Offres/Propositions</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et </w:t>
      </w:r>
    </w:p>
    <w:p w14:paraId="22E829BE" w14:textId="4F806AEC" w:rsidR="00C811D2" w:rsidRPr="00332FCD" w:rsidRDefault="00CD1DD4" w:rsidP="009A43BE">
      <w:pPr>
        <w:pStyle w:val="Paragraphedeliste"/>
        <w:numPr>
          <w:ilvl w:val="0"/>
          <w:numId w:val="158"/>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lit à haute voix et consigne au procès-verbal le nom de chaque Soumissionnaire/</w:t>
      </w:r>
      <w:r w:rsidR="00D95177">
        <w:rPr>
          <w:rFonts w:ascii="Andes" w:eastAsiaTheme="minorHAnsi" w:hAnsi="Andes" w:cs="Arial"/>
          <w:color w:val="000000"/>
          <w:sz w:val="22"/>
          <w:szCs w:val="22"/>
        </w:rPr>
        <w:t xml:space="preserve"> </w:t>
      </w:r>
      <w:r w:rsidRPr="00332FCD">
        <w:rPr>
          <w:rFonts w:ascii="Andes" w:eastAsiaTheme="minorHAnsi" w:hAnsi="Andes" w:cs="Arial"/>
          <w:color w:val="000000"/>
          <w:sz w:val="22"/>
          <w:szCs w:val="22"/>
        </w:rPr>
        <w:t xml:space="preserve">Proposant/Consultant ayant remis une Offre/Proposition, le montant total de chaque Offre/Proposition, </w:t>
      </w:r>
      <w:r w:rsidR="00CD1DA4" w:rsidRPr="00332FCD">
        <w:rPr>
          <w:rFonts w:ascii="Andes" w:eastAsiaTheme="minorHAnsi" w:hAnsi="Andes" w:cs="Arial"/>
          <w:color w:val="000000"/>
          <w:sz w:val="22"/>
          <w:szCs w:val="22"/>
        </w:rPr>
        <w:t>le montant de toute remise, les garanties d’offre/de proposition, les déclarations de garantie d’offre/de proposition</w:t>
      </w:r>
      <w:r w:rsidR="009568E2" w:rsidRPr="00332FCD">
        <w:rPr>
          <w:rFonts w:ascii="Andes" w:eastAsiaTheme="minorHAnsi" w:hAnsi="Andes" w:cs="Arial"/>
          <w:color w:val="000000"/>
          <w:sz w:val="22"/>
          <w:szCs w:val="22"/>
        </w:rPr>
        <w:t xml:space="preserve"> qui auraient été exigées</w:t>
      </w:r>
      <w:r w:rsidR="00CD1DA4" w:rsidRPr="00332FCD">
        <w:rPr>
          <w:rFonts w:ascii="Andes" w:eastAsiaTheme="minorHAnsi" w:hAnsi="Andes" w:cs="Arial"/>
          <w:color w:val="000000"/>
          <w:sz w:val="22"/>
          <w:szCs w:val="22"/>
        </w:rPr>
        <w:t>, et</w:t>
      </w:r>
      <w:r w:rsidR="0091509F" w:rsidRPr="00332FCD">
        <w:rPr>
          <w:rFonts w:ascii="Andes" w:eastAsiaTheme="minorHAnsi" w:hAnsi="Andes" w:cs="Arial"/>
          <w:color w:val="000000"/>
          <w:sz w:val="22"/>
          <w:szCs w:val="22"/>
        </w:rPr>
        <w:t xml:space="preserve"> toute variante</w:t>
      </w:r>
      <w:r w:rsidR="009568E2" w:rsidRPr="00332FCD">
        <w:rPr>
          <w:rFonts w:ascii="Andes" w:eastAsiaTheme="minorHAnsi" w:hAnsi="Andes" w:cs="Arial"/>
          <w:color w:val="000000"/>
          <w:sz w:val="22"/>
          <w:szCs w:val="22"/>
        </w:rPr>
        <w:t xml:space="preserve"> sollicitée </w:t>
      </w:r>
      <w:r w:rsidR="00CD1DA4" w:rsidRPr="00332FCD">
        <w:rPr>
          <w:rFonts w:ascii="Andes" w:eastAsiaTheme="minorHAnsi" w:hAnsi="Andes" w:cs="Arial"/>
          <w:color w:val="000000"/>
          <w:sz w:val="22"/>
          <w:szCs w:val="22"/>
        </w:rPr>
        <w:t>ou</w:t>
      </w:r>
      <w:r w:rsidR="0091509F" w:rsidRPr="00332FCD">
        <w:rPr>
          <w:rFonts w:ascii="Andes" w:eastAsiaTheme="minorHAnsi" w:hAnsi="Andes" w:cs="Arial"/>
          <w:color w:val="000000"/>
          <w:sz w:val="22"/>
          <w:szCs w:val="22"/>
        </w:rPr>
        <w:t xml:space="preserve"> autorisée. </w:t>
      </w:r>
    </w:p>
    <w:p w14:paraId="3F961BD7" w14:textId="7ACFA487" w:rsidR="00C811D2" w:rsidRPr="00332FCD" w:rsidRDefault="0091509F" w:rsidP="009A43BE">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Dans une procédure à une seule étape et à double enveloppe (sans procédure de MOF ou de Négociations, ni Dialogue </w:t>
      </w:r>
      <w:r w:rsidR="007C649B" w:rsidRPr="00332FCD">
        <w:rPr>
          <w:rFonts w:ascii="Andes" w:hAnsi="Andes" w:cs="Arial"/>
          <w:sz w:val="22"/>
          <w:szCs w:val="22"/>
        </w:rPr>
        <w:t>Compétitif</w:t>
      </w:r>
      <w:r w:rsidRPr="00332FCD">
        <w:rPr>
          <w:rFonts w:ascii="Andes" w:hAnsi="Andes" w:cs="Arial"/>
          <w:sz w:val="22"/>
          <w:szCs w:val="22"/>
        </w:rPr>
        <w:t>), pour la première enveloppe (Offre/Proposition technique), l’Emprunteur</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w:t>
      </w:r>
    </w:p>
    <w:p w14:paraId="7CB6DB52" w14:textId="3DE60570" w:rsidR="00C811D2" w:rsidRPr="00332FCD" w:rsidRDefault="0091509F" w:rsidP="009A43BE">
      <w:pPr>
        <w:pStyle w:val="Paragraphedeliste"/>
        <w:numPr>
          <w:ilvl w:val="0"/>
          <w:numId w:val="159"/>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ouvre en public les Propositions techniques reçues</w:t>
      </w:r>
      <w:r w:rsidR="009568E2" w:rsidRPr="00332FCD">
        <w:rPr>
          <w:rFonts w:ascii="Andes" w:eastAsiaTheme="minorHAnsi" w:hAnsi="Andes" w:cs="Arial"/>
          <w:color w:val="000000"/>
          <w:sz w:val="22"/>
          <w:szCs w:val="22"/>
        </w:rPr>
        <w:t xml:space="preserve"> jusqu’à </w:t>
      </w:r>
      <w:r w:rsidRPr="00332FCD">
        <w:rPr>
          <w:rFonts w:ascii="Andes" w:eastAsiaTheme="minorHAnsi" w:hAnsi="Andes" w:cs="Arial"/>
          <w:color w:val="000000"/>
          <w:sz w:val="22"/>
          <w:szCs w:val="22"/>
        </w:rPr>
        <w:t xml:space="preserve">la date </w:t>
      </w:r>
      <w:r w:rsidR="007C649B" w:rsidRPr="00332FCD">
        <w:rPr>
          <w:rFonts w:ascii="Andes" w:eastAsiaTheme="minorHAnsi" w:hAnsi="Andes" w:cs="Arial"/>
          <w:color w:val="000000"/>
          <w:sz w:val="22"/>
          <w:szCs w:val="22"/>
        </w:rPr>
        <w:t xml:space="preserve">et heure </w:t>
      </w:r>
      <w:r w:rsidRPr="00332FCD">
        <w:rPr>
          <w:rFonts w:ascii="Andes" w:eastAsiaTheme="minorHAnsi" w:hAnsi="Andes" w:cs="Arial"/>
          <w:color w:val="000000"/>
          <w:sz w:val="22"/>
          <w:szCs w:val="22"/>
        </w:rPr>
        <w:t>limite</w:t>
      </w:r>
      <w:r w:rsidR="007C649B" w:rsidRPr="00332FCD">
        <w:rPr>
          <w:rFonts w:ascii="Andes" w:eastAsiaTheme="minorHAnsi" w:hAnsi="Andes" w:cs="Arial"/>
          <w:color w:val="000000"/>
          <w:sz w:val="22"/>
          <w:szCs w:val="22"/>
        </w:rPr>
        <w:t>s</w:t>
      </w:r>
      <w:r w:rsidRPr="00332FCD">
        <w:rPr>
          <w:rFonts w:ascii="Andes" w:eastAsiaTheme="minorHAnsi" w:hAnsi="Andes" w:cs="Arial"/>
          <w:color w:val="000000"/>
          <w:sz w:val="22"/>
          <w:szCs w:val="22"/>
        </w:rPr>
        <w:t xml:space="preserve"> de </w:t>
      </w:r>
      <w:r w:rsidR="00B208CE" w:rsidRPr="00332FCD">
        <w:rPr>
          <w:rFonts w:ascii="Andes" w:eastAsiaTheme="minorHAnsi" w:hAnsi="Andes" w:cs="Arial"/>
          <w:color w:val="000000"/>
          <w:sz w:val="22"/>
          <w:szCs w:val="22"/>
        </w:rPr>
        <w:t>dépôt</w:t>
      </w:r>
      <w:r w:rsidRPr="00332FCD">
        <w:rPr>
          <w:rFonts w:ascii="Andes" w:eastAsiaTheme="minorHAnsi" w:hAnsi="Andes" w:cs="Arial"/>
          <w:color w:val="000000"/>
          <w:sz w:val="22"/>
          <w:szCs w:val="22"/>
        </w:rPr>
        <w:t xml:space="preserve">. Les </w:t>
      </w:r>
      <w:r w:rsidR="00B208CE" w:rsidRPr="00332FCD">
        <w:rPr>
          <w:rFonts w:ascii="Andes" w:eastAsiaTheme="minorHAnsi" w:hAnsi="Andes" w:cs="Arial"/>
          <w:color w:val="000000"/>
          <w:sz w:val="22"/>
          <w:szCs w:val="22"/>
        </w:rPr>
        <w:t xml:space="preserve">enveloppes contenant les </w:t>
      </w:r>
      <w:r w:rsidRPr="00332FCD">
        <w:rPr>
          <w:rFonts w:ascii="Andes" w:eastAsiaTheme="minorHAnsi" w:hAnsi="Andes" w:cs="Arial"/>
          <w:color w:val="000000"/>
          <w:sz w:val="22"/>
          <w:szCs w:val="22"/>
        </w:rPr>
        <w:t xml:space="preserve">Propositions financières </w:t>
      </w:r>
      <w:r w:rsidR="009568E2" w:rsidRPr="00332FCD">
        <w:rPr>
          <w:rFonts w:ascii="Andes" w:eastAsiaTheme="minorHAnsi" w:hAnsi="Andes" w:cs="Arial"/>
          <w:color w:val="000000"/>
          <w:sz w:val="22"/>
          <w:szCs w:val="22"/>
        </w:rPr>
        <w:t>reçues seront conservées</w:t>
      </w:r>
      <w:r w:rsidR="00B208CE" w:rsidRPr="00332FCD">
        <w:rPr>
          <w:rFonts w:ascii="Andes" w:eastAsiaTheme="minorHAnsi" w:hAnsi="Andes" w:cs="Arial"/>
          <w:color w:val="000000"/>
          <w:sz w:val="22"/>
          <w:szCs w:val="22"/>
        </w:rPr>
        <w:t xml:space="preserve"> en lieu sûr</w:t>
      </w:r>
      <w:r w:rsidR="009568E2" w:rsidRPr="00332FCD">
        <w:rPr>
          <w:rFonts w:ascii="Andes" w:eastAsiaTheme="minorHAnsi" w:hAnsi="Andes" w:cs="Arial"/>
          <w:color w:val="000000"/>
          <w:sz w:val="22"/>
          <w:szCs w:val="22"/>
        </w:rPr>
        <w:t xml:space="preserve"> sans avoir été ouvertes</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00B208CE" w:rsidRPr="00332FCD">
        <w:rPr>
          <w:rFonts w:ascii="Andes" w:eastAsiaTheme="minorHAnsi" w:hAnsi="Andes" w:cs="Arial"/>
          <w:color w:val="000000"/>
          <w:sz w:val="22"/>
          <w:szCs w:val="22"/>
        </w:rPr>
        <w:t xml:space="preserve"> et </w:t>
      </w:r>
    </w:p>
    <w:p w14:paraId="0E08DF4A" w14:textId="5F274A35" w:rsidR="00C811D2" w:rsidRPr="00332FCD" w:rsidRDefault="00B208CE" w:rsidP="009A43BE">
      <w:pPr>
        <w:pStyle w:val="Paragraphedeliste"/>
        <w:numPr>
          <w:ilvl w:val="0"/>
          <w:numId w:val="159"/>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lastRenderedPageBreak/>
        <w:t>annonce à haute voix et consigne au procès-verbal le nom de chaque Soumissionnaire/Proposant/Consultant ayant remis une Offre/</w:t>
      </w:r>
      <w:r w:rsidR="009568E2" w:rsidRPr="00332FCD">
        <w:rPr>
          <w:rFonts w:ascii="Andes" w:eastAsiaTheme="minorHAnsi" w:hAnsi="Andes" w:cs="Arial"/>
          <w:color w:val="000000"/>
          <w:sz w:val="22"/>
          <w:szCs w:val="22"/>
        </w:rPr>
        <w:t>Proposition</w:t>
      </w:r>
      <w:r w:rsidRPr="00332FCD">
        <w:rPr>
          <w:rFonts w:ascii="Andes" w:eastAsiaTheme="minorHAnsi" w:hAnsi="Andes" w:cs="Arial"/>
          <w:color w:val="000000"/>
          <w:sz w:val="22"/>
          <w:szCs w:val="22"/>
        </w:rPr>
        <w:t>, l’existence ou l’absence d’enveloppes cachetées contenant les Offres/Propositions financières, l’existence ou l’absence</w:t>
      </w:r>
      <w:r w:rsidR="009568E2" w:rsidRPr="00332FCD">
        <w:rPr>
          <w:rFonts w:ascii="Andes" w:eastAsiaTheme="minorHAnsi" w:hAnsi="Andes" w:cs="Arial"/>
          <w:color w:val="000000"/>
          <w:sz w:val="22"/>
          <w:szCs w:val="22"/>
        </w:rPr>
        <w:t xml:space="preserve"> de toute </w:t>
      </w:r>
      <w:r w:rsidRPr="00332FCD">
        <w:rPr>
          <w:rFonts w:ascii="Andes" w:eastAsiaTheme="minorHAnsi" w:hAnsi="Andes" w:cs="Arial"/>
          <w:color w:val="000000"/>
          <w:sz w:val="22"/>
          <w:szCs w:val="22"/>
        </w:rPr>
        <w:t>garantie/déclaration de garantie d’offre</w:t>
      </w:r>
      <w:r w:rsidR="009568E2" w:rsidRPr="00332FCD">
        <w:rPr>
          <w:rFonts w:ascii="Andes" w:eastAsiaTheme="minorHAnsi" w:hAnsi="Andes" w:cs="Arial"/>
          <w:color w:val="000000"/>
          <w:sz w:val="22"/>
          <w:szCs w:val="22"/>
        </w:rPr>
        <w:t xml:space="preserve"> qui aurait été exigée,</w:t>
      </w:r>
      <w:r w:rsidRPr="00332FCD">
        <w:rPr>
          <w:rFonts w:ascii="Andes" w:eastAsiaTheme="minorHAnsi" w:hAnsi="Andes" w:cs="Arial"/>
          <w:color w:val="000000"/>
          <w:sz w:val="22"/>
          <w:szCs w:val="22"/>
        </w:rPr>
        <w:t xml:space="preserve"> et </w:t>
      </w:r>
      <w:r w:rsidR="00574BF3" w:rsidRPr="00332FCD">
        <w:rPr>
          <w:rFonts w:ascii="Andes" w:eastAsiaTheme="minorHAnsi" w:hAnsi="Andes" w:cs="Arial"/>
          <w:color w:val="000000"/>
          <w:sz w:val="22"/>
          <w:szCs w:val="22"/>
        </w:rPr>
        <w:t>toute</w:t>
      </w:r>
      <w:r w:rsidRPr="00332FCD">
        <w:rPr>
          <w:rFonts w:ascii="Andes" w:eastAsiaTheme="minorHAnsi" w:hAnsi="Andes" w:cs="Arial"/>
          <w:color w:val="000000"/>
          <w:sz w:val="22"/>
          <w:szCs w:val="22"/>
        </w:rPr>
        <w:t xml:space="preserve"> autre information jugée pertinente. </w:t>
      </w:r>
    </w:p>
    <w:p w14:paraId="056ACF29" w14:textId="0AE7D132" w:rsidR="00765338" w:rsidRPr="00332FCD" w:rsidRDefault="00B208CE" w:rsidP="009A43BE">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Dans une procédure à une seule étape et à double enveloppe </w:t>
      </w:r>
      <w:r w:rsidR="009339D3" w:rsidRPr="00332FCD">
        <w:rPr>
          <w:rFonts w:ascii="Andes" w:hAnsi="Andes" w:cs="Arial"/>
          <w:sz w:val="22"/>
          <w:szCs w:val="22"/>
        </w:rPr>
        <w:t xml:space="preserve">(sans procédure de MOF ou de Négociations, ni Dialogue </w:t>
      </w:r>
      <w:r w:rsidR="007C649B" w:rsidRPr="00332FCD">
        <w:rPr>
          <w:rFonts w:ascii="Andes" w:hAnsi="Andes" w:cs="Arial"/>
          <w:sz w:val="22"/>
          <w:szCs w:val="22"/>
        </w:rPr>
        <w:t>Compétitif</w:t>
      </w:r>
      <w:r w:rsidR="009339D3" w:rsidRPr="00332FCD">
        <w:rPr>
          <w:rFonts w:ascii="Andes" w:hAnsi="Andes" w:cs="Arial"/>
          <w:sz w:val="22"/>
          <w:szCs w:val="22"/>
        </w:rPr>
        <w:t>), pour la seconde enveloppe (Offre/Proposition financière), l’Emprunteur</w:t>
      </w:r>
      <w:r w:rsidR="00730BDF" w:rsidRPr="00332FCD">
        <w:rPr>
          <w:rFonts w:ascii="Calibri" w:hAnsi="Calibri" w:cs="Calibri"/>
          <w:sz w:val="22"/>
          <w:szCs w:val="22"/>
        </w:rPr>
        <w:t> </w:t>
      </w:r>
      <w:r w:rsidR="00730BDF" w:rsidRPr="00332FCD">
        <w:rPr>
          <w:rFonts w:ascii="Andes" w:hAnsi="Andes" w:cs="Arial"/>
          <w:sz w:val="22"/>
          <w:szCs w:val="22"/>
        </w:rPr>
        <w:t>:</w:t>
      </w:r>
      <w:r w:rsidR="009339D3" w:rsidRPr="00332FCD">
        <w:rPr>
          <w:rFonts w:ascii="Andes" w:hAnsi="Andes" w:cs="Arial"/>
          <w:sz w:val="22"/>
          <w:szCs w:val="22"/>
        </w:rPr>
        <w:t xml:space="preserve"> </w:t>
      </w:r>
    </w:p>
    <w:p w14:paraId="6D9A10FD" w14:textId="3E0228A5" w:rsidR="00D158BD" w:rsidRPr="00332FCD" w:rsidRDefault="009339D3" w:rsidP="009A43BE">
      <w:pPr>
        <w:pStyle w:val="Paragraphedeliste"/>
        <w:numPr>
          <w:ilvl w:val="0"/>
          <w:numId w:val="160"/>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ouvre en public les Propositions financières des Soumissionnaires</w:t>
      </w:r>
      <w:r w:rsidR="00276BA4" w:rsidRPr="00332FCD">
        <w:rPr>
          <w:rFonts w:ascii="Andes" w:eastAsiaTheme="minorHAnsi" w:hAnsi="Andes" w:cs="Arial"/>
          <w:color w:val="000000"/>
          <w:sz w:val="22"/>
          <w:szCs w:val="22"/>
        </w:rPr>
        <w:t xml:space="preserve">, des </w:t>
      </w:r>
      <w:r w:rsidRPr="00332FCD">
        <w:rPr>
          <w:rFonts w:ascii="Andes" w:eastAsiaTheme="minorHAnsi" w:hAnsi="Andes" w:cs="Arial"/>
          <w:color w:val="000000"/>
          <w:sz w:val="22"/>
          <w:szCs w:val="22"/>
        </w:rPr>
        <w:t>Proposants</w:t>
      </w:r>
      <w:r w:rsidR="00276BA4" w:rsidRPr="00332FCD">
        <w:rPr>
          <w:rFonts w:ascii="Andes" w:eastAsiaTheme="minorHAnsi" w:hAnsi="Andes" w:cs="Arial"/>
          <w:color w:val="000000"/>
          <w:sz w:val="22"/>
          <w:szCs w:val="22"/>
        </w:rPr>
        <w:t xml:space="preserve"> ou des </w:t>
      </w:r>
      <w:r w:rsidRPr="00332FCD">
        <w:rPr>
          <w:rFonts w:ascii="Andes" w:eastAsiaTheme="minorHAnsi" w:hAnsi="Andes" w:cs="Arial"/>
          <w:color w:val="000000"/>
          <w:sz w:val="22"/>
          <w:szCs w:val="22"/>
        </w:rPr>
        <w:t>Consultants qui satisfont aux conditions fixées pour l’Offre ou la Proposition technique</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p>
    <w:p w14:paraId="4A8AA37C" w14:textId="0C92B648" w:rsidR="00D27100" w:rsidRPr="00332FCD" w:rsidRDefault="009339D3" w:rsidP="009A43BE">
      <w:pPr>
        <w:pStyle w:val="Paragraphedeliste"/>
        <w:numPr>
          <w:ilvl w:val="0"/>
          <w:numId w:val="160"/>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lit à haute voix et consigne au procès-verbal le nom de chaque Soumissionnaire/</w:t>
      </w:r>
      <w:r w:rsidR="00D95177">
        <w:rPr>
          <w:rFonts w:ascii="Andes" w:eastAsiaTheme="minorHAnsi" w:hAnsi="Andes" w:cs="Arial"/>
          <w:color w:val="000000"/>
          <w:sz w:val="22"/>
          <w:szCs w:val="22"/>
        </w:rPr>
        <w:t xml:space="preserve"> </w:t>
      </w:r>
      <w:r w:rsidRPr="00332FCD">
        <w:rPr>
          <w:rFonts w:ascii="Andes" w:eastAsiaTheme="minorHAnsi" w:hAnsi="Andes" w:cs="Arial"/>
          <w:color w:val="000000"/>
          <w:sz w:val="22"/>
          <w:szCs w:val="22"/>
        </w:rPr>
        <w:t xml:space="preserve">Proposant/Consultant ayant remis une Offre/Proposition et, lorsqu’il y a lieu, </w:t>
      </w:r>
      <w:r w:rsidR="00A74256" w:rsidRPr="00332FCD">
        <w:rPr>
          <w:rFonts w:ascii="Andes" w:eastAsiaTheme="minorHAnsi" w:hAnsi="Andes" w:cs="Arial"/>
          <w:color w:val="000000"/>
          <w:sz w:val="22"/>
          <w:szCs w:val="22"/>
        </w:rPr>
        <w:t>la note technique obtenue</w:t>
      </w:r>
      <w:r w:rsidRPr="00332FCD">
        <w:rPr>
          <w:rFonts w:ascii="Andes" w:eastAsiaTheme="minorHAnsi" w:hAnsi="Andes" w:cs="Arial"/>
          <w:color w:val="000000"/>
          <w:sz w:val="22"/>
          <w:szCs w:val="22"/>
        </w:rPr>
        <w:t>, le montant total de chaque Offre/Proposition et le montant de toute remise</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et </w:t>
      </w:r>
    </w:p>
    <w:p w14:paraId="43AEA357" w14:textId="0AB4C328" w:rsidR="00C811D2" w:rsidRPr="00332FCD" w:rsidRDefault="009339D3" w:rsidP="009A43BE">
      <w:pPr>
        <w:pStyle w:val="Paragraphedeliste"/>
        <w:numPr>
          <w:ilvl w:val="0"/>
          <w:numId w:val="160"/>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 xml:space="preserve">après la signature du contrat, </w:t>
      </w:r>
      <w:r w:rsidR="00B652E4" w:rsidRPr="00332FCD">
        <w:rPr>
          <w:rFonts w:ascii="Andes" w:eastAsiaTheme="minorHAnsi" w:hAnsi="Andes" w:cs="Arial"/>
          <w:color w:val="000000"/>
          <w:sz w:val="22"/>
          <w:szCs w:val="22"/>
        </w:rPr>
        <w:t>renvoie</w:t>
      </w:r>
      <w:r w:rsidR="00674FC3" w:rsidRPr="00332FCD">
        <w:rPr>
          <w:rFonts w:ascii="Andes" w:eastAsiaTheme="minorHAnsi" w:hAnsi="Andes" w:cs="Arial"/>
          <w:color w:val="000000"/>
          <w:sz w:val="22"/>
          <w:szCs w:val="22"/>
        </w:rPr>
        <w:t xml:space="preserve">, sans les avoir ouvertes, les Offres/Propositions financières de ceux dont les Offres/Propositions </w:t>
      </w:r>
      <w:r w:rsidR="009568E2" w:rsidRPr="00332FCD">
        <w:rPr>
          <w:rFonts w:ascii="Andes" w:eastAsiaTheme="minorHAnsi" w:hAnsi="Andes" w:cs="Arial"/>
          <w:color w:val="000000"/>
          <w:sz w:val="22"/>
          <w:szCs w:val="22"/>
        </w:rPr>
        <w:t xml:space="preserve">techniques </w:t>
      </w:r>
      <w:r w:rsidR="00674FC3" w:rsidRPr="00332FCD">
        <w:rPr>
          <w:rFonts w:ascii="Andes" w:eastAsiaTheme="minorHAnsi" w:hAnsi="Andes" w:cs="Arial"/>
          <w:color w:val="000000"/>
          <w:sz w:val="22"/>
          <w:szCs w:val="22"/>
        </w:rPr>
        <w:t>ne satisfaisaient pas aux conditions fixées pour l’Offre ou la Proposition technique ou n’ont pas été jugées conformes</w:t>
      </w:r>
      <w:r w:rsidR="00B652E4" w:rsidRPr="00332FCD">
        <w:rPr>
          <w:rFonts w:ascii="Andes" w:eastAsiaTheme="minorHAnsi" w:hAnsi="Andes" w:cs="Arial"/>
          <w:color w:val="000000"/>
          <w:sz w:val="22"/>
          <w:szCs w:val="22"/>
        </w:rPr>
        <w:t xml:space="preserve"> au dossier d’</w:t>
      </w:r>
      <w:r w:rsidR="00C51DF5">
        <w:rPr>
          <w:rFonts w:ascii="Andes" w:eastAsiaTheme="minorHAnsi" w:hAnsi="Andes" w:cs="Arial"/>
          <w:color w:val="000000"/>
          <w:sz w:val="22"/>
          <w:szCs w:val="22"/>
        </w:rPr>
        <w:t>Appel d’Offres/ à Propositions</w:t>
      </w:r>
      <w:r w:rsidR="00687669" w:rsidRPr="00332FCD">
        <w:rPr>
          <w:rFonts w:ascii="Andes" w:eastAsiaTheme="minorHAnsi" w:hAnsi="Andes" w:cs="Arial"/>
          <w:color w:val="000000"/>
          <w:sz w:val="22"/>
          <w:szCs w:val="22"/>
        </w:rPr>
        <w:t xml:space="preserve">.  </w:t>
      </w:r>
    </w:p>
    <w:p w14:paraId="1DBD0B89" w14:textId="7A513245" w:rsidR="00765338" w:rsidRPr="00332FCD" w:rsidRDefault="00674FC3" w:rsidP="009A43BE">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Dans une procédure à plusieurs étapes, dans laquelle la première étape ne</w:t>
      </w:r>
      <w:r w:rsidR="009568E2" w:rsidRPr="00332FCD">
        <w:rPr>
          <w:rFonts w:ascii="Andes" w:hAnsi="Andes" w:cs="Arial"/>
          <w:sz w:val="22"/>
          <w:szCs w:val="22"/>
        </w:rPr>
        <w:t xml:space="preserve"> fait pas intervenir </w:t>
      </w:r>
      <w:r w:rsidRPr="00332FCD">
        <w:rPr>
          <w:rFonts w:ascii="Andes" w:hAnsi="Andes" w:cs="Arial"/>
          <w:sz w:val="22"/>
          <w:szCs w:val="22"/>
        </w:rPr>
        <w:t>les prix, l’information lue à haute voix</w:t>
      </w:r>
      <w:r w:rsidR="00CF45C1" w:rsidRPr="00332FCD">
        <w:rPr>
          <w:rFonts w:ascii="Andes" w:hAnsi="Andes" w:cs="Arial"/>
          <w:sz w:val="22"/>
          <w:szCs w:val="22"/>
        </w:rPr>
        <w:t xml:space="preserve"> est la même </w:t>
      </w:r>
      <w:r w:rsidRPr="00332FCD">
        <w:rPr>
          <w:rFonts w:ascii="Andes" w:hAnsi="Andes" w:cs="Arial"/>
          <w:sz w:val="22"/>
          <w:szCs w:val="22"/>
        </w:rPr>
        <w:t xml:space="preserve">que dans une procédure à une seule étape </w:t>
      </w:r>
      <w:r w:rsidR="00CF45C1" w:rsidRPr="00332FCD">
        <w:rPr>
          <w:rFonts w:ascii="Andes" w:hAnsi="Andes" w:cs="Arial"/>
          <w:sz w:val="22"/>
          <w:szCs w:val="22"/>
        </w:rPr>
        <w:t xml:space="preserve">et à double enveloppe. Dans une procédure à plusieurs étapes et à double enveloppe, lorsqu’une procédure de MOF ou de Négociations est utilisée, ou lors d’un Dialogue </w:t>
      </w:r>
      <w:r w:rsidR="009B1DDA" w:rsidRPr="00332FCD">
        <w:rPr>
          <w:rFonts w:ascii="Andes" w:hAnsi="Andes" w:cs="Arial"/>
          <w:sz w:val="22"/>
          <w:szCs w:val="22"/>
        </w:rPr>
        <w:t>Compétitif</w:t>
      </w:r>
      <w:r w:rsidR="00CF45C1" w:rsidRPr="00332FCD">
        <w:rPr>
          <w:rFonts w:ascii="Andes" w:hAnsi="Andes" w:cs="Arial"/>
          <w:sz w:val="22"/>
          <w:szCs w:val="22"/>
        </w:rPr>
        <w:t>, la séance d’ouverture des plis n’a pas lieu en public, mais en présence d’un Garant de Probité, jugé acceptable par la Banque.</w:t>
      </w:r>
    </w:p>
    <w:p w14:paraId="787052D2" w14:textId="216FC3D1" w:rsidR="00AA4BA3" w:rsidRPr="00332FCD" w:rsidRDefault="00CF45C1" w:rsidP="009A43BE">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Un exemplaire du procès-verbal de la séance d’ouverture des plis est envoyé</w:t>
      </w:r>
      <w:r w:rsidR="009568E2" w:rsidRPr="00332FCD">
        <w:rPr>
          <w:rFonts w:ascii="Andes" w:hAnsi="Andes" w:cs="Arial"/>
          <w:sz w:val="22"/>
          <w:szCs w:val="22"/>
        </w:rPr>
        <w:t xml:space="preserve"> sans tarder </w:t>
      </w:r>
      <w:r w:rsidRPr="00332FCD">
        <w:rPr>
          <w:rFonts w:ascii="Andes" w:hAnsi="Andes" w:cs="Arial"/>
          <w:sz w:val="22"/>
          <w:szCs w:val="22"/>
        </w:rPr>
        <w:t xml:space="preserve">à tous les Soumissionnaires/Proposants/Consultants dont les Offres/Propositions ont été ouvertes et, en cas d’examen préalable, à la Banque. Lorsque l’ouverture des plis </w:t>
      </w:r>
      <w:r w:rsidR="003E3BB0" w:rsidRPr="00332FCD">
        <w:rPr>
          <w:rFonts w:ascii="Andes" w:hAnsi="Andes" w:cs="Arial"/>
          <w:sz w:val="22"/>
          <w:szCs w:val="22"/>
        </w:rPr>
        <w:t>ne s’est pas déroulée en public, mais en présence d’un Garant de Probité, cette information est consignée dans le rapport du Garant de Probité. L’Emprunteur envoie</w:t>
      </w:r>
      <w:r w:rsidR="000B08CC" w:rsidRPr="00332FCD">
        <w:rPr>
          <w:rFonts w:ascii="Andes" w:hAnsi="Andes" w:cs="Arial"/>
          <w:sz w:val="22"/>
          <w:szCs w:val="22"/>
        </w:rPr>
        <w:t xml:space="preserve"> le rapport de probité </w:t>
      </w:r>
      <w:r w:rsidR="003E3BB0" w:rsidRPr="00332FCD">
        <w:rPr>
          <w:rFonts w:ascii="Andes" w:hAnsi="Andes" w:cs="Arial"/>
          <w:sz w:val="22"/>
          <w:szCs w:val="22"/>
        </w:rPr>
        <w:t>à la Banque et à tous les Soumissionnaires/Proposants/Consultants</w:t>
      </w:r>
      <w:r w:rsidR="000B08CC" w:rsidRPr="00332FCD">
        <w:rPr>
          <w:rFonts w:ascii="Andes" w:hAnsi="Andes" w:cs="Arial"/>
          <w:sz w:val="22"/>
          <w:szCs w:val="22"/>
        </w:rPr>
        <w:t xml:space="preserve"> concernés</w:t>
      </w:r>
      <w:r w:rsidR="003E3BB0" w:rsidRPr="00332FCD">
        <w:rPr>
          <w:rFonts w:ascii="Andes" w:hAnsi="Andes" w:cs="Arial"/>
          <w:sz w:val="22"/>
          <w:szCs w:val="22"/>
        </w:rPr>
        <w:t>, en l’accompagnant de la Notification d’Intention d’Attribution du Marché</w:t>
      </w:r>
      <w:r w:rsidR="001257C3" w:rsidRPr="00332FCD">
        <w:rPr>
          <w:rFonts w:ascii="Andes" w:hAnsi="Andes" w:cs="Arial"/>
          <w:sz w:val="22"/>
          <w:szCs w:val="22"/>
        </w:rPr>
        <w:t>/Contrat</w:t>
      </w:r>
      <w:r w:rsidR="000B08CC" w:rsidRPr="00332FCD">
        <w:rPr>
          <w:rFonts w:ascii="Andes" w:hAnsi="Andes" w:cs="Arial"/>
          <w:sz w:val="22"/>
          <w:szCs w:val="22"/>
        </w:rPr>
        <w:t>.</w:t>
      </w:r>
      <w:r w:rsidR="003E3BB0" w:rsidRPr="00332FCD">
        <w:rPr>
          <w:rFonts w:ascii="Andes" w:hAnsi="Andes" w:cs="Arial"/>
          <w:sz w:val="22"/>
          <w:szCs w:val="22"/>
        </w:rPr>
        <w:t xml:space="preserve"> </w:t>
      </w:r>
    </w:p>
    <w:p w14:paraId="08262A25" w14:textId="337FBCD2" w:rsidR="00AA4BA3" w:rsidRPr="00332FCD" w:rsidRDefault="003E3BB0" w:rsidP="009A43BE">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Les Offres/Propositions qui n’ont pas été ouvertes et </w:t>
      </w:r>
      <w:r w:rsidR="00484B00" w:rsidRPr="00332FCD">
        <w:rPr>
          <w:rFonts w:ascii="Andes" w:hAnsi="Andes" w:cs="Arial"/>
          <w:sz w:val="22"/>
          <w:szCs w:val="22"/>
        </w:rPr>
        <w:t>dont il n’a pas été donné lecture</w:t>
      </w:r>
      <w:r w:rsidRPr="00332FCD">
        <w:rPr>
          <w:rFonts w:ascii="Andes" w:hAnsi="Andes" w:cs="Arial"/>
          <w:sz w:val="22"/>
          <w:szCs w:val="22"/>
        </w:rPr>
        <w:t xml:space="preserve"> pendant la séance d’ouverture des plis sont rejetées</w:t>
      </w:r>
      <w:r w:rsidR="00687669" w:rsidRPr="00332FCD">
        <w:rPr>
          <w:rFonts w:ascii="Andes" w:hAnsi="Andes" w:cs="Arial"/>
          <w:sz w:val="22"/>
          <w:szCs w:val="22"/>
        </w:rPr>
        <w:t xml:space="preserve">.  </w:t>
      </w:r>
    </w:p>
    <w:p w14:paraId="3B2B77A0" w14:textId="7D07AC5E" w:rsidR="00C811D2" w:rsidRPr="00332FCD" w:rsidRDefault="008D4590" w:rsidP="009A43BE">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1418" w:name="_Toc404234557"/>
      <w:bookmarkStart w:id="1419" w:name="_Toc404234759"/>
      <w:bookmarkStart w:id="1420" w:name="_Toc404235291"/>
      <w:bookmarkStart w:id="1421" w:name="_Toc404235581"/>
      <w:bookmarkStart w:id="1422" w:name="_Toc404235758"/>
      <w:bookmarkStart w:id="1423" w:name="_Toc404236021"/>
      <w:bookmarkStart w:id="1424" w:name="_Toc404236191"/>
      <w:bookmarkStart w:id="1425" w:name="_Toc404236361"/>
      <w:bookmarkStart w:id="1426" w:name="_Toc404236530"/>
      <w:bookmarkStart w:id="1427" w:name="_Toc404236699"/>
      <w:bookmarkStart w:id="1428" w:name="_Toc404236867"/>
      <w:bookmarkStart w:id="1429" w:name="_Toc404237035"/>
      <w:bookmarkStart w:id="1430" w:name="_Toc404755664"/>
      <w:bookmarkStart w:id="1431" w:name="_Toc405205456"/>
      <w:bookmarkStart w:id="1432" w:name="_Toc404234558"/>
      <w:bookmarkStart w:id="1433" w:name="_Toc404234760"/>
      <w:bookmarkStart w:id="1434" w:name="_Toc404235292"/>
      <w:bookmarkStart w:id="1435" w:name="_Toc404235582"/>
      <w:bookmarkStart w:id="1436" w:name="_Toc404235759"/>
      <w:bookmarkStart w:id="1437" w:name="_Toc404236022"/>
      <w:bookmarkStart w:id="1438" w:name="_Toc404236192"/>
      <w:bookmarkStart w:id="1439" w:name="_Toc404236362"/>
      <w:bookmarkStart w:id="1440" w:name="_Toc404236531"/>
      <w:bookmarkStart w:id="1441" w:name="_Toc404236700"/>
      <w:bookmarkStart w:id="1442" w:name="_Toc404236868"/>
      <w:bookmarkStart w:id="1443" w:name="_Toc404237036"/>
      <w:bookmarkStart w:id="1444" w:name="_Toc404755665"/>
      <w:bookmarkStart w:id="1445" w:name="_Toc405205457"/>
      <w:bookmarkStart w:id="1446" w:name="_Toc408418494"/>
      <w:bookmarkStart w:id="1447" w:name="_Toc409085724"/>
      <w:bookmarkStart w:id="1448" w:name="_Toc409086001"/>
      <w:bookmarkStart w:id="1449" w:name="_Toc409086278"/>
      <w:bookmarkStart w:id="1450" w:name="_Toc409248888"/>
      <w:bookmarkStart w:id="1451" w:name="_Toc409255468"/>
      <w:bookmarkStart w:id="1452" w:name="_Toc409255748"/>
      <w:bookmarkStart w:id="1453" w:name="_Toc409256028"/>
      <w:bookmarkStart w:id="1454" w:name="_Toc409256308"/>
      <w:bookmarkStart w:id="1455" w:name="_Toc409256588"/>
      <w:bookmarkStart w:id="1456" w:name="_Toc409270283"/>
      <w:bookmarkStart w:id="1457" w:name="_Toc409270563"/>
      <w:bookmarkStart w:id="1458" w:name="_Toc409509173"/>
      <w:bookmarkStart w:id="1459" w:name="_Toc409509456"/>
      <w:bookmarkStart w:id="1460" w:name="_Toc409509739"/>
      <w:bookmarkStart w:id="1461" w:name="_Toc409510022"/>
      <w:bookmarkStart w:id="1462" w:name="_Toc409510303"/>
      <w:bookmarkStart w:id="1463" w:name="_Toc409595782"/>
      <w:bookmarkStart w:id="1464" w:name="_Toc409606958"/>
      <w:bookmarkStart w:id="1465" w:name="_Toc408418495"/>
      <w:bookmarkStart w:id="1466" w:name="_Toc409085725"/>
      <w:bookmarkStart w:id="1467" w:name="_Toc409086002"/>
      <w:bookmarkStart w:id="1468" w:name="_Toc409086279"/>
      <w:bookmarkStart w:id="1469" w:name="_Toc409248889"/>
      <w:bookmarkStart w:id="1470" w:name="_Toc409255469"/>
      <w:bookmarkStart w:id="1471" w:name="_Toc409255749"/>
      <w:bookmarkStart w:id="1472" w:name="_Toc409256029"/>
      <w:bookmarkStart w:id="1473" w:name="_Toc409256309"/>
      <w:bookmarkStart w:id="1474" w:name="_Toc409256589"/>
      <w:bookmarkStart w:id="1475" w:name="_Toc409270284"/>
      <w:bookmarkStart w:id="1476" w:name="_Toc409270564"/>
      <w:bookmarkStart w:id="1477" w:name="_Toc409509174"/>
      <w:bookmarkStart w:id="1478" w:name="_Toc409509457"/>
      <w:bookmarkStart w:id="1479" w:name="_Toc409509740"/>
      <w:bookmarkStart w:id="1480" w:name="_Toc409510023"/>
      <w:bookmarkStart w:id="1481" w:name="_Toc409510304"/>
      <w:bookmarkStart w:id="1482" w:name="_Toc409595783"/>
      <w:bookmarkStart w:id="1483" w:name="_Toc409606959"/>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r w:rsidRPr="00332FCD">
        <w:rPr>
          <w:rFonts w:ascii="Andes" w:eastAsiaTheme="majorEastAsia" w:hAnsi="Andes" w:cstheme="majorBidi"/>
          <w:bCs w:val="0"/>
          <w:color w:val="C45911"/>
          <w:sz w:val="32"/>
          <w:szCs w:val="32"/>
        </w:rPr>
        <w:t>Offres/Propositions hors délai</w:t>
      </w:r>
    </w:p>
    <w:p w14:paraId="0D991915" w14:textId="405E3558" w:rsidR="00C811D2" w:rsidRPr="00332FCD" w:rsidRDefault="008D4590" w:rsidP="009A43BE">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Les Offres/Propositions reçues hors délai sont rejetées. </w:t>
      </w:r>
    </w:p>
    <w:p w14:paraId="4563F9F1" w14:textId="53C2C509" w:rsidR="00C811D2" w:rsidRPr="00332FCD" w:rsidRDefault="008D4590" w:rsidP="009A43BE">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1484" w:name="_Toc408418497"/>
      <w:bookmarkStart w:id="1485" w:name="_Toc409085727"/>
      <w:bookmarkStart w:id="1486" w:name="_Toc409086004"/>
      <w:bookmarkStart w:id="1487" w:name="_Toc409086281"/>
      <w:bookmarkStart w:id="1488" w:name="_Toc409248891"/>
      <w:bookmarkStart w:id="1489" w:name="_Toc409255471"/>
      <w:bookmarkStart w:id="1490" w:name="_Toc409255751"/>
      <w:bookmarkStart w:id="1491" w:name="_Toc409256031"/>
      <w:bookmarkStart w:id="1492" w:name="_Toc409256311"/>
      <w:bookmarkStart w:id="1493" w:name="_Toc409256591"/>
      <w:bookmarkStart w:id="1494" w:name="_Toc409270286"/>
      <w:bookmarkStart w:id="1495" w:name="_Toc409270566"/>
      <w:bookmarkStart w:id="1496" w:name="_Toc409509176"/>
      <w:bookmarkStart w:id="1497" w:name="_Toc409509459"/>
      <w:bookmarkStart w:id="1498" w:name="_Toc409509742"/>
      <w:bookmarkStart w:id="1499" w:name="_Toc409510025"/>
      <w:bookmarkStart w:id="1500" w:name="_Toc409510306"/>
      <w:bookmarkStart w:id="1501" w:name="_Toc409595785"/>
      <w:bookmarkStart w:id="1502" w:name="_Toc409606961"/>
      <w:bookmarkStart w:id="1503" w:name="_Toc404234561"/>
      <w:bookmarkStart w:id="1504" w:name="_Toc404234763"/>
      <w:bookmarkStart w:id="1505" w:name="_Toc404235295"/>
      <w:bookmarkStart w:id="1506" w:name="_Toc404235585"/>
      <w:bookmarkStart w:id="1507" w:name="_Toc404235762"/>
      <w:bookmarkStart w:id="1508" w:name="_Toc404236025"/>
      <w:bookmarkStart w:id="1509" w:name="_Toc404236195"/>
      <w:bookmarkStart w:id="1510" w:name="_Toc404236365"/>
      <w:bookmarkStart w:id="1511" w:name="_Toc404236534"/>
      <w:bookmarkStart w:id="1512" w:name="_Toc404236703"/>
      <w:bookmarkStart w:id="1513" w:name="_Toc404236871"/>
      <w:bookmarkStart w:id="1514" w:name="_Toc404237039"/>
      <w:bookmarkStart w:id="1515" w:name="_Toc404755668"/>
      <w:bookmarkStart w:id="1516" w:name="_Toc405205460"/>
      <w:bookmarkStart w:id="1517" w:name="_Toc404234563"/>
      <w:bookmarkStart w:id="1518" w:name="_Toc404234765"/>
      <w:bookmarkStart w:id="1519" w:name="_Toc404235297"/>
      <w:bookmarkStart w:id="1520" w:name="_Toc404235587"/>
      <w:bookmarkStart w:id="1521" w:name="_Toc404235764"/>
      <w:bookmarkStart w:id="1522" w:name="_Toc404236027"/>
      <w:bookmarkStart w:id="1523" w:name="_Toc404236197"/>
      <w:bookmarkStart w:id="1524" w:name="_Toc404236367"/>
      <w:bookmarkStart w:id="1525" w:name="_Toc404236536"/>
      <w:bookmarkStart w:id="1526" w:name="_Toc404236705"/>
      <w:bookmarkStart w:id="1527" w:name="_Toc404236873"/>
      <w:bookmarkStart w:id="1528" w:name="_Toc404237041"/>
      <w:bookmarkStart w:id="1529" w:name="_Toc404755670"/>
      <w:bookmarkStart w:id="1530" w:name="_Toc405205462"/>
      <w:bookmarkStart w:id="1531" w:name="_Toc404234564"/>
      <w:bookmarkStart w:id="1532" w:name="_Toc404234766"/>
      <w:bookmarkStart w:id="1533" w:name="_Toc404235298"/>
      <w:bookmarkStart w:id="1534" w:name="_Toc404235588"/>
      <w:bookmarkStart w:id="1535" w:name="_Toc404235765"/>
      <w:bookmarkStart w:id="1536" w:name="_Toc404236028"/>
      <w:bookmarkStart w:id="1537" w:name="_Toc404236198"/>
      <w:bookmarkStart w:id="1538" w:name="_Toc404236368"/>
      <w:bookmarkStart w:id="1539" w:name="_Toc404236537"/>
      <w:bookmarkStart w:id="1540" w:name="_Toc404236706"/>
      <w:bookmarkStart w:id="1541" w:name="_Toc404236874"/>
      <w:bookmarkStart w:id="1542" w:name="_Toc404237042"/>
      <w:bookmarkStart w:id="1543" w:name="_Toc404755671"/>
      <w:bookmarkStart w:id="1544" w:name="_Toc405205463"/>
      <w:bookmarkStart w:id="1545" w:name="_Toc404234565"/>
      <w:bookmarkStart w:id="1546" w:name="_Toc404234767"/>
      <w:bookmarkStart w:id="1547" w:name="_Toc404235299"/>
      <w:bookmarkStart w:id="1548" w:name="_Toc404235589"/>
      <w:bookmarkStart w:id="1549" w:name="_Toc404235766"/>
      <w:bookmarkStart w:id="1550" w:name="_Toc404236029"/>
      <w:bookmarkStart w:id="1551" w:name="_Toc404236199"/>
      <w:bookmarkStart w:id="1552" w:name="_Toc404236369"/>
      <w:bookmarkStart w:id="1553" w:name="_Toc404236538"/>
      <w:bookmarkStart w:id="1554" w:name="_Toc404236707"/>
      <w:bookmarkStart w:id="1555" w:name="_Toc404236875"/>
      <w:bookmarkStart w:id="1556" w:name="_Toc404237043"/>
      <w:bookmarkStart w:id="1557" w:name="_Toc404755672"/>
      <w:bookmarkStart w:id="1558" w:name="_Toc405205464"/>
      <w:bookmarkStart w:id="1559" w:name="_Toc404234566"/>
      <w:bookmarkStart w:id="1560" w:name="_Toc404234768"/>
      <w:bookmarkStart w:id="1561" w:name="_Toc404235300"/>
      <w:bookmarkStart w:id="1562" w:name="_Toc404235590"/>
      <w:bookmarkStart w:id="1563" w:name="_Toc404235767"/>
      <w:bookmarkStart w:id="1564" w:name="_Toc404236030"/>
      <w:bookmarkStart w:id="1565" w:name="_Toc404236200"/>
      <w:bookmarkStart w:id="1566" w:name="_Toc404236370"/>
      <w:bookmarkStart w:id="1567" w:name="_Toc404236539"/>
      <w:bookmarkStart w:id="1568" w:name="_Toc404236708"/>
      <w:bookmarkStart w:id="1569" w:name="_Toc404236876"/>
      <w:bookmarkStart w:id="1570" w:name="_Toc404237044"/>
      <w:bookmarkStart w:id="1571" w:name="_Toc404755673"/>
      <w:bookmarkStart w:id="1572" w:name="_Toc405205465"/>
      <w:bookmarkStart w:id="1573" w:name="_Toc404234567"/>
      <w:bookmarkStart w:id="1574" w:name="_Toc404234769"/>
      <w:bookmarkStart w:id="1575" w:name="_Toc404235301"/>
      <w:bookmarkStart w:id="1576" w:name="_Toc404235591"/>
      <w:bookmarkStart w:id="1577" w:name="_Toc404235768"/>
      <w:bookmarkStart w:id="1578" w:name="_Toc404236031"/>
      <w:bookmarkStart w:id="1579" w:name="_Toc404236201"/>
      <w:bookmarkStart w:id="1580" w:name="_Toc404236371"/>
      <w:bookmarkStart w:id="1581" w:name="_Toc404236540"/>
      <w:bookmarkStart w:id="1582" w:name="_Toc404236709"/>
      <w:bookmarkStart w:id="1583" w:name="_Toc404236877"/>
      <w:bookmarkStart w:id="1584" w:name="_Toc404237045"/>
      <w:bookmarkStart w:id="1585" w:name="_Toc404755674"/>
      <w:bookmarkStart w:id="1586" w:name="_Toc405205466"/>
      <w:bookmarkStart w:id="1587" w:name="_Toc404234568"/>
      <w:bookmarkStart w:id="1588" w:name="_Toc404234770"/>
      <w:bookmarkStart w:id="1589" w:name="_Toc404235302"/>
      <w:bookmarkStart w:id="1590" w:name="_Toc404235592"/>
      <w:bookmarkStart w:id="1591" w:name="_Toc404235769"/>
      <w:bookmarkStart w:id="1592" w:name="_Toc404236032"/>
      <w:bookmarkStart w:id="1593" w:name="_Toc404236202"/>
      <w:bookmarkStart w:id="1594" w:name="_Toc404236372"/>
      <w:bookmarkStart w:id="1595" w:name="_Toc404236541"/>
      <w:bookmarkStart w:id="1596" w:name="_Toc404236710"/>
      <w:bookmarkStart w:id="1597" w:name="_Toc404236878"/>
      <w:bookmarkStart w:id="1598" w:name="_Toc404237046"/>
      <w:bookmarkStart w:id="1599" w:name="_Toc404755675"/>
      <w:bookmarkStart w:id="1600" w:name="_Toc405205467"/>
      <w:bookmarkStart w:id="1601" w:name="_Toc404234569"/>
      <w:bookmarkStart w:id="1602" w:name="_Toc404234771"/>
      <w:bookmarkStart w:id="1603" w:name="_Toc404235303"/>
      <w:bookmarkStart w:id="1604" w:name="_Toc404235593"/>
      <w:bookmarkStart w:id="1605" w:name="_Toc404235770"/>
      <w:bookmarkStart w:id="1606" w:name="_Toc404236033"/>
      <w:bookmarkStart w:id="1607" w:name="_Toc404236203"/>
      <w:bookmarkStart w:id="1608" w:name="_Toc404236373"/>
      <w:bookmarkStart w:id="1609" w:name="_Toc404236542"/>
      <w:bookmarkStart w:id="1610" w:name="_Toc404236711"/>
      <w:bookmarkStart w:id="1611" w:name="_Toc404236879"/>
      <w:bookmarkStart w:id="1612" w:name="_Toc404237047"/>
      <w:bookmarkStart w:id="1613" w:name="_Toc404755676"/>
      <w:bookmarkStart w:id="1614" w:name="_Toc405205468"/>
      <w:bookmarkStart w:id="1615" w:name="_Toc404234570"/>
      <w:bookmarkStart w:id="1616" w:name="_Toc404234772"/>
      <w:bookmarkStart w:id="1617" w:name="_Toc404235304"/>
      <w:bookmarkStart w:id="1618" w:name="_Toc404235594"/>
      <w:bookmarkStart w:id="1619" w:name="_Toc404235771"/>
      <w:bookmarkStart w:id="1620" w:name="_Toc404236034"/>
      <w:bookmarkStart w:id="1621" w:name="_Toc404236204"/>
      <w:bookmarkStart w:id="1622" w:name="_Toc404236374"/>
      <w:bookmarkStart w:id="1623" w:name="_Toc404236543"/>
      <w:bookmarkStart w:id="1624" w:name="_Toc404236712"/>
      <w:bookmarkStart w:id="1625" w:name="_Toc404236880"/>
      <w:bookmarkStart w:id="1626" w:name="_Toc404237048"/>
      <w:bookmarkStart w:id="1627" w:name="_Toc404755677"/>
      <w:bookmarkStart w:id="1628" w:name="_Toc405205469"/>
      <w:bookmarkStart w:id="1629" w:name="_Toc404234571"/>
      <w:bookmarkStart w:id="1630" w:name="_Toc404234773"/>
      <w:bookmarkStart w:id="1631" w:name="_Toc404235305"/>
      <w:bookmarkStart w:id="1632" w:name="_Toc404235595"/>
      <w:bookmarkStart w:id="1633" w:name="_Toc404235772"/>
      <w:bookmarkStart w:id="1634" w:name="_Toc404236035"/>
      <w:bookmarkStart w:id="1635" w:name="_Toc404236205"/>
      <w:bookmarkStart w:id="1636" w:name="_Toc404236375"/>
      <w:bookmarkStart w:id="1637" w:name="_Toc404236544"/>
      <w:bookmarkStart w:id="1638" w:name="_Toc404236713"/>
      <w:bookmarkStart w:id="1639" w:name="_Toc404236881"/>
      <w:bookmarkStart w:id="1640" w:name="_Toc404237049"/>
      <w:bookmarkStart w:id="1641" w:name="_Toc404755678"/>
      <w:bookmarkStart w:id="1642" w:name="_Toc405205470"/>
      <w:bookmarkStart w:id="1643" w:name="_Toc404234572"/>
      <w:bookmarkStart w:id="1644" w:name="_Toc404234774"/>
      <w:bookmarkStart w:id="1645" w:name="_Toc404235306"/>
      <w:bookmarkStart w:id="1646" w:name="_Toc404235596"/>
      <w:bookmarkStart w:id="1647" w:name="_Toc404235773"/>
      <w:bookmarkStart w:id="1648" w:name="_Toc404236036"/>
      <w:bookmarkStart w:id="1649" w:name="_Toc404236206"/>
      <w:bookmarkStart w:id="1650" w:name="_Toc404236376"/>
      <w:bookmarkStart w:id="1651" w:name="_Toc404236545"/>
      <w:bookmarkStart w:id="1652" w:name="_Toc404236714"/>
      <w:bookmarkStart w:id="1653" w:name="_Toc404236882"/>
      <w:bookmarkStart w:id="1654" w:name="_Toc404237050"/>
      <w:bookmarkStart w:id="1655" w:name="_Toc404755679"/>
      <w:bookmarkStart w:id="1656" w:name="_Toc405205471"/>
      <w:bookmarkStart w:id="1657" w:name="_Toc404234573"/>
      <w:bookmarkStart w:id="1658" w:name="_Toc404234775"/>
      <w:bookmarkStart w:id="1659" w:name="_Toc404235307"/>
      <w:bookmarkStart w:id="1660" w:name="_Toc404235597"/>
      <w:bookmarkStart w:id="1661" w:name="_Toc404235774"/>
      <w:bookmarkStart w:id="1662" w:name="_Toc404236037"/>
      <w:bookmarkStart w:id="1663" w:name="_Toc404236207"/>
      <w:bookmarkStart w:id="1664" w:name="_Toc404236377"/>
      <w:bookmarkStart w:id="1665" w:name="_Toc404236546"/>
      <w:bookmarkStart w:id="1666" w:name="_Toc404236715"/>
      <w:bookmarkStart w:id="1667" w:name="_Toc404236883"/>
      <w:bookmarkStart w:id="1668" w:name="_Toc404237051"/>
      <w:bookmarkStart w:id="1669" w:name="_Toc404755680"/>
      <w:bookmarkStart w:id="1670" w:name="_Toc405205472"/>
      <w:bookmarkStart w:id="1671" w:name="_Toc404234574"/>
      <w:bookmarkStart w:id="1672" w:name="_Toc404234776"/>
      <w:bookmarkStart w:id="1673" w:name="_Toc404235308"/>
      <w:bookmarkStart w:id="1674" w:name="_Toc404235598"/>
      <w:bookmarkStart w:id="1675" w:name="_Toc404235775"/>
      <w:bookmarkStart w:id="1676" w:name="_Toc404236038"/>
      <w:bookmarkStart w:id="1677" w:name="_Toc404236208"/>
      <w:bookmarkStart w:id="1678" w:name="_Toc404236378"/>
      <w:bookmarkStart w:id="1679" w:name="_Toc404236547"/>
      <w:bookmarkStart w:id="1680" w:name="_Toc404236716"/>
      <w:bookmarkStart w:id="1681" w:name="_Toc404236884"/>
      <w:bookmarkStart w:id="1682" w:name="_Toc404237052"/>
      <w:bookmarkStart w:id="1683" w:name="_Toc404755681"/>
      <w:bookmarkStart w:id="1684" w:name="_Toc405205473"/>
      <w:bookmarkStart w:id="1685" w:name="_Toc404234575"/>
      <w:bookmarkStart w:id="1686" w:name="_Toc404234777"/>
      <w:bookmarkStart w:id="1687" w:name="_Toc404235309"/>
      <w:bookmarkStart w:id="1688" w:name="_Toc404235599"/>
      <w:bookmarkStart w:id="1689" w:name="_Toc404235776"/>
      <w:bookmarkStart w:id="1690" w:name="_Toc404236039"/>
      <w:bookmarkStart w:id="1691" w:name="_Toc404236209"/>
      <w:bookmarkStart w:id="1692" w:name="_Toc404236379"/>
      <w:bookmarkStart w:id="1693" w:name="_Toc404236548"/>
      <w:bookmarkStart w:id="1694" w:name="_Toc404236717"/>
      <w:bookmarkStart w:id="1695" w:name="_Toc404236885"/>
      <w:bookmarkStart w:id="1696" w:name="_Toc404237053"/>
      <w:bookmarkStart w:id="1697" w:name="_Toc404755682"/>
      <w:bookmarkStart w:id="1698" w:name="_Toc405205474"/>
      <w:bookmarkStart w:id="1699" w:name="_Toc404234576"/>
      <w:bookmarkStart w:id="1700" w:name="_Toc404234778"/>
      <w:bookmarkStart w:id="1701" w:name="_Toc404235310"/>
      <w:bookmarkStart w:id="1702" w:name="_Toc404235600"/>
      <w:bookmarkStart w:id="1703" w:name="_Toc404235777"/>
      <w:bookmarkStart w:id="1704" w:name="_Toc404236040"/>
      <w:bookmarkStart w:id="1705" w:name="_Toc404236210"/>
      <w:bookmarkStart w:id="1706" w:name="_Toc404236380"/>
      <w:bookmarkStart w:id="1707" w:name="_Toc404236549"/>
      <w:bookmarkStart w:id="1708" w:name="_Toc404236718"/>
      <w:bookmarkStart w:id="1709" w:name="_Toc404236886"/>
      <w:bookmarkStart w:id="1710" w:name="_Toc404237054"/>
      <w:bookmarkStart w:id="1711" w:name="_Toc404755683"/>
      <w:bookmarkStart w:id="1712" w:name="_Toc405205475"/>
      <w:bookmarkStart w:id="1713" w:name="_Toc404234577"/>
      <w:bookmarkStart w:id="1714" w:name="_Toc404234779"/>
      <w:bookmarkStart w:id="1715" w:name="_Toc404235311"/>
      <w:bookmarkStart w:id="1716" w:name="_Toc404235601"/>
      <w:bookmarkStart w:id="1717" w:name="_Toc404235778"/>
      <w:bookmarkStart w:id="1718" w:name="_Toc404236041"/>
      <w:bookmarkStart w:id="1719" w:name="_Toc404236211"/>
      <w:bookmarkStart w:id="1720" w:name="_Toc404236381"/>
      <w:bookmarkStart w:id="1721" w:name="_Toc404236550"/>
      <w:bookmarkStart w:id="1722" w:name="_Toc404236719"/>
      <w:bookmarkStart w:id="1723" w:name="_Toc404236887"/>
      <w:bookmarkStart w:id="1724" w:name="_Toc404237055"/>
      <w:bookmarkStart w:id="1725" w:name="_Toc404755684"/>
      <w:bookmarkStart w:id="1726" w:name="_Toc405205476"/>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r w:rsidRPr="00332FCD">
        <w:rPr>
          <w:rFonts w:ascii="Andes" w:eastAsiaTheme="majorEastAsia" w:hAnsi="Andes" w:cstheme="majorBidi"/>
          <w:bCs w:val="0"/>
          <w:color w:val="C45911"/>
          <w:sz w:val="32"/>
          <w:szCs w:val="32"/>
        </w:rPr>
        <w:t>Critères d’évaluation</w:t>
      </w:r>
    </w:p>
    <w:p w14:paraId="3C385FD9" w14:textId="5F4728C1" w:rsidR="00915DEE" w:rsidRPr="00882278" w:rsidRDefault="008D4590" w:rsidP="00882278">
      <w:pPr>
        <w:pStyle w:val="Paragraphedeliste"/>
        <w:numPr>
          <w:ilvl w:val="0"/>
          <w:numId w:val="78"/>
        </w:numPr>
        <w:spacing w:before="0" w:line="240" w:lineRule="auto"/>
        <w:ind w:left="634" w:hanging="634"/>
        <w:contextualSpacing w:val="0"/>
        <w:rPr>
          <w:rFonts w:ascii="Andes" w:hAnsi="Andes" w:cs="Arial"/>
          <w:sz w:val="22"/>
          <w:szCs w:val="22"/>
        </w:rPr>
      </w:pPr>
      <w:r w:rsidRPr="00846FA5">
        <w:rPr>
          <w:rFonts w:ascii="Andes" w:hAnsi="Andes" w:cs="Arial"/>
          <w:sz w:val="22"/>
          <w:szCs w:val="22"/>
        </w:rPr>
        <w:t xml:space="preserve">Les </w:t>
      </w:r>
      <w:r w:rsidR="002A1FB4">
        <w:rPr>
          <w:rFonts w:ascii="Andes" w:hAnsi="Andes" w:cs="Arial"/>
          <w:sz w:val="22"/>
          <w:szCs w:val="22"/>
        </w:rPr>
        <w:t>C</w:t>
      </w:r>
      <w:r w:rsidRPr="00846FA5">
        <w:rPr>
          <w:rFonts w:ascii="Andes" w:hAnsi="Andes" w:cs="Arial"/>
          <w:sz w:val="22"/>
          <w:szCs w:val="22"/>
        </w:rPr>
        <w:t xml:space="preserve">ritères et méthodes d’évaluation </w:t>
      </w:r>
      <w:r w:rsidR="00454426" w:rsidRPr="00846FA5">
        <w:rPr>
          <w:rFonts w:ascii="Andes" w:hAnsi="Andes" w:cs="Arial"/>
          <w:sz w:val="22"/>
          <w:szCs w:val="22"/>
        </w:rPr>
        <w:t>doivent être</w:t>
      </w:r>
      <w:r w:rsidR="007439CE">
        <w:rPr>
          <w:rFonts w:ascii="Andes" w:hAnsi="Andes" w:cs="Arial"/>
          <w:sz w:val="22"/>
          <w:szCs w:val="22"/>
        </w:rPr>
        <w:t xml:space="preserve"> </w:t>
      </w:r>
      <w:r w:rsidRPr="00846FA5">
        <w:rPr>
          <w:rFonts w:ascii="Andes" w:hAnsi="Andes" w:cs="Arial"/>
          <w:sz w:val="22"/>
          <w:szCs w:val="22"/>
        </w:rPr>
        <w:t>décrits en détail dans le dossier d’</w:t>
      </w:r>
      <w:r w:rsidR="0017726B" w:rsidRPr="00846FA5">
        <w:rPr>
          <w:rFonts w:ascii="Andes" w:hAnsi="Andes" w:cs="Arial"/>
          <w:sz w:val="22"/>
          <w:szCs w:val="22"/>
        </w:rPr>
        <w:t>A</w:t>
      </w:r>
      <w:r w:rsidRPr="00846FA5">
        <w:rPr>
          <w:rFonts w:ascii="Andes" w:hAnsi="Andes" w:cs="Arial"/>
          <w:sz w:val="22"/>
          <w:szCs w:val="22"/>
        </w:rPr>
        <w:t>ppel d’</w:t>
      </w:r>
      <w:r w:rsidR="0017726B" w:rsidRPr="00846FA5">
        <w:rPr>
          <w:rFonts w:ascii="Andes" w:hAnsi="Andes" w:cs="Arial"/>
          <w:sz w:val="22"/>
          <w:szCs w:val="22"/>
        </w:rPr>
        <w:t>O</w:t>
      </w:r>
      <w:r w:rsidRPr="00846FA5">
        <w:rPr>
          <w:rFonts w:ascii="Andes" w:hAnsi="Andes" w:cs="Arial"/>
          <w:sz w:val="22"/>
          <w:szCs w:val="22"/>
        </w:rPr>
        <w:t xml:space="preserve">ffres/à </w:t>
      </w:r>
      <w:r w:rsidR="0017726B" w:rsidRPr="00846FA5">
        <w:rPr>
          <w:rFonts w:ascii="Andes" w:hAnsi="Andes" w:cs="Arial"/>
          <w:sz w:val="22"/>
          <w:szCs w:val="22"/>
        </w:rPr>
        <w:t>P</w:t>
      </w:r>
      <w:r w:rsidRPr="00846FA5">
        <w:rPr>
          <w:rFonts w:ascii="Andes" w:hAnsi="Andes" w:cs="Arial"/>
          <w:sz w:val="22"/>
          <w:szCs w:val="22"/>
        </w:rPr>
        <w:t xml:space="preserve">ropositions. </w:t>
      </w:r>
      <w:r w:rsidR="00915DEE" w:rsidRPr="00882278">
        <w:rPr>
          <w:rFonts w:ascii="Andes" w:hAnsi="Andes" w:cs="Arial"/>
          <w:sz w:val="22"/>
          <w:szCs w:val="22"/>
        </w:rPr>
        <w:t xml:space="preserve">Les </w:t>
      </w:r>
      <w:r w:rsidR="00826878" w:rsidRPr="00882278">
        <w:rPr>
          <w:rFonts w:ascii="Andes" w:hAnsi="Andes" w:cs="Arial"/>
          <w:sz w:val="22"/>
          <w:szCs w:val="22"/>
        </w:rPr>
        <w:t>C</w:t>
      </w:r>
      <w:r w:rsidR="00915DEE" w:rsidRPr="00882278">
        <w:rPr>
          <w:rFonts w:ascii="Andes" w:hAnsi="Andes" w:cs="Arial"/>
          <w:sz w:val="22"/>
          <w:szCs w:val="22"/>
        </w:rPr>
        <w:t xml:space="preserve">ritères et la méthodologie d'évaluation doivent être adaptés au type, à la nature, aux conditions du marché et à la complexité de </w:t>
      </w:r>
      <w:r w:rsidR="003A2948" w:rsidRPr="00882278">
        <w:rPr>
          <w:rFonts w:ascii="Andes" w:hAnsi="Andes" w:cs="Arial"/>
          <w:sz w:val="22"/>
          <w:szCs w:val="22"/>
        </w:rPr>
        <w:t>ce qui doit être acquis</w:t>
      </w:r>
      <w:r w:rsidR="00915DEE" w:rsidRPr="00882278">
        <w:rPr>
          <w:rFonts w:ascii="Andes" w:hAnsi="Andes" w:cs="Arial"/>
          <w:sz w:val="22"/>
          <w:szCs w:val="22"/>
        </w:rPr>
        <w:t xml:space="preserve">. Pour tout </w:t>
      </w:r>
      <w:r w:rsidR="00FF4197" w:rsidRPr="00882278">
        <w:rPr>
          <w:rFonts w:ascii="Andes" w:hAnsi="Andes" w:cs="Arial"/>
          <w:sz w:val="22"/>
          <w:szCs w:val="22"/>
        </w:rPr>
        <w:t xml:space="preserve">contrat </w:t>
      </w:r>
      <w:r w:rsidR="00FF4197" w:rsidRPr="00882278">
        <w:rPr>
          <w:rFonts w:ascii="Andes" w:hAnsi="Andes" w:cs="Arial"/>
          <w:sz w:val="22"/>
          <w:szCs w:val="22"/>
        </w:rPr>
        <w:lastRenderedPageBreak/>
        <w:t>faisant l’objet de mise en concurrence internationale</w:t>
      </w:r>
      <w:r w:rsidR="00915DEE" w:rsidRPr="00882278">
        <w:rPr>
          <w:rFonts w:ascii="Andes" w:hAnsi="Andes" w:cs="Arial"/>
          <w:sz w:val="22"/>
          <w:szCs w:val="22"/>
        </w:rPr>
        <w:t xml:space="preserve"> pour lequel l'utilisation de D</w:t>
      </w:r>
      <w:r w:rsidR="00594505" w:rsidRPr="00882278">
        <w:rPr>
          <w:rFonts w:ascii="Andes" w:hAnsi="Andes" w:cs="Arial"/>
          <w:sz w:val="22"/>
          <w:szCs w:val="22"/>
        </w:rPr>
        <w:t xml:space="preserve">TPM </w:t>
      </w:r>
      <w:r w:rsidR="00915DEE" w:rsidRPr="00882278">
        <w:rPr>
          <w:rFonts w:ascii="Andes" w:hAnsi="Andes" w:cs="Arial"/>
          <w:sz w:val="22"/>
          <w:szCs w:val="22"/>
        </w:rPr>
        <w:t xml:space="preserve">est requise (à l'exclusion des produits pharmaceutiques, des vaccins et des produits de base), les </w:t>
      </w:r>
      <w:r w:rsidR="005178F8" w:rsidRPr="00882278">
        <w:rPr>
          <w:rFonts w:ascii="Andes" w:hAnsi="Andes" w:cs="Arial"/>
          <w:sz w:val="22"/>
          <w:szCs w:val="22"/>
        </w:rPr>
        <w:t>C</w:t>
      </w:r>
      <w:r w:rsidR="00915DEE" w:rsidRPr="00882278">
        <w:rPr>
          <w:rFonts w:ascii="Andes" w:hAnsi="Andes" w:cs="Arial"/>
          <w:sz w:val="22"/>
          <w:szCs w:val="22"/>
        </w:rPr>
        <w:t xml:space="preserve">ritères cotés s'appliquent. L'évaluation selon les </w:t>
      </w:r>
      <w:r w:rsidR="00376600" w:rsidRPr="00882278">
        <w:rPr>
          <w:rFonts w:ascii="Andes" w:hAnsi="Andes" w:cs="Arial"/>
          <w:sz w:val="22"/>
          <w:szCs w:val="22"/>
        </w:rPr>
        <w:t>C</w:t>
      </w:r>
      <w:r w:rsidR="00915DEE" w:rsidRPr="00882278">
        <w:rPr>
          <w:rFonts w:ascii="Andes" w:hAnsi="Andes" w:cs="Arial"/>
          <w:sz w:val="22"/>
          <w:szCs w:val="22"/>
        </w:rPr>
        <w:t xml:space="preserve">ritères notés sera effectuée </w:t>
      </w:r>
      <w:r w:rsidR="00376600" w:rsidRPr="00882278">
        <w:rPr>
          <w:rFonts w:ascii="Andes" w:hAnsi="Andes" w:cs="Arial"/>
          <w:sz w:val="22"/>
          <w:szCs w:val="22"/>
        </w:rPr>
        <w:t>en recourant à</w:t>
      </w:r>
      <w:r w:rsidR="00915DEE" w:rsidRPr="00882278">
        <w:rPr>
          <w:rFonts w:ascii="Andes" w:hAnsi="Andes" w:cs="Arial"/>
          <w:sz w:val="22"/>
          <w:szCs w:val="22"/>
        </w:rPr>
        <w:t xml:space="preserve"> deux enveloppes conformément aux Paragraphes 6.29 à 6.31. L'Emprunteur précisera la pondération des </w:t>
      </w:r>
      <w:r w:rsidR="00041FED" w:rsidRPr="00882278">
        <w:rPr>
          <w:rFonts w:ascii="Andes" w:hAnsi="Andes" w:cs="Arial"/>
          <w:sz w:val="22"/>
          <w:szCs w:val="22"/>
        </w:rPr>
        <w:t>C</w:t>
      </w:r>
      <w:r w:rsidR="00915DEE" w:rsidRPr="00882278">
        <w:rPr>
          <w:rFonts w:ascii="Andes" w:hAnsi="Andes" w:cs="Arial"/>
          <w:sz w:val="22"/>
          <w:szCs w:val="22"/>
        </w:rPr>
        <w:t xml:space="preserve">ritères notés (par exemple les aspects non tarifaires, qualitatifs et techniques) dans le </w:t>
      </w:r>
      <w:r w:rsidR="00041FED" w:rsidRPr="00882278">
        <w:rPr>
          <w:rFonts w:ascii="Andes" w:hAnsi="Andes" w:cs="Arial"/>
          <w:sz w:val="22"/>
          <w:szCs w:val="22"/>
        </w:rPr>
        <w:t>D</w:t>
      </w:r>
      <w:r w:rsidR="00915DEE" w:rsidRPr="00882278">
        <w:rPr>
          <w:rFonts w:ascii="Andes" w:hAnsi="Andes" w:cs="Arial"/>
          <w:sz w:val="22"/>
          <w:szCs w:val="22"/>
        </w:rPr>
        <w:t xml:space="preserve">ocument d'appel d'offres/demande de propositions. La pondération des </w:t>
      </w:r>
      <w:r w:rsidR="00041FED" w:rsidRPr="00882278">
        <w:rPr>
          <w:rFonts w:ascii="Andes" w:hAnsi="Andes" w:cs="Arial"/>
          <w:sz w:val="22"/>
          <w:szCs w:val="22"/>
        </w:rPr>
        <w:t>C</w:t>
      </w:r>
      <w:r w:rsidR="00915DEE" w:rsidRPr="00882278">
        <w:rPr>
          <w:rFonts w:ascii="Andes" w:hAnsi="Andes" w:cs="Arial"/>
          <w:sz w:val="22"/>
          <w:szCs w:val="22"/>
        </w:rPr>
        <w:t xml:space="preserve">ritères notés est déterminée en fonction du risque et du coût de </w:t>
      </w:r>
      <w:r w:rsidR="00EF56BF" w:rsidRPr="00882278">
        <w:rPr>
          <w:rFonts w:ascii="Andes" w:hAnsi="Andes" w:cs="Arial"/>
          <w:sz w:val="22"/>
          <w:szCs w:val="22"/>
        </w:rPr>
        <w:t>l’acquisition</w:t>
      </w:r>
      <w:r w:rsidR="00915DEE" w:rsidRPr="00882278">
        <w:rPr>
          <w:rFonts w:ascii="Andes" w:hAnsi="Andes" w:cs="Arial"/>
          <w:sz w:val="22"/>
          <w:szCs w:val="22"/>
        </w:rPr>
        <w:t xml:space="preserve">, comme suit : </w:t>
      </w:r>
    </w:p>
    <w:p w14:paraId="59C1C8F2" w14:textId="2F10E476" w:rsidR="00915DEE" w:rsidRPr="00882278" w:rsidRDefault="00915DEE" w:rsidP="00882278">
      <w:pPr>
        <w:pStyle w:val="Paragraphedeliste"/>
        <w:numPr>
          <w:ilvl w:val="0"/>
          <w:numId w:val="292"/>
        </w:numPr>
        <w:spacing w:before="0" w:line="240" w:lineRule="auto"/>
        <w:contextualSpacing w:val="0"/>
        <w:rPr>
          <w:rFonts w:ascii="Andes" w:eastAsiaTheme="minorHAnsi" w:hAnsi="Andes" w:cs="Arial"/>
          <w:color w:val="000000"/>
          <w:sz w:val="22"/>
          <w:szCs w:val="22"/>
        </w:rPr>
      </w:pPr>
      <w:r w:rsidRPr="00882278">
        <w:rPr>
          <w:rFonts w:ascii="Andes" w:eastAsiaTheme="minorHAnsi" w:hAnsi="Andes" w:cs="Arial"/>
          <w:color w:val="000000"/>
          <w:sz w:val="22"/>
          <w:szCs w:val="22"/>
        </w:rPr>
        <w:t>Risque élevé/important en matière de passation de marchés et valeur élevée</w:t>
      </w:r>
      <w:r w:rsidR="00697165">
        <w:rPr>
          <w:rFonts w:ascii="Andes" w:eastAsiaTheme="minorHAnsi" w:hAnsi="Andes" w:cs="Arial"/>
          <w:color w:val="000000"/>
          <w:sz w:val="22"/>
          <w:szCs w:val="22"/>
        </w:rPr>
        <w:t xml:space="preserve"> : </w:t>
      </w:r>
      <w:r w:rsidRPr="00882278">
        <w:rPr>
          <w:rFonts w:ascii="Andes" w:eastAsiaTheme="minorHAnsi" w:hAnsi="Andes" w:cs="Arial"/>
          <w:color w:val="000000"/>
          <w:sz w:val="22"/>
          <w:szCs w:val="22"/>
        </w:rPr>
        <w:t>entre 50 % et 80 %.</w:t>
      </w:r>
    </w:p>
    <w:p w14:paraId="7A46BFD5" w14:textId="78E72B04" w:rsidR="00915DEE" w:rsidRPr="00882278" w:rsidRDefault="00915DEE" w:rsidP="00882278">
      <w:pPr>
        <w:pStyle w:val="Paragraphedeliste"/>
        <w:numPr>
          <w:ilvl w:val="0"/>
          <w:numId w:val="292"/>
        </w:numPr>
        <w:spacing w:before="0" w:line="240" w:lineRule="auto"/>
        <w:contextualSpacing w:val="0"/>
        <w:rPr>
          <w:rFonts w:ascii="Andes" w:eastAsiaTheme="minorHAnsi" w:hAnsi="Andes" w:cs="Arial"/>
          <w:color w:val="000000"/>
          <w:sz w:val="22"/>
          <w:szCs w:val="22"/>
        </w:rPr>
      </w:pPr>
      <w:r w:rsidRPr="00882278">
        <w:rPr>
          <w:rFonts w:ascii="Andes" w:eastAsiaTheme="minorHAnsi" w:hAnsi="Andes" w:cs="Arial"/>
          <w:color w:val="000000"/>
          <w:sz w:val="22"/>
          <w:szCs w:val="22"/>
        </w:rPr>
        <w:t>Risque élevé/important en matière de passation de marchés et faible valeur</w:t>
      </w:r>
      <w:r w:rsidR="009424D7">
        <w:rPr>
          <w:rFonts w:ascii="Andes" w:eastAsiaTheme="minorHAnsi" w:hAnsi="Andes" w:cs="Arial"/>
          <w:color w:val="000000"/>
          <w:sz w:val="22"/>
          <w:szCs w:val="22"/>
        </w:rPr>
        <w:t> :</w:t>
      </w:r>
      <w:r w:rsidRPr="00882278">
        <w:rPr>
          <w:rFonts w:ascii="Andes" w:eastAsiaTheme="minorHAnsi" w:hAnsi="Andes" w:cs="Arial"/>
          <w:color w:val="000000"/>
          <w:sz w:val="22"/>
          <w:szCs w:val="22"/>
        </w:rPr>
        <w:t xml:space="preserve"> entre 60 % et 100 %.</w:t>
      </w:r>
    </w:p>
    <w:p w14:paraId="073A3901" w14:textId="6E1E4284" w:rsidR="00915DEE" w:rsidRPr="00882278" w:rsidRDefault="00915DEE" w:rsidP="00882278">
      <w:pPr>
        <w:pStyle w:val="Paragraphedeliste"/>
        <w:numPr>
          <w:ilvl w:val="0"/>
          <w:numId w:val="292"/>
        </w:numPr>
        <w:spacing w:before="0" w:line="240" w:lineRule="auto"/>
        <w:contextualSpacing w:val="0"/>
        <w:rPr>
          <w:rFonts w:ascii="Andes" w:eastAsiaTheme="minorHAnsi" w:hAnsi="Andes" w:cs="Arial"/>
          <w:color w:val="000000"/>
          <w:sz w:val="22"/>
          <w:szCs w:val="22"/>
        </w:rPr>
      </w:pPr>
      <w:r w:rsidRPr="00882278">
        <w:rPr>
          <w:rFonts w:ascii="Andes" w:eastAsiaTheme="minorHAnsi" w:hAnsi="Andes" w:cs="Arial"/>
          <w:color w:val="000000"/>
          <w:sz w:val="22"/>
          <w:szCs w:val="22"/>
        </w:rPr>
        <w:t>Risque modéré/faible en matière de passation de marchés et valeur élevée</w:t>
      </w:r>
      <w:r w:rsidR="009424D7">
        <w:rPr>
          <w:rFonts w:ascii="Andes" w:eastAsiaTheme="minorHAnsi" w:hAnsi="Andes" w:cs="Arial"/>
          <w:color w:val="000000"/>
          <w:sz w:val="22"/>
          <w:szCs w:val="22"/>
        </w:rPr>
        <w:t> :</w:t>
      </w:r>
      <w:r w:rsidRPr="00882278">
        <w:rPr>
          <w:rFonts w:ascii="Andes" w:eastAsiaTheme="minorHAnsi" w:hAnsi="Andes" w:cs="Arial"/>
          <w:color w:val="000000"/>
          <w:sz w:val="22"/>
          <w:szCs w:val="22"/>
        </w:rPr>
        <w:t xml:space="preserve"> entre 10 % et 40 %.</w:t>
      </w:r>
    </w:p>
    <w:p w14:paraId="5FA9A11F" w14:textId="598CBCFC" w:rsidR="00915DEE" w:rsidRPr="00882278" w:rsidRDefault="00915DEE" w:rsidP="00882278">
      <w:pPr>
        <w:pStyle w:val="Paragraphedeliste"/>
        <w:numPr>
          <w:ilvl w:val="0"/>
          <w:numId w:val="292"/>
        </w:numPr>
        <w:spacing w:before="0" w:line="240" w:lineRule="auto"/>
        <w:contextualSpacing w:val="0"/>
        <w:rPr>
          <w:rFonts w:ascii="Andes" w:eastAsiaTheme="minorHAnsi" w:hAnsi="Andes" w:cs="Arial"/>
          <w:color w:val="000000"/>
          <w:sz w:val="22"/>
          <w:szCs w:val="22"/>
        </w:rPr>
      </w:pPr>
      <w:r w:rsidRPr="00882278">
        <w:rPr>
          <w:rFonts w:ascii="Andes" w:eastAsiaTheme="minorHAnsi" w:hAnsi="Andes" w:cs="Arial"/>
          <w:color w:val="000000"/>
          <w:sz w:val="22"/>
          <w:szCs w:val="22"/>
        </w:rPr>
        <w:t>Risque modéré/faible en matière de passation de marchés et faible valeur</w:t>
      </w:r>
      <w:r w:rsidR="009424D7">
        <w:rPr>
          <w:rFonts w:ascii="Andes" w:eastAsiaTheme="minorHAnsi" w:hAnsi="Andes" w:cs="Arial"/>
          <w:color w:val="000000"/>
          <w:sz w:val="22"/>
          <w:szCs w:val="22"/>
        </w:rPr>
        <w:t xml:space="preserve"> : </w:t>
      </w:r>
      <w:r w:rsidRPr="00882278">
        <w:rPr>
          <w:rFonts w:ascii="Andes" w:eastAsiaTheme="minorHAnsi" w:hAnsi="Andes" w:cs="Arial"/>
          <w:color w:val="000000"/>
          <w:sz w:val="22"/>
          <w:szCs w:val="22"/>
        </w:rPr>
        <w:t>entre 20 % et 30 %.</w:t>
      </w:r>
    </w:p>
    <w:p w14:paraId="0997003A" w14:textId="3D9F6215" w:rsidR="00915DEE" w:rsidRPr="00882278" w:rsidRDefault="00915DEE" w:rsidP="00882278">
      <w:pPr>
        <w:pStyle w:val="Paragraphedeliste"/>
        <w:spacing w:before="0" w:line="240" w:lineRule="auto"/>
        <w:ind w:left="634"/>
        <w:contextualSpacing w:val="0"/>
        <w:rPr>
          <w:rFonts w:ascii="Andes" w:hAnsi="Andes" w:cs="Arial"/>
          <w:sz w:val="22"/>
          <w:szCs w:val="22"/>
        </w:rPr>
      </w:pPr>
      <w:r w:rsidRPr="00882278">
        <w:rPr>
          <w:rFonts w:ascii="Andes" w:hAnsi="Andes" w:cs="Arial"/>
          <w:sz w:val="22"/>
          <w:szCs w:val="22"/>
        </w:rPr>
        <w:t xml:space="preserve">Note : Les contrats dont le coût est estimé à 10 millions </w:t>
      </w:r>
      <w:r w:rsidR="00A63425" w:rsidRPr="00882278">
        <w:rPr>
          <w:rFonts w:ascii="Andes" w:hAnsi="Andes" w:cs="Arial"/>
          <w:sz w:val="22"/>
          <w:szCs w:val="22"/>
        </w:rPr>
        <w:t>de dollars des Etats-Unis</w:t>
      </w:r>
      <w:r w:rsidRPr="00882278">
        <w:rPr>
          <w:rFonts w:ascii="Andes" w:hAnsi="Andes" w:cs="Arial"/>
          <w:sz w:val="22"/>
          <w:szCs w:val="22"/>
        </w:rPr>
        <w:t xml:space="preserve"> ou plus sont considérés comme étant de valeur </w:t>
      </w:r>
      <w:r w:rsidR="00313D47" w:rsidRPr="00882278">
        <w:rPr>
          <w:rFonts w:ascii="Andes" w:hAnsi="Andes" w:cs="Arial"/>
          <w:sz w:val="22"/>
          <w:szCs w:val="22"/>
        </w:rPr>
        <w:t xml:space="preserve">élevée </w:t>
      </w:r>
      <w:r w:rsidRPr="00882278">
        <w:rPr>
          <w:rFonts w:ascii="Andes" w:hAnsi="Andes" w:cs="Arial"/>
          <w:sz w:val="22"/>
          <w:szCs w:val="22"/>
        </w:rPr>
        <w:t xml:space="preserve">aux fins des pondérations ci-dessus pour les </w:t>
      </w:r>
      <w:r w:rsidR="00F85A90" w:rsidRPr="00882278">
        <w:rPr>
          <w:rFonts w:ascii="Andes" w:hAnsi="Andes" w:cs="Arial"/>
          <w:sz w:val="22"/>
          <w:szCs w:val="22"/>
        </w:rPr>
        <w:t>aspect</w:t>
      </w:r>
      <w:r w:rsidRPr="00882278">
        <w:rPr>
          <w:rFonts w:ascii="Andes" w:hAnsi="Andes" w:cs="Arial"/>
          <w:sz w:val="22"/>
          <w:szCs w:val="22"/>
        </w:rPr>
        <w:t>s non tarifaires/qualitati</w:t>
      </w:r>
      <w:r w:rsidR="00F85A90" w:rsidRPr="00882278">
        <w:rPr>
          <w:rFonts w:ascii="Andes" w:hAnsi="Andes" w:cs="Arial"/>
          <w:sz w:val="22"/>
          <w:szCs w:val="22"/>
        </w:rPr>
        <w:t>f</w:t>
      </w:r>
      <w:r w:rsidRPr="00882278">
        <w:rPr>
          <w:rFonts w:ascii="Andes" w:hAnsi="Andes" w:cs="Arial"/>
          <w:sz w:val="22"/>
          <w:szCs w:val="22"/>
        </w:rPr>
        <w:t>s. Voir l'annexe X pour plus d'informations.</w:t>
      </w:r>
    </w:p>
    <w:p w14:paraId="27787F0C" w14:textId="47F36BEC" w:rsidR="00C811D2" w:rsidRPr="00846FA5" w:rsidRDefault="00230525" w:rsidP="00882278">
      <w:pPr>
        <w:pStyle w:val="Paragraphedeliste"/>
        <w:numPr>
          <w:ilvl w:val="0"/>
          <w:numId w:val="78"/>
        </w:numPr>
        <w:spacing w:before="0" w:line="240" w:lineRule="auto"/>
        <w:ind w:left="634" w:hanging="634"/>
        <w:contextualSpacing w:val="0"/>
        <w:rPr>
          <w:rFonts w:ascii="Andes" w:hAnsi="Andes" w:cs="Arial"/>
          <w:sz w:val="22"/>
          <w:szCs w:val="22"/>
        </w:rPr>
      </w:pPr>
      <w:r w:rsidRPr="00846FA5">
        <w:rPr>
          <w:rFonts w:ascii="Andes" w:hAnsi="Andes" w:cs="Arial"/>
          <w:sz w:val="22"/>
          <w:szCs w:val="22"/>
        </w:rPr>
        <w:t xml:space="preserve">Dans </w:t>
      </w:r>
      <w:r w:rsidR="000752D2" w:rsidRPr="00846FA5">
        <w:rPr>
          <w:rFonts w:ascii="Andes" w:hAnsi="Andes" w:cs="Arial"/>
          <w:sz w:val="22"/>
          <w:szCs w:val="22"/>
        </w:rPr>
        <w:t>les marchés faisant appel à la concurrence internationale, les conditions requises par la Banque pour</w:t>
      </w:r>
      <w:r w:rsidRPr="00846FA5">
        <w:rPr>
          <w:rFonts w:ascii="Andes" w:hAnsi="Andes" w:cs="Arial"/>
          <w:sz w:val="22"/>
          <w:szCs w:val="22"/>
        </w:rPr>
        <w:t xml:space="preserve"> les prix des Offres/Propositions </w:t>
      </w:r>
      <w:r w:rsidR="000752D2" w:rsidRPr="00846FA5">
        <w:rPr>
          <w:rFonts w:ascii="Andes" w:hAnsi="Andes" w:cs="Arial"/>
          <w:sz w:val="22"/>
          <w:szCs w:val="22"/>
        </w:rPr>
        <w:t>(</w:t>
      </w:r>
      <w:r w:rsidR="000B08CC" w:rsidRPr="00846FA5">
        <w:rPr>
          <w:rFonts w:ascii="Andes" w:hAnsi="Andes" w:cs="Arial"/>
          <w:sz w:val="22"/>
          <w:szCs w:val="22"/>
        </w:rPr>
        <w:t xml:space="preserve">mode de </w:t>
      </w:r>
      <w:r w:rsidRPr="00846FA5">
        <w:rPr>
          <w:rFonts w:ascii="Andes" w:hAnsi="Andes" w:cs="Arial"/>
          <w:sz w:val="22"/>
          <w:szCs w:val="22"/>
        </w:rPr>
        <w:t>présentation, structure et niveau de détail)</w:t>
      </w:r>
      <w:r w:rsidR="00180BF7" w:rsidRPr="00846FA5">
        <w:rPr>
          <w:rFonts w:ascii="Andes" w:hAnsi="Andes" w:cs="Arial"/>
          <w:sz w:val="22"/>
          <w:szCs w:val="22"/>
        </w:rPr>
        <w:t>,</w:t>
      </w:r>
      <w:r w:rsidRPr="00846FA5">
        <w:rPr>
          <w:rFonts w:ascii="Andes" w:hAnsi="Andes" w:cs="Arial"/>
          <w:sz w:val="22"/>
          <w:szCs w:val="22"/>
        </w:rPr>
        <w:t xml:space="preserve"> et la méthode de comparaison et d’évaluation des prix offerts/</w:t>
      </w:r>
      <w:r w:rsidR="00180BF7" w:rsidRPr="00846FA5">
        <w:rPr>
          <w:rFonts w:ascii="Andes" w:hAnsi="Andes" w:cs="Arial"/>
          <w:sz w:val="22"/>
          <w:szCs w:val="22"/>
        </w:rPr>
        <w:t xml:space="preserve">proposés </w:t>
      </w:r>
      <w:r w:rsidRPr="00846FA5">
        <w:rPr>
          <w:rFonts w:ascii="Andes" w:hAnsi="Andes" w:cs="Arial"/>
          <w:sz w:val="22"/>
          <w:szCs w:val="22"/>
        </w:rPr>
        <w:t>(</w:t>
      </w:r>
      <w:r w:rsidR="00180BF7" w:rsidRPr="00846FA5">
        <w:rPr>
          <w:rFonts w:ascii="Andes" w:hAnsi="Andes" w:cs="Arial"/>
          <w:sz w:val="22"/>
          <w:szCs w:val="22"/>
        </w:rPr>
        <w:t>dont le</w:t>
      </w:r>
      <w:r w:rsidR="000B08CC" w:rsidRPr="00846FA5">
        <w:rPr>
          <w:rFonts w:ascii="Andes" w:hAnsi="Andes" w:cs="Arial"/>
          <w:sz w:val="22"/>
          <w:szCs w:val="22"/>
        </w:rPr>
        <w:t xml:space="preserve"> régime </w:t>
      </w:r>
      <w:r w:rsidR="00180BF7" w:rsidRPr="00846FA5">
        <w:rPr>
          <w:rFonts w:ascii="Andes" w:hAnsi="Andes" w:cs="Arial"/>
          <w:sz w:val="22"/>
          <w:szCs w:val="22"/>
        </w:rPr>
        <w:t>des taxes perçues</w:t>
      </w:r>
      <w:r w:rsidR="000B08CC" w:rsidRPr="00846FA5">
        <w:rPr>
          <w:rFonts w:ascii="Andes" w:hAnsi="Andes" w:cs="Arial"/>
          <w:sz w:val="22"/>
          <w:szCs w:val="22"/>
        </w:rPr>
        <w:t xml:space="preserve"> dans </w:t>
      </w:r>
      <w:r w:rsidR="00180BF7" w:rsidRPr="00846FA5">
        <w:rPr>
          <w:rFonts w:ascii="Andes" w:hAnsi="Andes" w:cs="Arial"/>
          <w:sz w:val="22"/>
          <w:szCs w:val="22"/>
        </w:rPr>
        <w:t xml:space="preserve">le pays de l’Emprunteur pour les marchés de Fournitures, Travaux, Services Autres que </w:t>
      </w:r>
      <w:r w:rsidR="00E918FF" w:rsidRPr="00846FA5">
        <w:rPr>
          <w:rFonts w:ascii="Andes" w:hAnsi="Andes" w:cs="Arial"/>
          <w:sz w:val="22"/>
          <w:szCs w:val="22"/>
        </w:rPr>
        <w:t>des S</w:t>
      </w:r>
      <w:r w:rsidR="00180BF7" w:rsidRPr="00846FA5">
        <w:rPr>
          <w:rFonts w:ascii="Andes" w:hAnsi="Andes" w:cs="Arial"/>
          <w:sz w:val="22"/>
          <w:szCs w:val="22"/>
        </w:rPr>
        <w:t>ervices de consultants et Services de Consultants</w:t>
      </w:r>
      <w:r w:rsidR="000B08CC" w:rsidRPr="00846FA5">
        <w:rPr>
          <w:rFonts w:ascii="Andes" w:hAnsi="Andes" w:cs="Arial"/>
          <w:sz w:val="22"/>
          <w:szCs w:val="22"/>
        </w:rPr>
        <w:t>)</w:t>
      </w:r>
      <w:r w:rsidR="00180BF7" w:rsidRPr="00846FA5">
        <w:rPr>
          <w:rFonts w:ascii="Andes" w:hAnsi="Andes" w:cs="Arial"/>
          <w:sz w:val="22"/>
          <w:szCs w:val="22"/>
        </w:rPr>
        <w:t xml:space="preserve"> sont décrites dans les</w:t>
      </w:r>
      <w:r w:rsidR="000B08CC" w:rsidRPr="00846FA5">
        <w:rPr>
          <w:rFonts w:ascii="Andes" w:hAnsi="Andes" w:cs="Arial"/>
          <w:sz w:val="22"/>
          <w:szCs w:val="22"/>
        </w:rPr>
        <w:t xml:space="preserve"> modèles applicables des</w:t>
      </w:r>
      <w:r w:rsidR="00180BF7" w:rsidRPr="00846FA5">
        <w:rPr>
          <w:rFonts w:ascii="Andes" w:hAnsi="Andes" w:cs="Arial"/>
          <w:sz w:val="22"/>
          <w:szCs w:val="22"/>
        </w:rPr>
        <w:t xml:space="preserve"> D</w:t>
      </w:r>
      <w:r w:rsidR="006F461C" w:rsidRPr="00846FA5">
        <w:rPr>
          <w:rFonts w:ascii="Andes" w:hAnsi="Andes" w:cs="Arial"/>
          <w:sz w:val="22"/>
          <w:szCs w:val="22"/>
        </w:rPr>
        <w:t>TPM</w:t>
      </w:r>
      <w:r w:rsidR="00180BF7" w:rsidRPr="00846FA5">
        <w:rPr>
          <w:rFonts w:ascii="Andes" w:hAnsi="Andes" w:cs="Arial"/>
          <w:sz w:val="22"/>
          <w:szCs w:val="22"/>
        </w:rPr>
        <w:t xml:space="preserve">. Pour plus de détails, voir </w:t>
      </w:r>
      <w:r w:rsidR="006E768D">
        <w:rPr>
          <w:rFonts w:ascii="Andes" w:hAnsi="Andes" w:cs="Arial"/>
          <w:sz w:val="22"/>
          <w:szCs w:val="22"/>
        </w:rPr>
        <w:t>A</w:t>
      </w:r>
      <w:r w:rsidR="00180BF7" w:rsidRPr="00846FA5">
        <w:rPr>
          <w:rFonts w:ascii="Andes" w:hAnsi="Andes" w:cs="Arial"/>
          <w:sz w:val="22"/>
          <w:szCs w:val="22"/>
        </w:rPr>
        <w:t xml:space="preserve">nnexe </w:t>
      </w:r>
      <w:r w:rsidR="00C13CA9" w:rsidRPr="00846FA5">
        <w:rPr>
          <w:rFonts w:ascii="Andes" w:hAnsi="Andes" w:cs="Arial"/>
          <w:sz w:val="22"/>
          <w:szCs w:val="22"/>
        </w:rPr>
        <w:t xml:space="preserve">X, </w:t>
      </w:r>
      <w:r w:rsidR="00180BF7" w:rsidRPr="00846FA5">
        <w:rPr>
          <w:rFonts w:ascii="Andes" w:hAnsi="Andes" w:cs="Arial"/>
          <w:sz w:val="22"/>
          <w:szCs w:val="22"/>
        </w:rPr>
        <w:t>Critères d’évaluation</w:t>
      </w:r>
      <w:r w:rsidR="00093E44" w:rsidRPr="00846FA5">
        <w:rPr>
          <w:rFonts w:ascii="Andes" w:hAnsi="Andes" w:cs="Arial"/>
          <w:sz w:val="22"/>
          <w:szCs w:val="22"/>
        </w:rPr>
        <w:t>.</w:t>
      </w:r>
    </w:p>
    <w:p w14:paraId="54AEC9CC" w14:textId="64DB1454" w:rsidR="005C5CFC" w:rsidRPr="00332FCD" w:rsidRDefault="00C60E91" w:rsidP="009A43BE">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1727" w:name="_Toc408418499"/>
      <w:bookmarkStart w:id="1728" w:name="_Toc409085729"/>
      <w:bookmarkStart w:id="1729" w:name="_Toc409086006"/>
      <w:bookmarkStart w:id="1730" w:name="_Toc409086283"/>
      <w:bookmarkStart w:id="1731" w:name="_Toc409248893"/>
      <w:bookmarkStart w:id="1732" w:name="_Toc409255473"/>
      <w:bookmarkStart w:id="1733" w:name="_Toc409255753"/>
      <w:bookmarkStart w:id="1734" w:name="_Toc409256033"/>
      <w:bookmarkStart w:id="1735" w:name="_Toc409256313"/>
      <w:bookmarkStart w:id="1736" w:name="_Toc409256593"/>
      <w:bookmarkStart w:id="1737" w:name="_Toc409270288"/>
      <w:bookmarkStart w:id="1738" w:name="_Toc409270568"/>
      <w:bookmarkStart w:id="1739" w:name="_Toc409509178"/>
      <w:bookmarkStart w:id="1740" w:name="_Toc409509461"/>
      <w:bookmarkStart w:id="1741" w:name="_Toc409509744"/>
      <w:bookmarkStart w:id="1742" w:name="_Toc409510027"/>
      <w:bookmarkStart w:id="1743" w:name="_Toc409510308"/>
      <w:bookmarkStart w:id="1744" w:name="_Toc409595787"/>
      <w:bookmarkStart w:id="1745" w:name="_Toc409606963"/>
      <w:bookmarkStart w:id="1746" w:name="_Toc408418500"/>
      <w:bookmarkStart w:id="1747" w:name="_Toc409085730"/>
      <w:bookmarkStart w:id="1748" w:name="_Toc409086007"/>
      <w:bookmarkStart w:id="1749" w:name="_Toc409086284"/>
      <w:bookmarkStart w:id="1750" w:name="_Toc409248894"/>
      <w:bookmarkStart w:id="1751" w:name="_Toc409255474"/>
      <w:bookmarkStart w:id="1752" w:name="_Toc409255754"/>
      <w:bookmarkStart w:id="1753" w:name="_Toc409256034"/>
      <w:bookmarkStart w:id="1754" w:name="_Toc409256314"/>
      <w:bookmarkStart w:id="1755" w:name="_Toc409256594"/>
      <w:bookmarkStart w:id="1756" w:name="_Toc409270289"/>
      <w:bookmarkStart w:id="1757" w:name="_Toc409270569"/>
      <w:bookmarkStart w:id="1758" w:name="_Toc409509179"/>
      <w:bookmarkStart w:id="1759" w:name="_Toc409509462"/>
      <w:bookmarkStart w:id="1760" w:name="_Toc409509745"/>
      <w:bookmarkStart w:id="1761" w:name="_Toc409510028"/>
      <w:bookmarkStart w:id="1762" w:name="_Toc409510309"/>
      <w:bookmarkStart w:id="1763" w:name="_Toc409595788"/>
      <w:bookmarkStart w:id="1764" w:name="_Toc409606964"/>
      <w:bookmarkStart w:id="1765" w:name="_Toc408418501"/>
      <w:bookmarkStart w:id="1766" w:name="_Toc409085731"/>
      <w:bookmarkStart w:id="1767" w:name="_Toc409086008"/>
      <w:bookmarkStart w:id="1768" w:name="_Toc409086285"/>
      <w:bookmarkStart w:id="1769" w:name="_Toc409248895"/>
      <w:bookmarkStart w:id="1770" w:name="_Toc409255475"/>
      <w:bookmarkStart w:id="1771" w:name="_Toc409255755"/>
      <w:bookmarkStart w:id="1772" w:name="_Toc409256035"/>
      <w:bookmarkStart w:id="1773" w:name="_Toc409256315"/>
      <w:bookmarkStart w:id="1774" w:name="_Toc409256595"/>
      <w:bookmarkStart w:id="1775" w:name="_Toc409270290"/>
      <w:bookmarkStart w:id="1776" w:name="_Toc409270570"/>
      <w:bookmarkStart w:id="1777" w:name="_Toc409509180"/>
      <w:bookmarkStart w:id="1778" w:name="_Toc409509463"/>
      <w:bookmarkStart w:id="1779" w:name="_Toc409509746"/>
      <w:bookmarkStart w:id="1780" w:name="_Toc409510029"/>
      <w:bookmarkStart w:id="1781" w:name="_Toc409510310"/>
      <w:bookmarkStart w:id="1782" w:name="_Toc409595789"/>
      <w:bookmarkStart w:id="1783" w:name="_Toc409606965"/>
      <w:bookmarkStart w:id="1784" w:name="_Toc408418502"/>
      <w:bookmarkStart w:id="1785" w:name="_Toc409085732"/>
      <w:bookmarkStart w:id="1786" w:name="_Toc409086009"/>
      <w:bookmarkStart w:id="1787" w:name="_Toc409086286"/>
      <w:bookmarkStart w:id="1788" w:name="_Toc409248896"/>
      <w:bookmarkStart w:id="1789" w:name="_Toc409255476"/>
      <w:bookmarkStart w:id="1790" w:name="_Toc409255756"/>
      <w:bookmarkStart w:id="1791" w:name="_Toc409256036"/>
      <w:bookmarkStart w:id="1792" w:name="_Toc409256316"/>
      <w:bookmarkStart w:id="1793" w:name="_Toc409256596"/>
      <w:bookmarkStart w:id="1794" w:name="_Toc409270291"/>
      <w:bookmarkStart w:id="1795" w:name="_Toc409270571"/>
      <w:bookmarkStart w:id="1796" w:name="_Toc409509181"/>
      <w:bookmarkStart w:id="1797" w:name="_Toc409509464"/>
      <w:bookmarkStart w:id="1798" w:name="_Toc409509747"/>
      <w:bookmarkStart w:id="1799" w:name="_Toc409510030"/>
      <w:bookmarkStart w:id="1800" w:name="_Toc409510311"/>
      <w:bookmarkStart w:id="1801" w:name="_Toc409595790"/>
      <w:bookmarkStart w:id="1802" w:name="_Toc409606966"/>
      <w:bookmarkStart w:id="1803" w:name="_Toc408418503"/>
      <w:bookmarkStart w:id="1804" w:name="_Toc409085733"/>
      <w:bookmarkStart w:id="1805" w:name="_Toc409086010"/>
      <w:bookmarkStart w:id="1806" w:name="_Toc409086287"/>
      <w:bookmarkStart w:id="1807" w:name="_Toc409248897"/>
      <w:bookmarkStart w:id="1808" w:name="_Toc409255477"/>
      <w:bookmarkStart w:id="1809" w:name="_Toc409255757"/>
      <w:bookmarkStart w:id="1810" w:name="_Toc409256037"/>
      <w:bookmarkStart w:id="1811" w:name="_Toc409256317"/>
      <w:bookmarkStart w:id="1812" w:name="_Toc409256597"/>
      <w:bookmarkStart w:id="1813" w:name="_Toc409270292"/>
      <w:bookmarkStart w:id="1814" w:name="_Toc409270572"/>
      <w:bookmarkStart w:id="1815" w:name="_Toc409509182"/>
      <w:bookmarkStart w:id="1816" w:name="_Toc409509465"/>
      <w:bookmarkStart w:id="1817" w:name="_Toc409509748"/>
      <w:bookmarkStart w:id="1818" w:name="_Toc409510031"/>
      <w:bookmarkStart w:id="1819" w:name="_Toc409510312"/>
      <w:bookmarkStart w:id="1820" w:name="_Toc409595791"/>
      <w:bookmarkStart w:id="1821" w:name="_Toc409606967"/>
      <w:bookmarkStart w:id="1822" w:name="_Toc408418504"/>
      <w:bookmarkStart w:id="1823" w:name="_Toc409085734"/>
      <w:bookmarkStart w:id="1824" w:name="_Toc409086011"/>
      <w:bookmarkStart w:id="1825" w:name="_Toc409086288"/>
      <w:bookmarkStart w:id="1826" w:name="_Toc409248898"/>
      <w:bookmarkStart w:id="1827" w:name="_Toc409255478"/>
      <w:bookmarkStart w:id="1828" w:name="_Toc409255758"/>
      <w:bookmarkStart w:id="1829" w:name="_Toc409256038"/>
      <w:bookmarkStart w:id="1830" w:name="_Toc409256318"/>
      <w:bookmarkStart w:id="1831" w:name="_Toc409256598"/>
      <w:bookmarkStart w:id="1832" w:name="_Toc409270293"/>
      <w:bookmarkStart w:id="1833" w:name="_Toc409270573"/>
      <w:bookmarkStart w:id="1834" w:name="_Toc409509183"/>
      <w:bookmarkStart w:id="1835" w:name="_Toc409509466"/>
      <w:bookmarkStart w:id="1836" w:name="_Toc409509749"/>
      <w:bookmarkStart w:id="1837" w:name="_Toc409510032"/>
      <w:bookmarkStart w:id="1838" w:name="_Toc409510313"/>
      <w:bookmarkStart w:id="1839" w:name="_Toc409595792"/>
      <w:bookmarkStart w:id="1840" w:name="_Toc409606968"/>
      <w:bookmarkStart w:id="1841" w:name="_Toc408418505"/>
      <w:bookmarkStart w:id="1842" w:name="_Toc409085735"/>
      <w:bookmarkStart w:id="1843" w:name="_Toc409086012"/>
      <w:bookmarkStart w:id="1844" w:name="_Toc409086289"/>
      <w:bookmarkStart w:id="1845" w:name="_Toc409248899"/>
      <w:bookmarkStart w:id="1846" w:name="_Toc409255479"/>
      <w:bookmarkStart w:id="1847" w:name="_Toc409255759"/>
      <w:bookmarkStart w:id="1848" w:name="_Toc409256039"/>
      <w:bookmarkStart w:id="1849" w:name="_Toc409256319"/>
      <w:bookmarkStart w:id="1850" w:name="_Toc409256599"/>
      <w:bookmarkStart w:id="1851" w:name="_Toc409270294"/>
      <w:bookmarkStart w:id="1852" w:name="_Toc409270574"/>
      <w:bookmarkStart w:id="1853" w:name="_Toc409509184"/>
      <w:bookmarkStart w:id="1854" w:name="_Toc409509467"/>
      <w:bookmarkStart w:id="1855" w:name="_Toc409509750"/>
      <w:bookmarkStart w:id="1856" w:name="_Toc409510033"/>
      <w:bookmarkStart w:id="1857" w:name="_Toc409510314"/>
      <w:bookmarkStart w:id="1858" w:name="_Toc409595793"/>
      <w:bookmarkStart w:id="1859" w:name="_Toc409606969"/>
      <w:bookmarkStart w:id="1860" w:name="_Toc408418506"/>
      <w:bookmarkStart w:id="1861" w:name="_Toc409085736"/>
      <w:bookmarkStart w:id="1862" w:name="_Toc409086013"/>
      <w:bookmarkStart w:id="1863" w:name="_Toc409086290"/>
      <w:bookmarkStart w:id="1864" w:name="_Toc409248900"/>
      <w:bookmarkStart w:id="1865" w:name="_Toc409255480"/>
      <w:bookmarkStart w:id="1866" w:name="_Toc409255760"/>
      <w:bookmarkStart w:id="1867" w:name="_Toc409256040"/>
      <w:bookmarkStart w:id="1868" w:name="_Toc409256320"/>
      <w:bookmarkStart w:id="1869" w:name="_Toc409256600"/>
      <w:bookmarkStart w:id="1870" w:name="_Toc409270295"/>
      <w:bookmarkStart w:id="1871" w:name="_Toc409270575"/>
      <w:bookmarkStart w:id="1872" w:name="_Toc409509185"/>
      <w:bookmarkStart w:id="1873" w:name="_Toc409509468"/>
      <w:bookmarkStart w:id="1874" w:name="_Toc409509751"/>
      <w:bookmarkStart w:id="1875" w:name="_Toc409510034"/>
      <w:bookmarkStart w:id="1876" w:name="_Toc409510315"/>
      <w:bookmarkStart w:id="1877" w:name="_Toc409595794"/>
      <w:bookmarkStart w:id="1878" w:name="_Toc409606970"/>
      <w:bookmarkStart w:id="1879" w:name="_Toc408418507"/>
      <w:bookmarkStart w:id="1880" w:name="_Toc409085737"/>
      <w:bookmarkStart w:id="1881" w:name="_Toc409086014"/>
      <w:bookmarkStart w:id="1882" w:name="_Toc409086291"/>
      <w:bookmarkStart w:id="1883" w:name="_Toc409248901"/>
      <w:bookmarkStart w:id="1884" w:name="_Toc409255481"/>
      <w:bookmarkStart w:id="1885" w:name="_Toc409255761"/>
      <w:bookmarkStart w:id="1886" w:name="_Toc409256041"/>
      <w:bookmarkStart w:id="1887" w:name="_Toc409256321"/>
      <w:bookmarkStart w:id="1888" w:name="_Toc409256601"/>
      <w:bookmarkStart w:id="1889" w:name="_Toc409270296"/>
      <w:bookmarkStart w:id="1890" w:name="_Toc409270576"/>
      <w:bookmarkStart w:id="1891" w:name="_Toc409509186"/>
      <w:bookmarkStart w:id="1892" w:name="_Toc409509469"/>
      <w:bookmarkStart w:id="1893" w:name="_Toc409509752"/>
      <w:bookmarkStart w:id="1894" w:name="_Toc409510035"/>
      <w:bookmarkStart w:id="1895" w:name="_Toc409510316"/>
      <w:bookmarkStart w:id="1896" w:name="_Toc409595795"/>
      <w:bookmarkStart w:id="1897" w:name="_Toc409606971"/>
      <w:bookmarkStart w:id="1898" w:name="_Toc408418508"/>
      <w:bookmarkStart w:id="1899" w:name="_Toc409085738"/>
      <w:bookmarkStart w:id="1900" w:name="_Toc409086015"/>
      <w:bookmarkStart w:id="1901" w:name="_Toc409086292"/>
      <w:bookmarkStart w:id="1902" w:name="_Toc409248902"/>
      <w:bookmarkStart w:id="1903" w:name="_Toc409255482"/>
      <w:bookmarkStart w:id="1904" w:name="_Toc409255762"/>
      <w:bookmarkStart w:id="1905" w:name="_Toc409256042"/>
      <w:bookmarkStart w:id="1906" w:name="_Toc409256322"/>
      <w:bookmarkStart w:id="1907" w:name="_Toc409256602"/>
      <w:bookmarkStart w:id="1908" w:name="_Toc409270297"/>
      <w:bookmarkStart w:id="1909" w:name="_Toc409270577"/>
      <w:bookmarkStart w:id="1910" w:name="_Toc409509187"/>
      <w:bookmarkStart w:id="1911" w:name="_Toc409509470"/>
      <w:bookmarkStart w:id="1912" w:name="_Toc409509753"/>
      <w:bookmarkStart w:id="1913" w:name="_Toc409510036"/>
      <w:bookmarkStart w:id="1914" w:name="_Toc409510317"/>
      <w:bookmarkStart w:id="1915" w:name="_Toc409595796"/>
      <w:bookmarkStart w:id="1916" w:name="_Toc409606972"/>
      <w:bookmarkStart w:id="1917" w:name="_Toc408418509"/>
      <w:bookmarkStart w:id="1918" w:name="_Toc409085739"/>
      <w:bookmarkStart w:id="1919" w:name="_Toc409086016"/>
      <w:bookmarkStart w:id="1920" w:name="_Toc409086293"/>
      <w:bookmarkStart w:id="1921" w:name="_Toc409248903"/>
      <w:bookmarkStart w:id="1922" w:name="_Toc409255483"/>
      <w:bookmarkStart w:id="1923" w:name="_Toc409255763"/>
      <w:bookmarkStart w:id="1924" w:name="_Toc409256043"/>
      <w:bookmarkStart w:id="1925" w:name="_Toc409256323"/>
      <w:bookmarkStart w:id="1926" w:name="_Toc409256603"/>
      <w:bookmarkStart w:id="1927" w:name="_Toc409270298"/>
      <w:bookmarkStart w:id="1928" w:name="_Toc409270578"/>
      <w:bookmarkStart w:id="1929" w:name="_Toc409509188"/>
      <w:bookmarkStart w:id="1930" w:name="_Toc409509471"/>
      <w:bookmarkStart w:id="1931" w:name="_Toc409509754"/>
      <w:bookmarkStart w:id="1932" w:name="_Toc409510037"/>
      <w:bookmarkStart w:id="1933" w:name="_Toc409510318"/>
      <w:bookmarkStart w:id="1934" w:name="_Toc409595797"/>
      <w:bookmarkStart w:id="1935" w:name="_Toc409606973"/>
      <w:bookmarkStart w:id="1936" w:name="_Toc408418510"/>
      <w:bookmarkStart w:id="1937" w:name="_Toc409085740"/>
      <w:bookmarkStart w:id="1938" w:name="_Toc409086017"/>
      <w:bookmarkStart w:id="1939" w:name="_Toc409086294"/>
      <w:bookmarkStart w:id="1940" w:name="_Toc409248904"/>
      <w:bookmarkStart w:id="1941" w:name="_Toc409255484"/>
      <w:bookmarkStart w:id="1942" w:name="_Toc409255764"/>
      <w:bookmarkStart w:id="1943" w:name="_Toc409256044"/>
      <w:bookmarkStart w:id="1944" w:name="_Toc409256324"/>
      <w:bookmarkStart w:id="1945" w:name="_Toc409256604"/>
      <w:bookmarkStart w:id="1946" w:name="_Toc409270299"/>
      <w:bookmarkStart w:id="1947" w:name="_Toc409270579"/>
      <w:bookmarkStart w:id="1948" w:name="_Toc409509189"/>
      <w:bookmarkStart w:id="1949" w:name="_Toc409509472"/>
      <w:bookmarkStart w:id="1950" w:name="_Toc409509755"/>
      <w:bookmarkStart w:id="1951" w:name="_Toc409510038"/>
      <w:bookmarkStart w:id="1952" w:name="_Toc409510319"/>
      <w:bookmarkStart w:id="1953" w:name="_Toc409595798"/>
      <w:bookmarkStart w:id="1954" w:name="_Toc409606974"/>
      <w:bookmarkStart w:id="1955" w:name="_Toc408418511"/>
      <w:bookmarkStart w:id="1956" w:name="_Toc409085741"/>
      <w:bookmarkStart w:id="1957" w:name="_Toc409086018"/>
      <w:bookmarkStart w:id="1958" w:name="_Toc409086295"/>
      <w:bookmarkStart w:id="1959" w:name="_Toc409248905"/>
      <w:bookmarkStart w:id="1960" w:name="_Toc409255485"/>
      <w:bookmarkStart w:id="1961" w:name="_Toc409255765"/>
      <w:bookmarkStart w:id="1962" w:name="_Toc409256045"/>
      <w:bookmarkStart w:id="1963" w:name="_Toc409256325"/>
      <w:bookmarkStart w:id="1964" w:name="_Toc409256605"/>
      <w:bookmarkStart w:id="1965" w:name="_Toc409270300"/>
      <w:bookmarkStart w:id="1966" w:name="_Toc409270580"/>
      <w:bookmarkStart w:id="1967" w:name="_Toc409509190"/>
      <w:bookmarkStart w:id="1968" w:name="_Toc409509473"/>
      <w:bookmarkStart w:id="1969" w:name="_Toc409509756"/>
      <w:bookmarkStart w:id="1970" w:name="_Toc409510039"/>
      <w:bookmarkStart w:id="1971" w:name="_Toc409510320"/>
      <w:bookmarkStart w:id="1972" w:name="_Toc409595799"/>
      <w:bookmarkStart w:id="1973" w:name="_Toc409606975"/>
      <w:bookmarkStart w:id="1974" w:name="_Toc408418512"/>
      <w:bookmarkStart w:id="1975" w:name="_Toc409085742"/>
      <w:bookmarkStart w:id="1976" w:name="_Toc409086019"/>
      <w:bookmarkStart w:id="1977" w:name="_Toc409086296"/>
      <w:bookmarkStart w:id="1978" w:name="_Toc409248906"/>
      <w:bookmarkStart w:id="1979" w:name="_Toc409255486"/>
      <w:bookmarkStart w:id="1980" w:name="_Toc409255766"/>
      <w:bookmarkStart w:id="1981" w:name="_Toc409256046"/>
      <w:bookmarkStart w:id="1982" w:name="_Toc409256326"/>
      <w:bookmarkStart w:id="1983" w:name="_Toc409256606"/>
      <w:bookmarkStart w:id="1984" w:name="_Toc409270301"/>
      <w:bookmarkStart w:id="1985" w:name="_Toc409270581"/>
      <w:bookmarkStart w:id="1986" w:name="_Toc409509191"/>
      <w:bookmarkStart w:id="1987" w:name="_Toc409509474"/>
      <w:bookmarkStart w:id="1988" w:name="_Toc409509757"/>
      <w:bookmarkStart w:id="1989" w:name="_Toc409510040"/>
      <w:bookmarkStart w:id="1990" w:name="_Toc409510321"/>
      <w:bookmarkStart w:id="1991" w:name="_Toc409595800"/>
      <w:bookmarkStart w:id="1992" w:name="_Toc409606976"/>
      <w:bookmarkStart w:id="1993" w:name="_Toc408418513"/>
      <w:bookmarkStart w:id="1994" w:name="_Toc409085743"/>
      <w:bookmarkStart w:id="1995" w:name="_Toc409086020"/>
      <w:bookmarkStart w:id="1996" w:name="_Toc409086297"/>
      <w:bookmarkStart w:id="1997" w:name="_Toc409248907"/>
      <w:bookmarkStart w:id="1998" w:name="_Toc409255487"/>
      <w:bookmarkStart w:id="1999" w:name="_Toc409255767"/>
      <w:bookmarkStart w:id="2000" w:name="_Toc409256047"/>
      <w:bookmarkStart w:id="2001" w:name="_Toc409256327"/>
      <w:bookmarkStart w:id="2002" w:name="_Toc409256607"/>
      <w:bookmarkStart w:id="2003" w:name="_Toc409270302"/>
      <w:bookmarkStart w:id="2004" w:name="_Toc409270582"/>
      <w:bookmarkStart w:id="2005" w:name="_Toc409509192"/>
      <w:bookmarkStart w:id="2006" w:name="_Toc409509475"/>
      <w:bookmarkStart w:id="2007" w:name="_Toc409509758"/>
      <w:bookmarkStart w:id="2008" w:name="_Toc409510041"/>
      <w:bookmarkStart w:id="2009" w:name="_Toc409510322"/>
      <w:bookmarkStart w:id="2010" w:name="_Toc409595801"/>
      <w:bookmarkStart w:id="2011" w:name="_Toc409606977"/>
      <w:bookmarkStart w:id="2012" w:name="_Toc408418514"/>
      <w:bookmarkStart w:id="2013" w:name="_Toc409085744"/>
      <w:bookmarkStart w:id="2014" w:name="_Toc409086021"/>
      <w:bookmarkStart w:id="2015" w:name="_Toc409086298"/>
      <w:bookmarkStart w:id="2016" w:name="_Toc409248908"/>
      <w:bookmarkStart w:id="2017" w:name="_Toc409255488"/>
      <w:bookmarkStart w:id="2018" w:name="_Toc409255768"/>
      <w:bookmarkStart w:id="2019" w:name="_Toc409256048"/>
      <w:bookmarkStart w:id="2020" w:name="_Toc409256328"/>
      <w:bookmarkStart w:id="2021" w:name="_Toc409256608"/>
      <w:bookmarkStart w:id="2022" w:name="_Toc409270303"/>
      <w:bookmarkStart w:id="2023" w:name="_Toc409270583"/>
      <w:bookmarkStart w:id="2024" w:name="_Toc409509193"/>
      <w:bookmarkStart w:id="2025" w:name="_Toc409509476"/>
      <w:bookmarkStart w:id="2026" w:name="_Toc409509759"/>
      <w:bookmarkStart w:id="2027" w:name="_Toc409510042"/>
      <w:bookmarkStart w:id="2028" w:name="_Toc409510323"/>
      <w:bookmarkStart w:id="2029" w:name="_Toc409595802"/>
      <w:bookmarkStart w:id="2030" w:name="_Toc409606978"/>
      <w:bookmarkStart w:id="2031" w:name="_Toc408418515"/>
      <w:bookmarkStart w:id="2032" w:name="_Toc409085745"/>
      <w:bookmarkStart w:id="2033" w:name="_Toc409086022"/>
      <w:bookmarkStart w:id="2034" w:name="_Toc409086299"/>
      <w:bookmarkStart w:id="2035" w:name="_Toc409248909"/>
      <w:bookmarkStart w:id="2036" w:name="_Toc409255489"/>
      <w:bookmarkStart w:id="2037" w:name="_Toc409255769"/>
      <w:bookmarkStart w:id="2038" w:name="_Toc409256049"/>
      <w:bookmarkStart w:id="2039" w:name="_Toc409256329"/>
      <w:bookmarkStart w:id="2040" w:name="_Toc409256609"/>
      <w:bookmarkStart w:id="2041" w:name="_Toc409270304"/>
      <w:bookmarkStart w:id="2042" w:name="_Toc409270584"/>
      <w:bookmarkStart w:id="2043" w:name="_Toc409509194"/>
      <w:bookmarkStart w:id="2044" w:name="_Toc409509477"/>
      <w:bookmarkStart w:id="2045" w:name="_Toc409509760"/>
      <w:bookmarkStart w:id="2046" w:name="_Toc409510043"/>
      <w:bookmarkStart w:id="2047" w:name="_Toc409510324"/>
      <w:bookmarkStart w:id="2048" w:name="_Toc409595803"/>
      <w:bookmarkStart w:id="2049" w:name="_Toc409606979"/>
      <w:bookmarkStart w:id="2050" w:name="_Toc408418516"/>
      <w:bookmarkStart w:id="2051" w:name="_Toc409085746"/>
      <w:bookmarkStart w:id="2052" w:name="_Toc409086023"/>
      <w:bookmarkStart w:id="2053" w:name="_Toc409086300"/>
      <w:bookmarkStart w:id="2054" w:name="_Toc409248910"/>
      <w:bookmarkStart w:id="2055" w:name="_Toc409255490"/>
      <w:bookmarkStart w:id="2056" w:name="_Toc409255770"/>
      <w:bookmarkStart w:id="2057" w:name="_Toc409256050"/>
      <w:bookmarkStart w:id="2058" w:name="_Toc409256330"/>
      <w:bookmarkStart w:id="2059" w:name="_Toc409256610"/>
      <w:bookmarkStart w:id="2060" w:name="_Toc409270305"/>
      <w:bookmarkStart w:id="2061" w:name="_Toc409270585"/>
      <w:bookmarkStart w:id="2062" w:name="_Toc409509195"/>
      <w:bookmarkStart w:id="2063" w:name="_Toc409509478"/>
      <w:bookmarkStart w:id="2064" w:name="_Toc409509761"/>
      <w:bookmarkStart w:id="2065" w:name="_Toc409510044"/>
      <w:bookmarkStart w:id="2066" w:name="_Toc409510325"/>
      <w:bookmarkStart w:id="2067" w:name="_Toc409595804"/>
      <w:bookmarkStart w:id="2068" w:name="_Toc409606980"/>
      <w:bookmarkStart w:id="2069" w:name="_Toc408418517"/>
      <w:bookmarkStart w:id="2070" w:name="_Toc409085747"/>
      <w:bookmarkStart w:id="2071" w:name="_Toc409086024"/>
      <w:bookmarkStart w:id="2072" w:name="_Toc409086301"/>
      <w:bookmarkStart w:id="2073" w:name="_Toc409248911"/>
      <w:bookmarkStart w:id="2074" w:name="_Toc409255491"/>
      <w:bookmarkStart w:id="2075" w:name="_Toc409255771"/>
      <w:bookmarkStart w:id="2076" w:name="_Toc409256051"/>
      <w:bookmarkStart w:id="2077" w:name="_Toc409256331"/>
      <w:bookmarkStart w:id="2078" w:name="_Toc409256611"/>
      <w:bookmarkStart w:id="2079" w:name="_Toc409270306"/>
      <w:bookmarkStart w:id="2080" w:name="_Toc409270586"/>
      <w:bookmarkStart w:id="2081" w:name="_Toc409509196"/>
      <w:bookmarkStart w:id="2082" w:name="_Toc409509479"/>
      <w:bookmarkStart w:id="2083" w:name="_Toc409509762"/>
      <w:bookmarkStart w:id="2084" w:name="_Toc409510045"/>
      <w:bookmarkStart w:id="2085" w:name="_Toc409510326"/>
      <w:bookmarkStart w:id="2086" w:name="_Toc409595805"/>
      <w:bookmarkStart w:id="2087" w:name="_Toc409606981"/>
      <w:bookmarkStart w:id="2088" w:name="_Toc408418518"/>
      <w:bookmarkStart w:id="2089" w:name="_Toc409085748"/>
      <w:bookmarkStart w:id="2090" w:name="_Toc409086025"/>
      <w:bookmarkStart w:id="2091" w:name="_Toc409086302"/>
      <w:bookmarkStart w:id="2092" w:name="_Toc409248912"/>
      <w:bookmarkStart w:id="2093" w:name="_Toc409255492"/>
      <w:bookmarkStart w:id="2094" w:name="_Toc409255772"/>
      <w:bookmarkStart w:id="2095" w:name="_Toc409256052"/>
      <w:bookmarkStart w:id="2096" w:name="_Toc409256332"/>
      <w:bookmarkStart w:id="2097" w:name="_Toc409256612"/>
      <w:bookmarkStart w:id="2098" w:name="_Toc409270307"/>
      <w:bookmarkStart w:id="2099" w:name="_Toc409270587"/>
      <w:bookmarkStart w:id="2100" w:name="_Toc409509197"/>
      <w:bookmarkStart w:id="2101" w:name="_Toc409509480"/>
      <w:bookmarkStart w:id="2102" w:name="_Toc409509763"/>
      <w:bookmarkStart w:id="2103" w:name="_Toc409510046"/>
      <w:bookmarkStart w:id="2104" w:name="_Toc409510327"/>
      <w:bookmarkStart w:id="2105" w:name="_Toc409595806"/>
      <w:bookmarkStart w:id="2106" w:name="_Toc409606982"/>
      <w:bookmarkStart w:id="2107" w:name="_Toc408418519"/>
      <w:bookmarkStart w:id="2108" w:name="_Toc409085749"/>
      <w:bookmarkStart w:id="2109" w:name="_Toc409086026"/>
      <w:bookmarkStart w:id="2110" w:name="_Toc409086303"/>
      <w:bookmarkStart w:id="2111" w:name="_Toc409248913"/>
      <w:bookmarkStart w:id="2112" w:name="_Toc409255493"/>
      <w:bookmarkStart w:id="2113" w:name="_Toc409255773"/>
      <w:bookmarkStart w:id="2114" w:name="_Toc409256053"/>
      <w:bookmarkStart w:id="2115" w:name="_Toc409256333"/>
      <w:bookmarkStart w:id="2116" w:name="_Toc409256613"/>
      <w:bookmarkStart w:id="2117" w:name="_Toc409270308"/>
      <w:bookmarkStart w:id="2118" w:name="_Toc409270588"/>
      <w:bookmarkStart w:id="2119" w:name="_Toc409509198"/>
      <w:bookmarkStart w:id="2120" w:name="_Toc409509481"/>
      <w:bookmarkStart w:id="2121" w:name="_Toc409509764"/>
      <w:bookmarkStart w:id="2122" w:name="_Toc409510047"/>
      <w:bookmarkStart w:id="2123" w:name="_Toc409510328"/>
      <w:bookmarkStart w:id="2124" w:name="_Toc409595807"/>
      <w:bookmarkStart w:id="2125" w:name="_Toc409606983"/>
      <w:bookmarkStart w:id="2126" w:name="_Toc408418520"/>
      <w:bookmarkStart w:id="2127" w:name="_Toc409085750"/>
      <w:bookmarkStart w:id="2128" w:name="_Toc409086027"/>
      <w:bookmarkStart w:id="2129" w:name="_Toc409086304"/>
      <w:bookmarkStart w:id="2130" w:name="_Toc409248914"/>
      <w:bookmarkStart w:id="2131" w:name="_Toc409255494"/>
      <w:bookmarkStart w:id="2132" w:name="_Toc409255774"/>
      <w:bookmarkStart w:id="2133" w:name="_Toc409256054"/>
      <w:bookmarkStart w:id="2134" w:name="_Toc409256334"/>
      <w:bookmarkStart w:id="2135" w:name="_Toc409256614"/>
      <w:bookmarkStart w:id="2136" w:name="_Toc409270309"/>
      <w:bookmarkStart w:id="2137" w:name="_Toc409270589"/>
      <w:bookmarkStart w:id="2138" w:name="_Toc409509199"/>
      <w:bookmarkStart w:id="2139" w:name="_Toc409509482"/>
      <w:bookmarkStart w:id="2140" w:name="_Toc409509765"/>
      <w:bookmarkStart w:id="2141" w:name="_Toc409510048"/>
      <w:bookmarkStart w:id="2142" w:name="_Toc409510329"/>
      <w:bookmarkStart w:id="2143" w:name="_Toc409595808"/>
      <w:bookmarkStart w:id="2144" w:name="_Toc409606984"/>
      <w:bookmarkStart w:id="2145" w:name="_Toc408418521"/>
      <w:bookmarkStart w:id="2146" w:name="_Toc409085751"/>
      <w:bookmarkStart w:id="2147" w:name="_Toc409086028"/>
      <w:bookmarkStart w:id="2148" w:name="_Toc409086305"/>
      <w:bookmarkStart w:id="2149" w:name="_Toc409248915"/>
      <w:bookmarkStart w:id="2150" w:name="_Toc409255495"/>
      <w:bookmarkStart w:id="2151" w:name="_Toc409255775"/>
      <w:bookmarkStart w:id="2152" w:name="_Toc409256055"/>
      <w:bookmarkStart w:id="2153" w:name="_Toc409256335"/>
      <w:bookmarkStart w:id="2154" w:name="_Toc409256615"/>
      <w:bookmarkStart w:id="2155" w:name="_Toc409270310"/>
      <w:bookmarkStart w:id="2156" w:name="_Toc409270590"/>
      <w:bookmarkStart w:id="2157" w:name="_Toc409509200"/>
      <w:bookmarkStart w:id="2158" w:name="_Toc409509483"/>
      <w:bookmarkStart w:id="2159" w:name="_Toc409509766"/>
      <w:bookmarkStart w:id="2160" w:name="_Toc409510049"/>
      <w:bookmarkStart w:id="2161" w:name="_Toc409510330"/>
      <w:bookmarkStart w:id="2162" w:name="_Toc409595809"/>
      <w:bookmarkStart w:id="2163" w:name="_Toc409606985"/>
      <w:bookmarkStart w:id="2164" w:name="_Toc408418522"/>
      <w:bookmarkStart w:id="2165" w:name="_Toc409085752"/>
      <w:bookmarkStart w:id="2166" w:name="_Toc409086029"/>
      <w:bookmarkStart w:id="2167" w:name="_Toc409086306"/>
      <w:bookmarkStart w:id="2168" w:name="_Toc409248916"/>
      <w:bookmarkStart w:id="2169" w:name="_Toc409255496"/>
      <w:bookmarkStart w:id="2170" w:name="_Toc409255776"/>
      <w:bookmarkStart w:id="2171" w:name="_Toc409256056"/>
      <w:bookmarkStart w:id="2172" w:name="_Toc409256336"/>
      <w:bookmarkStart w:id="2173" w:name="_Toc409256616"/>
      <w:bookmarkStart w:id="2174" w:name="_Toc409270311"/>
      <w:bookmarkStart w:id="2175" w:name="_Toc409270591"/>
      <w:bookmarkStart w:id="2176" w:name="_Toc409509201"/>
      <w:bookmarkStart w:id="2177" w:name="_Toc409509484"/>
      <w:bookmarkStart w:id="2178" w:name="_Toc409509767"/>
      <w:bookmarkStart w:id="2179" w:name="_Toc409510050"/>
      <w:bookmarkStart w:id="2180" w:name="_Toc409510331"/>
      <w:bookmarkStart w:id="2181" w:name="_Toc409595810"/>
      <w:bookmarkStart w:id="2182" w:name="_Toc409606986"/>
      <w:bookmarkStart w:id="2183" w:name="_Toc408418523"/>
      <w:bookmarkStart w:id="2184" w:name="_Toc409085753"/>
      <w:bookmarkStart w:id="2185" w:name="_Toc409086030"/>
      <w:bookmarkStart w:id="2186" w:name="_Toc409086307"/>
      <w:bookmarkStart w:id="2187" w:name="_Toc409248917"/>
      <w:bookmarkStart w:id="2188" w:name="_Toc409255497"/>
      <w:bookmarkStart w:id="2189" w:name="_Toc409255777"/>
      <w:bookmarkStart w:id="2190" w:name="_Toc409256057"/>
      <w:bookmarkStart w:id="2191" w:name="_Toc409256337"/>
      <w:bookmarkStart w:id="2192" w:name="_Toc409256617"/>
      <w:bookmarkStart w:id="2193" w:name="_Toc409270312"/>
      <w:bookmarkStart w:id="2194" w:name="_Toc409270592"/>
      <w:bookmarkStart w:id="2195" w:name="_Toc409509202"/>
      <w:bookmarkStart w:id="2196" w:name="_Toc409509485"/>
      <w:bookmarkStart w:id="2197" w:name="_Toc409509768"/>
      <w:bookmarkStart w:id="2198" w:name="_Toc409510051"/>
      <w:bookmarkStart w:id="2199" w:name="_Toc409510332"/>
      <w:bookmarkStart w:id="2200" w:name="_Toc409595811"/>
      <w:bookmarkStart w:id="2201" w:name="_Toc409606987"/>
      <w:bookmarkStart w:id="2202" w:name="_Toc408418524"/>
      <w:bookmarkStart w:id="2203" w:name="_Toc409085754"/>
      <w:bookmarkStart w:id="2204" w:name="_Toc409086031"/>
      <w:bookmarkStart w:id="2205" w:name="_Toc409086308"/>
      <w:bookmarkStart w:id="2206" w:name="_Toc409248918"/>
      <w:bookmarkStart w:id="2207" w:name="_Toc409255498"/>
      <w:bookmarkStart w:id="2208" w:name="_Toc409255778"/>
      <w:bookmarkStart w:id="2209" w:name="_Toc409256058"/>
      <w:bookmarkStart w:id="2210" w:name="_Toc409256338"/>
      <w:bookmarkStart w:id="2211" w:name="_Toc409256618"/>
      <w:bookmarkStart w:id="2212" w:name="_Toc409270313"/>
      <w:bookmarkStart w:id="2213" w:name="_Toc409270593"/>
      <w:bookmarkStart w:id="2214" w:name="_Toc409509203"/>
      <w:bookmarkStart w:id="2215" w:name="_Toc409509486"/>
      <w:bookmarkStart w:id="2216" w:name="_Toc409509769"/>
      <w:bookmarkStart w:id="2217" w:name="_Toc409510052"/>
      <w:bookmarkStart w:id="2218" w:name="_Toc409510333"/>
      <w:bookmarkStart w:id="2219" w:name="_Toc409595812"/>
      <w:bookmarkStart w:id="2220" w:name="_Toc409606988"/>
      <w:bookmarkStart w:id="2221" w:name="_Toc408418525"/>
      <w:bookmarkStart w:id="2222" w:name="_Toc409085755"/>
      <w:bookmarkStart w:id="2223" w:name="_Toc409086032"/>
      <w:bookmarkStart w:id="2224" w:name="_Toc409086309"/>
      <w:bookmarkStart w:id="2225" w:name="_Toc409248919"/>
      <w:bookmarkStart w:id="2226" w:name="_Toc409255499"/>
      <w:bookmarkStart w:id="2227" w:name="_Toc409255779"/>
      <w:bookmarkStart w:id="2228" w:name="_Toc409256059"/>
      <w:bookmarkStart w:id="2229" w:name="_Toc409256339"/>
      <w:bookmarkStart w:id="2230" w:name="_Toc409256619"/>
      <w:bookmarkStart w:id="2231" w:name="_Toc409270314"/>
      <w:bookmarkStart w:id="2232" w:name="_Toc409270594"/>
      <w:bookmarkStart w:id="2233" w:name="_Toc409509204"/>
      <w:bookmarkStart w:id="2234" w:name="_Toc409509487"/>
      <w:bookmarkStart w:id="2235" w:name="_Toc409509770"/>
      <w:bookmarkStart w:id="2236" w:name="_Toc409510053"/>
      <w:bookmarkStart w:id="2237" w:name="_Toc409510334"/>
      <w:bookmarkStart w:id="2238" w:name="_Toc409595813"/>
      <w:bookmarkStart w:id="2239" w:name="_Toc409606989"/>
      <w:bookmarkStart w:id="2240" w:name="_Toc408418526"/>
      <w:bookmarkStart w:id="2241" w:name="_Toc409085756"/>
      <w:bookmarkStart w:id="2242" w:name="_Toc409086033"/>
      <w:bookmarkStart w:id="2243" w:name="_Toc409086310"/>
      <w:bookmarkStart w:id="2244" w:name="_Toc409248920"/>
      <w:bookmarkStart w:id="2245" w:name="_Toc409255500"/>
      <w:bookmarkStart w:id="2246" w:name="_Toc409255780"/>
      <w:bookmarkStart w:id="2247" w:name="_Toc409256060"/>
      <w:bookmarkStart w:id="2248" w:name="_Toc409256340"/>
      <w:bookmarkStart w:id="2249" w:name="_Toc409256620"/>
      <w:bookmarkStart w:id="2250" w:name="_Toc409270315"/>
      <w:bookmarkStart w:id="2251" w:name="_Toc409270595"/>
      <w:bookmarkStart w:id="2252" w:name="_Toc409509205"/>
      <w:bookmarkStart w:id="2253" w:name="_Toc409509488"/>
      <w:bookmarkStart w:id="2254" w:name="_Toc409509771"/>
      <w:bookmarkStart w:id="2255" w:name="_Toc409510054"/>
      <w:bookmarkStart w:id="2256" w:name="_Toc409510335"/>
      <w:bookmarkStart w:id="2257" w:name="_Toc409595814"/>
      <w:bookmarkStart w:id="2258" w:name="_Toc409606990"/>
      <w:bookmarkStart w:id="2259" w:name="_Toc408418527"/>
      <w:bookmarkStart w:id="2260" w:name="_Toc409085757"/>
      <w:bookmarkStart w:id="2261" w:name="_Toc409086034"/>
      <w:bookmarkStart w:id="2262" w:name="_Toc409086311"/>
      <w:bookmarkStart w:id="2263" w:name="_Toc409248921"/>
      <w:bookmarkStart w:id="2264" w:name="_Toc409255501"/>
      <w:bookmarkStart w:id="2265" w:name="_Toc409255781"/>
      <w:bookmarkStart w:id="2266" w:name="_Toc409256061"/>
      <w:bookmarkStart w:id="2267" w:name="_Toc409256341"/>
      <w:bookmarkStart w:id="2268" w:name="_Toc409256621"/>
      <w:bookmarkStart w:id="2269" w:name="_Toc409270316"/>
      <w:bookmarkStart w:id="2270" w:name="_Toc409270596"/>
      <w:bookmarkStart w:id="2271" w:name="_Toc409509206"/>
      <w:bookmarkStart w:id="2272" w:name="_Toc409509489"/>
      <w:bookmarkStart w:id="2273" w:name="_Toc409509772"/>
      <w:bookmarkStart w:id="2274" w:name="_Toc409510055"/>
      <w:bookmarkStart w:id="2275" w:name="_Toc409510336"/>
      <w:bookmarkStart w:id="2276" w:name="_Toc409595815"/>
      <w:bookmarkStart w:id="2277" w:name="_Toc409606991"/>
      <w:bookmarkStart w:id="2278" w:name="_Toc408418528"/>
      <w:bookmarkStart w:id="2279" w:name="_Toc409085758"/>
      <w:bookmarkStart w:id="2280" w:name="_Toc409086035"/>
      <w:bookmarkStart w:id="2281" w:name="_Toc409086312"/>
      <w:bookmarkStart w:id="2282" w:name="_Toc409248922"/>
      <w:bookmarkStart w:id="2283" w:name="_Toc409255502"/>
      <w:bookmarkStart w:id="2284" w:name="_Toc409255782"/>
      <w:bookmarkStart w:id="2285" w:name="_Toc409256062"/>
      <w:bookmarkStart w:id="2286" w:name="_Toc409256342"/>
      <w:bookmarkStart w:id="2287" w:name="_Toc409256622"/>
      <w:bookmarkStart w:id="2288" w:name="_Toc409270317"/>
      <w:bookmarkStart w:id="2289" w:name="_Toc409270597"/>
      <w:bookmarkStart w:id="2290" w:name="_Toc409509207"/>
      <w:bookmarkStart w:id="2291" w:name="_Toc409509490"/>
      <w:bookmarkStart w:id="2292" w:name="_Toc409509773"/>
      <w:bookmarkStart w:id="2293" w:name="_Toc409510056"/>
      <w:bookmarkStart w:id="2294" w:name="_Toc409510337"/>
      <w:bookmarkStart w:id="2295" w:name="_Toc409595816"/>
      <w:bookmarkStart w:id="2296" w:name="_Toc409606992"/>
      <w:bookmarkStart w:id="2297" w:name="_Toc408418529"/>
      <w:bookmarkStart w:id="2298" w:name="_Toc409085759"/>
      <w:bookmarkStart w:id="2299" w:name="_Toc409086036"/>
      <w:bookmarkStart w:id="2300" w:name="_Toc409086313"/>
      <w:bookmarkStart w:id="2301" w:name="_Toc409248923"/>
      <w:bookmarkStart w:id="2302" w:name="_Toc409255503"/>
      <w:bookmarkStart w:id="2303" w:name="_Toc409255783"/>
      <w:bookmarkStart w:id="2304" w:name="_Toc409256063"/>
      <w:bookmarkStart w:id="2305" w:name="_Toc409256343"/>
      <w:bookmarkStart w:id="2306" w:name="_Toc409256623"/>
      <w:bookmarkStart w:id="2307" w:name="_Toc409270318"/>
      <w:bookmarkStart w:id="2308" w:name="_Toc409270598"/>
      <w:bookmarkStart w:id="2309" w:name="_Toc409509208"/>
      <w:bookmarkStart w:id="2310" w:name="_Toc409509491"/>
      <w:bookmarkStart w:id="2311" w:name="_Toc409509774"/>
      <w:bookmarkStart w:id="2312" w:name="_Toc409510057"/>
      <w:bookmarkStart w:id="2313" w:name="_Toc409510338"/>
      <w:bookmarkStart w:id="2314" w:name="_Toc409595817"/>
      <w:bookmarkStart w:id="2315" w:name="_Toc409606993"/>
      <w:bookmarkStart w:id="2316" w:name="_Toc408418530"/>
      <w:bookmarkStart w:id="2317" w:name="_Toc409085760"/>
      <w:bookmarkStart w:id="2318" w:name="_Toc409086037"/>
      <w:bookmarkStart w:id="2319" w:name="_Toc409086314"/>
      <w:bookmarkStart w:id="2320" w:name="_Toc409248924"/>
      <w:bookmarkStart w:id="2321" w:name="_Toc409255504"/>
      <w:bookmarkStart w:id="2322" w:name="_Toc409255784"/>
      <w:bookmarkStart w:id="2323" w:name="_Toc409256064"/>
      <w:bookmarkStart w:id="2324" w:name="_Toc409256344"/>
      <w:bookmarkStart w:id="2325" w:name="_Toc409256624"/>
      <w:bookmarkStart w:id="2326" w:name="_Toc409270319"/>
      <w:bookmarkStart w:id="2327" w:name="_Toc409270599"/>
      <w:bookmarkStart w:id="2328" w:name="_Toc409509209"/>
      <w:bookmarkStart w:id="2329" w:name="_Toc409509492"/>
      <w:bookmarkStart w:id="2330" w:name="_Toc409509775"/>
      <w:bookmarkStart w:id="2331" w:name="_Toc409510058"/>
      <w:bookmarkStart w:id="2332" w:name="_Toc409510339"/>
      <w:bookmarkStart w:id="2333" w:name="_Toc409595818"/>
      <w:bookmarkStart w:id="2334" w:name="_Toc409606994"/>
      <w:bookmarkStart w:id="2335" w:name="_Toc408418531"/>
      <w:bookmarkStart w:id="2336" w:name="_Toc409085761"/>
      <w:bookmarkStart w:id="2337" w:name="_Toc409086038"/>
      <w:bookmarkStart w:id="2338" w:name="_Toc409086315"/>
      <w:bookmarkStart w:id="2339" w:name="_Toc409248925"/>
      <w:bookmarkStart w:id="2340" w:name="_Toc409255505"/>
      <w:bookmarkStart w:id="2341" w:name="_Toc409255785"/>
      <w:bookmarkStart w:id="2342" w:name="_Toc409256065"/>
      <w:bookmarkStart w:id="2343" w:name="_Toc409256345"/>
      <w:bookmarkStart w:id="2344" w:name="_Toc409256625"/>
      <w:bookmarkStart w:id="2345" w:name="_Toc409270320"/>
      <w:bookmarkStart w:id="2346" w:name="_Toc409270600"/>
      <w:bookmarkStart w:id="2347" w:name="_Toc409509210"/>
      <w:bookmarkStart w:id="2348" w:name="_Toc409509493"/>
      <w:bookmarkStart w:id="2349" w:name="_Toc409509776"/>
      <w:bookmarkStart w:id="2350" w:name="_Toc409510059"/>
      <w:bookmarkStart w:id="2351" w:name="_Toc409510340"/>
      <w:bookmarkStart w:id="2352" w:name="_Toc409595819"/>
      <w:bookmarkStart w:id="2353" w:name="_Toc409606995"/>
      <w:bookmarkStart w:id="2354" w:name="_Toc408418532"/>
      <w:bookmarkStart w:id="2355" w:name="_Toc409085762"/>
      <w:bookmarkStart w:id="2356" w:name="_Toc409086039"/>
      <w:bookmarkStart w:id="2357" w:name="_Toc409086316"/>
      <w:bookmarkStart w:id="2358" w:name="_Toc409248926"/>
      <w:bookmarkStart w:id="2359" w:name="_Toc409255506"/>
      <w:bookmarkStart w:id="2360" w:name="_Toc409255786"/>
      <w:bookmarkStart w:id="2361" w:name="_Toc409256066"/>
      <w:bookmarkStart w:id="2362" w:name="_Toc409256346"/>
      <w:bookmarkStart w:id="2363" w:name="_Toc409256626"/>
      <w:bookmarkStart w:id="2364" w:name="_Toc409270321"/>
      <w:bookmarkStart w:id="2365" w:name="_Toc409270601"/>
      <w:bookmarkStart w:id="2366" w:name="_Toc409509211"/>
      <w:bookmarkStart w:id="2367" w:name="_Toc409509494"/>
      <w:bookmarkStart w:id="2368" w:name="_Toc409509777"/>
      <w:bookmarkStart w:id="2369" w:name="_Toc409510060"/>
      <w:bookmarkStart w:id="2370" w:name="_Toc409510341"/>
      <w:bookmarkStart w:id="2371" w:name="_Toc409595820"/>
      <w:bookmarkStart w:id="2372" w:name="_Toc409606996"/>
      <w:bookmarkStart w:id="2373" w:name="_Toc408418533"/>
      <w:bookmarkStart w:id="2374" w:name="_Toc409085763"/>
      <w:bookmarkStart w:id="2375" w:name="_Toc409086040"/>
      <w:bookmarkStart w:id="2376" w:name="_Toc409086317"/>
      <w:bookmarkStart w:id="2377" w:name="_Toc409248927"/>
      <w:bookmarkStart w:id="2378" w:name="_Toc409255507"/>
      <w:bookmarkStart w:id="2379" w:name="_Toc409255787"/>
      <w:bookmarkStart w:id="2380" w:name="_Toc409256067"/>
      <w:bookmarkStart w:id="2381" w:name="_Toc409256347"/>
      <w:bookmarkStart w:id="2382" w:name="_Toc409256627"/>
      <w:bookmarkStart w:id="2383" w:name="_Toc409270322"/>
      <w:bookmarkStart w:id="2384" w:name="_Toc409270602"/>
      <w:bookmarkStart w:id="2385" w:name="_Toc409509212"/>
      <w:bookmarkStart w:id="2386" w:name="_Toc409509495"/>
      <w:bookmarkStart w:id="2387" w:name="_Toc409509778"/>
      <w:bookmarkStart w:id="2388" w:name="_Toc409510061"/>
      <w:bookmarkStart w:id="2389" w:name="_Toc409510342"/>
      <w:bookmarkStart w:id="2390" w:name="_Toc409595821"/>
      <w:bookmarkStart w:id="2391" w:name="_Toc409606997"/>
      <w:bookmarkStart w:id="2392" w:name="_Toc408418534"/>
      <w:bookmarkStart w:id="2393" w:name="_Toc409085764"/>
      <w:bookmarkStart w:id="2394" w:name="_Toc409086041"/>
      <w:bookmarkStart w:id="2395" w:name="_Toc409086318"/>
      <w:bookmarkStart w:id="2396" w:name="_Toc409248928"/>
      <w:bookmarkStart w:id="2397" w:name="_Toc409255508"/>
      <w:bookmarkStart w:id="2398" w:name="_Toc409255788"/>
      <w:bookmarkStart w:id="2399" w:name="_Toc409256068"/>
      <w:bookmarkStart w:id="2400" w:name="_Toc409256348"/>
      <w:bookmarkStart w:id="2401" w:name="_Toc409256628"/>
      <w:bookmarkStart w:id="2402" w:name="_Toc409270323"/>
      <w:bookmarkStart w:id="2403" w:name="_Toc409270603"/>
      <w:bookmarkStart w:id="2404" w:name="_Toc409509213"/>
      <w:bookmarkStart w:id="2405" w:name="_Toc409509496"/>
      <w:bookmarkStart w:id="2406" w:name="_Toc409509779"/>
      <w:bookmarkStart w:id="2407" w:name="_Toc409510062"/>
      <w:bookmarkStart w:id="2408" w:name="_Toc409510343"/>
      <w:bookmarkStart w:id="2409" w:name="_Toc409595822"/>
      <w:bookmarkStart w:id="2410" w:name="_Toc409606998"/>
      <w:bookmarkStart w:id="2411" w:name="_Toc408418535"/>
      <w:bookmarkStart w:id="2412" w:name="_Toc409085765"/>
      <w:bookmarkStart w:id="2413" w:name="_Toc409086042"/>
      <w:bookmarkStart w:id="2414" w:name="_Toc409086319"/>
      <w:bookmarkStart w:id="2415" w:name="_Toc409248929"/>
      <w:bookmarkStart w:id="2416" w:name="_Toc409255509"/>
      <w:bookmarkStart w:id="2417" w:name="_Toc409255789"/>
      <w:bookmarkStart w:id="2418" w:name="_Toc409256069"/>
      <w:bookmarkStart w:id="2419" w:name="_Toc409256349"/>
      <w:bookmarkStart w:id="2420" w:name="_Toc409256629"/>
      <w:bookmarkStart w:id="2421" w:name="_Toc409270324"/>
      <w:bookmarkStart w:id="2422" w:name="_Toc409270604"/>
      <w:bookmarkStart w:id="2423" w:name="_Toc409509214"/>
      <w:bookmarkStart w:id="2424" w:name="_Toc409509497"/>
      <w:bookmarkStart w:id="2425" w:name="_Toc409509780"/>
      <w:bookmarkStart w:id="2426" w:name="_Toc409510063"/>
      <w:bookmarkStart w:id="2427" w:name="_Toc409510344"/>
      <w:bookmarkStart w:id="2428" w:name="_Toc409595823"/>
      <w:bookmarkStart w:id="2429" w:name="_Toc409606999"/>
      <w:bookmarkStart w:id="2430" w:name="_Toc408418536"/>
      <w:bookmarkStart w:id="2431" w:name="_Toc409085766"/>
      <w:bookmarkStart w:id="2432" w:name="_Toc409086043"/>
      <w:bookmarkStart w:id="2433" w:name="_Toc409086320"/>
      <w:bookmarkStart w:id="2434" w:name="_Toc409248930"/>
      <w:bookmarkStart w:id="2435" w:name="_Toc409255510"/>
      <w:bookmarkStart w:id="2436" w:name="_Toc409255790"/>
      <w:bookmarkStart w:id="2437" w:name="_Toc409256070"/>
      <w:bookmarkStart w:id="2438" w:name="_Toc409256350"/>
      <w:bookmarkStart w:id="2439" w:name="_Toc409256630"/>
      <w:bookmarkStart w:id="2440" w:name="_Toc409270325"/>
      <w:bookmarkStart w:id="2441" w:name="_Toc409270605"/>
      <w:bookmarkStart w:id="2442" w:name="_Toc409509215"/>
      <w:bookmarkStart w:id="2443" w:name="_Toc409509498"/>
      <w:bookmarkStart w:id="2444" w:name="_Toc409509781"/>
      <w:bookmarkStart w:id="2445" w:name="_Toc409510064"/>
      <w:bookmarkStart w:id="2446" w:name="_Toc409510345"/>
      <w:bookmarkStart w:id="2447" w:name="_Toc409595824"/>
      <w:bookmarkStart w:id="2448" w:name="_Toc409607000"/>
      <w:bookmarkStart w:id="2449" w:name="_Toc408418537"/>
      <w:bookmarkStart w:id="2450" w:name="_Toc409085767"/>
      <w:bookmarkStart w:id="2451" w:name="_Toc409086044"/>
      <w:bookmarkStart w:id="2452" w:name="_Toc409086321"/>
      <w:bookmarkStart w:id="2453" w:name="_Toc409248931"/>
      <w:bookmarkStart w:id="2454" w:name="_Toc409255511"/>
      <w:bookmarkStart w:id="2455" w:name="_Toc409255791"/>
      <w:bookmarkStart w:id="2456" w:name="_Toc409256071"/>
      <w:bookmarkStart w:id="2457" w:name="_Toc409256351"/>
      <w:bookmarkStart w:id="2458" w:name="_Toc409256631"/>
      <w:bookmarkStart w:id="2459" w:name="_Toc409270326"/>
      <w:bookmarkStart w:id="2460" w:name="_Toc409270606"/>
      <w:bookmarkStart w:id="2461" w:name="_Toc409509216"/>
      <w:bookmarkStart w:id="2462" w:name="_Toc409509499"/>
      <w:bookmarkStart w:id="2463" w:name="_Toc409509782"/>
      <w:bookmarkStart w:id="2464" w:name="_Toc409510065"/>
      <w:bookmarkStart w:id="2465" w:name="_Toc409510346"/>
      <w:bookmarkStart w:id="2466" w:name="_Toc409595825"/>
      <w:bookmarkStart w:id="2467" w:name="_Toc409607001"/>
      <w:bookmarkStart w:id="2468" w:name="_Toc408418538"/>
      <w:bookmarkStart w:id="2469" w:name="_Toc409085768"/>
      <w:bookmarkStart w:id="2470" w:name="_Toc409086045"/>
      <w:bookmarkStart w:id="2471" w:name="_Toc409086322"/>
      <w:bookmarkStart w:id="2472" w:name="_Toc409248932"/>
      <w:bookmarkStart w:id="2473" w:name="_Toc409255512"/>
      <w:bookmarkStart w:id="2474" w:name="_Toc409255792"/>
      <w:bookmarkStart w:id="2475" w:name="_Toc409256072"/>
      <w:bookmarkStart w:id="2476" w:name="_Toc409256352"/>
      <w:bookmarkStart w:id="2477" w:name="_Toc409256632"/>
      <w:bookmarkStart w:id="2478" w:name="_Toc409270327"/>
      <w:bookmarkStart w:id="2479" w:name="_Toc409270607"/>
      <w:bookmarkStart w:id="2480" w:name="_Toc409509217"/>
      <w:bookmarkStart w:id="2481" w:name="_Toc409509500"/>
      <w:bookmarkStart w:id="2482" w:name="_Toc409509783"/>
      <w:bookmarkStart w:id="2483" w:name="_Toc409510066"/>
      <w:bookmarkStart w:id="2484" w:name="_Toc409510347"/>
      <w:bookmarkStart w:id="2485" w:name="_Toc409595826"/>
      <w:bookmarkStart w:id="2486" w:name="_Toc409607002"/>
      <w:bookmarkStart w:id="2487" w:name="_Toc408418539"/>
      <w:bookmarkStart w:id="2488" w:name="_Toc409085769"/>
      <w:bookmarkStart w:id="2489" w:name="_Toc409086046"/>
      <w:bookmarkStart w:id="2490" w:name="_Toc409086323"/>
      <w:bookmarkStart w:id="2491" w:name="_Toc409248933"/>
      <w:bookmarkStart w:id="2492" w:name="_Toc409255513"/>
      <w:bookmarkStart w:id="2493" w:name="_Toc409255793"/>
      <w:bookmarkStart w:id="2494" w:name="_Toc409256073"/>
      <w:bookmarkStart w:id="2495" w:name="_Toc409256353"/>
      <w:bookmarkStart w:id="2496" w:name="_Toc409256633"/>
      <w:bookmarkStart w:id="2497" w:name="_Toc409270328"/>
      <w:bookmarkStart w:id="2498" w:name="_Toc409270608"/>
      <w:bookmarkStart w:id="2499" w:name="_Toc409509218"/>
      <w:bookmarkStart w:id="2500" w:name="_Toc409509501"/>
      <w:bookmarkStart w:id="2501" w:name="_Toc409509784"/>
      <w:bookmarkStart w:id="2502" w:name="_Toc409510067"/>
      <w:bookmarkStart w:id="2503" w:name="_Toc409510348"/>
      <w:bookmarkStart w:id="2504" w:name="_Toc409595827"/>
      <w:bookmarkStart w:id="2505" w:name="_Toc409607003"/>
      <w:bookmarkStart w:id="2506" w:name="_Toc408418540"/>
      <w:bookmarkStart w:id="2507" w:name="_Toc409085770"/>
      <w:bookmarkStart w:id="2508" w:name="_Toc409086047"/>
      <w:bookmarkStart w:id="2509" w:name="_Toc409086324"/>
      <w:bookmarkStart w:id="2510" w:name="_Toc409248934"/>
      <w:bookmarkStart w:id="2511" w:name="_Toc409255514"/>
      <w:bookmarkStart w:id="2512" w:name="_Toc409255794"/>
      <w:bookmarkStart w:id="2513" w:name="_Toc409256074"/>
      <w:bookmarkStart w:id="2514" w:name="_Toc409256354"/>
      <w:bookmarkStart w:id="2515" w:name="_Toc409256634"/>
      <w:bookmarkStart w:id="2516" w:name="_Toc409270329"/>
      <w:bookmarkStart w:id="2517" w:name="_Toc409270609"/>
      <w:bookmarkStart w:id="2518" w:name="_Toc409509219"/>
      <w:bookmarkStart w:id="2519" w:name="_Toc409509502"/>
      <w:bookmarkStart w:id="2520" w:name="_Toc409509785"/>
      <w:bookmarkStart w:id="2521" w:name="_Toc409510068"/>
      <w:bookmarkStart w:id="2522" w:name="_Toc409510349"/>
      <w:bookmarkStart w:id="2523" w:name="_Toc409595828"/>
      <w:bookmarkStart w:id="2524" w:name="_Toc409607004"/>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r w:rsidRPr="00332FCD">
        <w:rPr>
          <w:rFonts w:ascii="Andes" w:eastAsiaTheme="majorEastAsia" w:hAnsi="Andes" w:cstheme="majorBidi"/>
          <w:bCs w:val="0"/>
          <w:color w:val="C45911"/>
          <w:sz w:val="32"/>
          <w:szCs w:val="32"/>
        </w:rPr>
        <w:t>Préférence nationale</w:t>
      </w:r>
    </w:p>
    <w:p w14:paraId="50807A2A" w14:textId="4516BC18" w:rsidR="00E119AB" w:rsidRPr="00332FCD" w:rsidRDefault="00C60E91" w:rsidP="009A43BE">
      <w:pPr>
        <w:spacing w:line="240" w:lineRule="auto"/>
        <w:contextualSpacing w:val="0"/>
        <w:rPr>
          <w:rFonts w:ascii="Andes" w:hAnsi="Andes" w:cs="Arial"/>
          <w:b/>
          <w:sz w:val="28"/>
          <w:szCs w:val="28"/>
        </w:rPr>
      </w:pPr>
      <w:r w:rsidRPr="00332FCD">
        <w:rPr>
          <w:rFonts w:ascii="Andes" w:hAnsi="Andes" w:cs="Arial"/>
          <w:b/>
          <w:sz w:val="28"/>
          <w:szCs w:val="28"/>
        </w:rPr>
        <w:t xml:space="preserve">Fournitures et </w:t>
      </w:r>
      <w:r w:rsidR="000B08CC" w:rsidRPr="00332FCD">
        <w:rPr>
          <w:rFonts w:ascii="Andes" w:hAnsi="Andes" w:cs="Arial"/>
          <w:b/>
          <w:sz w:val="28"/>
          <w:szCs w:val="28"/>
        </w:rPr>
        <w:t>Travaux</w:t>
      </w:r>
    </w:p>
    <w:p w14:paraId="6BDB7C0A" w14:textId="1F617A4E" w:rsidR="005C5CFC" w:rsidRPr="00332FCD" w:rsidRDefault="00B83EBE" w:rsidP="00882278">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Lorsqu’un </w:t>
      </w:r>
      <w:r w:rsidR="00C51DF5">
        <w:rPr>
          <w:rFonts w:ascii="Andes" w:hAnsi="Andes" w:cs="Arial"/>
          <w:sz w:val="22"/>
          <w:szCs w:val="22"/>
        </w:rPr>
        <w:t>Appel d’Offres/ à Propositions</w:t>
      </w:r>
      <w:r w:rsidR="00C60E91" w:rsidRPr="00332FCD">
        <w:rPr>
          <w:rFonts w:ascii="Andes" w:hAnsi="Andes" w:cs="Arial"/>
          <w:sz w:val="22"/>
          <w:szCs w:val="22"/>
        </w:rPr>
        <w:t xml:space="preserve"> intern</w:t>
      </w:r>
      <w:r w:rsidRPr="00332FCD">
        <w:rPr>
          <w:rFonts w:ascii="Andes" w:hAnsi="Andes" w:cs="Arial"/>
          <w:sz w:val="22"/>
          <w:szCs w:val="22"/>
        </w:rPr>
        <w:t>ational ouvert</w:t>
      </w:r>
      <w:r w:rsidR="00C60E91" w:rsidRPr="00332FCD">
        <w:rPr>
          <w:rFonts w:ascii="Andes" w:hAnsi="Andes" w:cs="Arial"/>
          <w:sz w:val="22"/>
          <w:szCs w:val="22"/>
        </w:rPr>
        <w:t xml:space="preserve"> est utilisé pour des marchés de Fournitures ou de </w:t>
      </w:r>
      <w:r w:rsidRPr="00332FCD">
        <w:rPr>
          <w:rFonts w:ascii="Andes" w:hAnsi="Andes" w:cs="Arial"/>
          <w:sz w:val="22"/>
          <w:szCs w:val="22"/>
        </w:rPr>
        <w:t>Travaux</w:t>
      </w:r>
      <w:r w:rsidR="00C60E91" w:rsidRPr="00332FCD">
        <w:rPr>
          <w:rFonts w:ascii="Andes" w:hAnsi="Andes" w:cs="Arial"/>
          <w:sz w:val="22"/>
          <w:szCs w:val="22"/>
        </w:rPr>
        <w:t>, une marge de préférence nationale peut être accordée</w:t>
      </w:r>
      <w:r w:rsidR="004D3F29" w:rsidRPr="00332FCD">
        <w:rPr>
          <w:rFonts w:ascii="Andes" w:hAnsi="Andes" w:cs="Arial"/>
          <w:sz w:val="22"/>
          <w:szCs w:val="22"/>
        </w:rPr>
        <w:t xml:space="preserve"> lors de </w:t>
      </w:r>
      <w:r w:rsidRPr="00332FCD">
        <w:rPr>
          <w:rFonts w:ascii="Andes" w:hAnsi="Andes" w:cs="Arial"/>
          <w:sz w:val="22"/>
          <w:szCs w:val="22"/>
        </w:rPr>
        <w:t>l’évaluation des Offres/Propositions</w:t>
      </w:r>
      <w:r w:rsidR="004D3F29" w:rsidRPr="00332FCD">
        <w:rPr>
          <w:rFonts w:ascii="Andes" w:hAnsi="Andes" w:cs="Arial"/>
          <w:sz w:val="22"/>
          <w:szCs w:val="22"/>
        </w:rPr>
        <w:t xml:space="preserve"> dans les cas</w:t>
      </w:r>
      <w:r w:rsidR="000B08CC" w:rsidRPr="00332FCD">
        <w:rPr>
          <w:rFonts w:ascii="Andes" w:hAnsi="Andes" w:cs="Arial"/>
          <w:sz w:val="22"/>
          <w:szCs w:val="22"/>
        </w:rPr>
        <w:t xml:space="preserve"> conditions suivantes</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w:t>
      </w:r>
    </w:p>
    <w:p w14:paraId="5E328338" w14:textId="5CE34E8E" w:rsidR="005C5CFC" w:rsidRPr="00332FCD" w:rsidRDefault="00B83EBE" w:rsidP="009A43BE">
      <w:pPr>
        <w:pStyle w:val="Paragraphedeliste"/>
        <w:numPr>
          <w:ilvl w:val="0"/>
          <w:numId w:val="161"/>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Fournitures fabriquées dans le pays de l’</w:t>
      </w:r>
      <w:r w:rsidR="00EC722B" w:rsidRPr="00332FCD">
        <w:rPr>
          <w:rFonts w:ascii="Andes" w:eastAsiaTheme="minorHAnsi" w:hAnsi="Andes" w:cs="Arial"/>
          <w:color w:val="000000"/>
          <w:sz w:val="22"/>
          <w:szCs w:val="22"/>
        </w:rPr>
        <w:t>Emprunteur</w:t>
      </w:r>
      <w:r w:rsidRPr="00332FCD">
        <w:rPr>
          <w:rFonts w:ascii="Andes" w:eastAsiaTheme="minorHAnsi" w:hAnsi="Andes" w:cs="Arial"/>
          <w:color w:val="000000"/>
          <w:sz w:val="22"/>
          <w:szCs w:val="22"/>
        </w:rPr>
        <w:t>, par</w:t>
      </w:r>
      <w:r w:rsidR="000B08CC" w:rsidRPr="00332FCD">
        <w:rPr>
          <w:rFonts w:ascii="Andes" w:eastAsiaTheme="minorHAnsi" w:hAnsi="Andes" w:cs="Arial"/>
          <w:color w:val="000000"/>
          <w:sz w:val="22"/>
          <w:szCs w:val="22"/>
        </w:rPr>
        <w:t xml:space="preserve"> rapport </w:t>
      </w:r>
      <w:r w:rsidRPr="00332FCD">
        <w:rPr>
          <w:rFonts w:ascii="Andes" w:eastAsiaTheme="minorHAnsi" w:hAnsi="Andes" w:cs="Arial"/>
          <w:color w:val="000000"/>
          <w:sz w:val="22"/>
          <w:szCs w:val="22"/>
        </w:rPr>
        <w:t>aux Fournitures fabriquées à l’étranger.</w:t>
      </w:r>
      <w:r w:rsidR="000B08CC" w:rsidRPr="00332FCD">
        <w:rPr>
          <w:rFonts w:ascii="Andes" w:eastAsiaTheme="minorHAnsi" w:hAnsi="Andes" w:cs="Arial"/>
          <w:color w:val="000000"/>
          <w:sz w:val="22"/>
          <w:szCs w:val="22"/>
        </w:rPr>
        <w:t xml:space="preserve"> Pour appliquer ladite </w:t>
      </w:r>
      <w:r w:rsidRPr="00332FCD">
        <w:rPr>
          <w:rFonts w:ascii="Andes" w:eastAsiaTheme="minorHAnsi" w:hAnsi="Andes" w:cs="Arial"/>
          <w:color w:val="000000"/>
          <w:sz w:val="22"/>
          <w:szCs w:val="22"/>
        </w:rPr>
        <w:t>préférence</w:t>
      </w:r>
      <w:r w:rsidR="000B08CC" w:rsidRPr="00332FCD">
        <w:rPr>
          <w:rFonts w:ascii="Andes" w:eastAsiaTheme="minorHAnsi" w:hAnsi="Andes" w:cs="Arial"/>
          <w:color w:val="000000"/>
          <w:sz w:val="22"/>
          <w:szCs w:val="22"/>
        </w:rPr>
        <w:t xml:space="preserve">, le prix </w:t>
      </w:r>
      <w:r w:rsidR="00EC722B" w:rsidRPr="00332FCD">
        <w:rPr>
          <w:rFonts w:ascii="Andes" w:eastAsiaTheme="minorHAnsi" w:hAnsi="Andes" w:cs="Arial"/>
          <w:color w:val="000000"/>
          <w:sz w:val="22"/>
          <w:szCs w:val="22"/>
        </w:rPr>
        <w:t xml:space="preserve">port payé, assurance comprise (CIP) des Fournitures fabriquées à l’étranger </w:t>
      </w:r>
      <w:r w:rsidR="000B08CC" w:rsidRPr="00332FCD">
        <w:rPr>
          <w:rFonts w:ascii="Andes" w:eastAsiaTheme="minorHAnsi" w:hAnsi="Andes" w:cs="Arial"/>
          <w:color w:val="000000"/>
          <w:sz w:val="22"/>
          <w:szCs w:val="22"/>
        </w:rPr>
        <w:t>est relevé de quinze pour cent</w:t>
      </w:r>
      <w:r w:rsidR="000B08CC" w:rsidRPr="00332FCD">
        <w:rPr>
          <w:rFonts w:ascii="Calibri" w:eastAsiaTheme="minorHAnsi" w:hAnsi="Calibri" w:cs="Arial"/>
          <w:color w:val="000000"/>
          <w:sz w:val="22"/>
          <w:szCs w:val="22"/>
        </w:rPr>
        <w:t> </w:t>
      </w:r>
      <w:r w:rsidR="000B08CC" w:rsidRPr="00332FCD">
        <w:rPr>
          <w:rFonts w:ascii="Andes" w:eastAsiaTheme="minorHAnsi" w:hAnsi="Andes" w:cs="Arial"/>
          <w:color w:val="000000"/>
          <w:sz w:val="22"/>
          <w:szCs w:val="22"/>
        </w:rPr>
        <w:t>(</w:t>
      </w:r>
      <w:r w:rsidR="00E918FF" w:rsidRPr="00332FCD">
        <w:rPr>
          <w:rFonts w:ascii="Andes" w:eastAsiaTheme="minorHAnsi" w:hAnsi="Andes" w:cs="Arial"/>
          <w:color w:val="000000"/>
          <w:sz w:val="22"/>
          <w:szCs w:val="22"/>
        </w:rPr>
        <w:t>15</w:t>
      </w:r>
      <w:r w:rsidR="00E918FF" w:rsidRPr="00332FCD">
        <w:rPr>
          <w:rFonts w:ascii="Calibri" w:eastAsiaTheme="minorHAnsi" w:hAnsi="Calibri" w:cs="Calibri"/>
          <w:color w:val="000000"/>
          <w:sz w:val="22"/>
          <w:szCs w:val="22"/>
        </w:rPr>
        <w:t> </w:t>
      </w:r>
      <w:r w:rsidR="000B08CC" w:rsidRPr="00332FCD">
        <w:rPr>
          <w:rFonts w:ascii="Andes" w:eastAsiaTheme="minorHAnsi" w:hAnsi="Andes" w:cs="Arial"/>
          <w:color w:val="000000"/>
          <w:sz w:val="22"/>
          <w:szCs w:val="22"/>
        </w:rPr>
        <w:t>%)</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00EC722B" w:rsidRPr="00332FCD">
        <w:rPr>
          <w:rFonts w:ascii="Andes" w:eastAsiaTheme="minorHAnsi" w:hAnsi="Andes" w:cs="Arial"/>
          <w:color w:val="000000"/>
          <w:sz w:val="22"/>
          <w:szCs w:val="22"/>
        </w:rPr>
        <w:t xml:space="preserve"> et </w:t>
      </w:r>
    </w:p>
    <w:p w14:paraId="52E0D149" w14:textId="7D68295D" w:rsidR="005C5CFC" w:rsidRPr="00332FCD" w:rsidRDefault="004D3F29" w:rsidP="009A43BE">
      <w:pPr>
        <w:pStyle w:val="Paragraphedeliste"/>
        <w:numPr>
          <w:ilvl w:val="0"/>
          <w:numId w:val="161"/>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Travaux dans les pays membres au revenu national brut par habitant inférieur à un certain seuil (défini annuellement par la Banque), lors de la comparaison des Offres/Propositions des entreprises nationales éligibles avec celle</w:t>
      </w:r>
      <w:r w:rsidR="000B08CC" w:rsidRPr="00332FCD">
        <w:rPr>
          <w:rFonts w:ascii="Andes" w:eastAsiaTheme="minorHAnsi" w:hAnsi="Andes" w:cs="Arial"/>
          <w:color w:val="000000"/>
          <w:sz w:val="22"/>
          <w:szCs w:val="22"/>
        </w:rPr>
        <w:t>s</w:t>
      </w:r>
      <w:r w:rsidRPr="00332FCD">
        <w:rPr>
          <w:rFonts w:ascii="Andes" w:eastAsiaTheme="minorHAnsi" w:hAnsi="Andes" w:cs="Arial"/>
          <w:color w:val="000000"/>
          <w:sz w:val="22"/>
          <w:szCs w:val="22"/>
        </w:rPr>
        <w:t xml:space="preserve"> des entreprises étrangères.</w:t>
      </w:r>
      <w:r w:rsidR="000B08CC" w:rsidRPr="00332FCD">
        <w:rPr>
          <w:rFonts w:ascii="Andes" w:eastAsiaTheme="minorHAnsi" w:hAnsi="Andes" w:cs="Arial"/>
          <w:color w:val="000000"/>
          <w:sz w:val="22"/>
          <w:szCs w:val="22"/>
        </w:rPr>
        <w:t xml:space="preserve"> Pour appliquer ladite </w:t>
      </w:r>
      <w:r w:rsidRPr="00332FCD">
        <w:rPr>
          <w:rFonts w:ascii="Andes" w:eastAsiaTheme="minorHAnsi" w:hAnsi="Andes" w:cs="Arial"/>
          <w:color w:val="000000"/>
          <w:sz w:val="22"/>
          <w:szCs w:val="22"/>
        </w:rPr>
        <w:t>préférence</w:t>
      </w:r>
      <w:r w:rsidR="000B08CC" w:rsidRPr="00332FCD">
        <w:rPr>
          <w:rFonts w:ascii="Andes" w:eastAsiaTheme="minorHAnsi" w:hAnsi="Andes" w:cs="Arial"/>
          <w:color w:val="000000"/>
          <w:sz w:val="22"/>
          <w:szCs w:val="22"/>
        </w:rPr>
        <w:t xml:space="preserve">, les </w:t>
      </w:r>
      <w:r w:rsidRPr="00332FCD">
        <w:rPr>
          <w:rFonts w:ascii="Andes" w:eastAsiaTheme="minorHAnsi" w:hAnsi="Andes" w:cs="Arial"/>
          <w:color w:val="000000"/>
          <w:sz w:val="22"/>
          <w:szCs w:val="22"/>
        </w:rPr>
        <w:t>prix offerts par les entreprises étrangères</w:t>
      </w:r>
      <w:r w:rsidR="000B08CC" w:rsidRPr="00332FCD">
        <w:rPr>
          <w:rFonts w:ascii="Andes" w:eastAsiaTheme="minorHAnsi" w:hAnsi="Andes" w:cs="Arial"/>
          <w:color w:val="000000"/>
          <w:sz w:val="22"/>
          <w:szCs w:val="22"/>
        </w:rPr>
        <w:t xml:space="preserve"> sont relevés de sept et demi pour cent (</w:t>
      </w:r>
      <w:r w:rsidR="00E918FF" w:rsidRPr="00332FCD">
        <w:rPr>
          <w:rFonts w:ascii="Andes" w:eastAsiaTheme="minorHAnsi" w:hAnsi="Andes" w:cs="Arial"/>
          <w:color w:val="000000"/>
          <w:sz w:val="22"/>
          <w:szCs w:val="22"/>
        </w:rPr>
        <w:t>7,5</w:t>
      </w:r>
      <w:r w:rsidR="00E918FF" w:rsidRPr="00332FCD">
        <w:rPr>
          <w:rFonts w:ascii="Calibri" w:eastAsiaTheme="minorHAnsi" w:hAnsi="Calibri" w:cs="Calibri"/>
          <w:color w:val="000000"/>
          <w:sz w:val="22"/>
          <w:szCs w:val="22"/>
        </w:rPr>
        <w:t> </w:t>
      </w:r>
      <w:r w:rsidR="000B08CC"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w:t>
      </w:r>
    </w:p>
    <w:p w14:paraId="15C9C479" w14:textId="1802695F" w:rsidR="00E119AB" w:rsidRPr="00332FCD" w:rsidRDefault="00842537" w:rsidP="00882278">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La préférence nationale ne s’applique pas aux </w:t>
      </w:r>
      <w:r w:rsidR="00E93245" w:rsidRPr="00332FCD">
        <w:rPr>
          <w:rFonts w:ascii="Andes" w:hAnsi="Andes" w:cs="Arial"/>
          <w:sz w:val="22"/>
          <w:szCs w:val="22"/>
        </w:rPr>
        <w:t>Installations</w:t>
      </w:r>
      <w:r w:rsidR="00687669" w:rsidRPr="00332FCD">
        <w:rPr>
          <w:rFonts w:ascii="Andes" w:hAnsi="Andes" w:cs="Arial"/>
          <w:sz w:val="22"/>
          <w:szCs w:val="22"/>
        </w:rPr>
        <w:t xml:space="preserve">.  </w:t>
      </w:r>
    </w:p>
    <w:p w14:paraId="78831F75" w14:textId="143A2FEE" w:rsidR="005C5CFC" w:rsidRPr="00332FCD" w:rsidRDefault="00842537" w:rsidP="00882278">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lastRenderedPageBreak/>
        <w:t>L’utilisation de la préférence nationale est autorisée dans le Plan de Passation des Marchés et est mentionné</w:t>
      </w:r>
      <w:r w:rsidR="000B08CC" w:rsidRPr="00332FCD">
        <w:rPr>
          <w:rFonts w:ascii="Andes" w:hAnsi="Andes" w:cs="Arial"/>
          <w:sz w:val="22"/>
          <w:szCs w:val="22"/>
        </w:rPr>
        <w:t>e</w:t>
      </w:r>
      <w:r w:rsidRPr="00332FCD">
        <w:rPr>
          <w:rFonts w:ascii="Andes" w:hAnsi="Andes" w:cs="Arial"/>
          <w:sz w:val="22"/>
          <w:szCs w:val="22"/>
        </w:rPr>
        <w:t xml:space="preserve"> dans le dossier d’</w:t>
      </w:r>
      <w:r w:rsidR="00F81043">
        <w:rPr>
          <w:rFonts w:ascii="Andes" w:hAnsi="Andes" w:cs="Arial"/>
          <w:sz w:val="22"/>
          <w:szCs w:val="22"/>
        </w:rPr>
        <w:t>A</w:t>
      </w:r>
      <w:r w:rsidRPr="00332FCD">
        <w:rPr>
          <w:rFonts w:ascii="Andes" w:hAnsi="Andes" w:cs="Arial"/>
          <w:sz w:val="22"/>
          <w:szCs w:val="22"/>
        </w:rPr>
        <w:t>ppel d’</w:t>
      </w:r>
      <w:r w:rsidR="00F81043">
        <w:rPr>
          <w:rFonts w:ascii="Andes" w:hAnsi="Andes" w:cs="Arial"/>
          <w:sz w:val="22"/>
          <w:szCs w:val="22"/>
        </w:rPr>
        <w:t>O</w:t>
      </w:r>
      <w:r w:rsidRPr="00332FCD">
        <w:rPr>
          <w:rFonts w:ascii="Andes" w:hAnsi="Andes" w:cs="Arial"/>
          <w:sz w:val="22"/>
          <w:szCs w:val="22"/>
        </w:rPr>
        <w:t xml:space="preserve">ffres/à </w:t>
      </w:r>
      <w:r w:rsidR="00F81043">
        <w:rPr>
          <w:rFonts w:ascii="Andes" w:hAnsi="Andes" w:cs="Arial"/>
          <w:sz w:val="22"/>
          <w:szCs w:val="22"/>
        </w:rPr>
        <w:t>P</w:t>
      </w:r>
      <w:r w:rsidRPr="00332FCD">
        <w:rPr>
          <w:rFonts w:ascii="Andes" w:hAnsi="Andes" w:cs="Arial"/>
          <w:sz w:val="22"/>
          <w:szCs w:val="22"/>
        </w:rPr>
        <w:t xml:space="preserve">ropositions. Pour plus de </w:t>
      </w:r>
      <w:r w:rsidR="00E918FF" w:rsidRPr="00332FCD">
        <w:rPr>
          <w:rFonts w:ascii="Andes" w:hAnsi="Andes" w:cs="Arial"/>
          <w:sz w:val="22"/>
          <w:szCs w:val="22"/>
        </w:rPr>
        <w:t>détails</w:t>
      </w:r>
      <w:r w:rsidR="00BB7C1E" w:rsidRPr="00332FCD">
        <w:rPr>
          <w:rFonts w:ascii="Andes" w:hAnsi="Andes" w:cs="Arial"/>
          <w:sz w:val="22"/>
          <w:szCs w:val="22"/>
        </w:rPr>
        <w:t>,</w:t>
      </w:r>
      <w:r w:rsidRPr="00332FCD">
        <w:rPr>
          <w:rFonts w:ascii="Andes" w:hAnsi="Andes" w:cs="Arial"/>
          <w:sz w:val="22"/>
          <w:szCs w:val="22"/>
        </w:rPr>
        <w:t xml:space="preserve"> voir </w:t>
      </w:r>
      <w:r w:rsidR="003D6BCD">
        <w:rPr>
          <w:rFonts w:ascii="Andes" w:hAnsi="Andes" w:cs="Arial"/>
          <w:sz w:val="22"/>
          <w:szCs w:val="22"/>
        </w:rPr>
        <w:t>A</w:t>
      </w:r>
      <w:r w:rsidRPr="00332FCD">
        <w:rPr>
          <w:rFonts w:ascii="Andes" w:hAnsi="Andes" w:cs="Arial"/>
          <w:sz w:val="22"/>
          <w:szCs w:val="22"/>
        </w:rPr>
        <w:t xml:space="preserve">nnexe </w:t>
      </w:r>
      <w:r w:rsidR="005C5CFC" w:rsidRPr="00332FCD">
        <w:rPr>
          <w:rFonts w:ascii="Andes" w:hAnsi="Andes" w:cs="Arial"/>
          <w:sz w:val="22"/>
          <w:szCs w:val="22"/>
        </w:rPr>
        <w:t xml:space="preserve">VI, </w:t>
      </w:r>
      <w:r w:rsidRPr="00332FCD">
        <w:rPr>
          <w:rFonts w:ascii="Andes" w:hAnsi="Andes" w:cs="Arial"/>
          <w:sz w:val="22"/>
          <w:szCs w:val="22"/>
        </w:rPr>
        <w:t>Préférence nationale</w:t>
      </w:r>
      <w:r w:rsidR="005C5CFC" w:rsidRPr="00332FCD">
        <w:rPr>
          <w:rFonts w:ascii="Andes" w:hAnsi="Andes" w:cs="Arial"/>
          <w:sz w:val="22"/>
          <w:szCs w:val="22"/>
        </w:rPr>
        <w:t>.</w:t>
      </w:r>
    </w:p>
    <w:p w14:paraId="595AD2F9" w14:textId="2B826A29" w:rsidR="002702F6" w:rsidRPr="00332FCD" w:rsidRDefault="00842537" w:rsidP="009A43BE">
      <w:pPr>
        <w:pStyle w:val="Style2"/>
        <w:keepNext/>
        <w:keepLines/>
        <w:widowControl/>
        <w:tabs>
          <w:tab w:val="left" w:pos="1710"/>
        </w:tabs>
        <w:autoSpaceDE/>
        <w:autoSpaceDN/>
        <w:adjustRightInd/>
        <w:spacing w:before="240" w:after="120"/>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 xml:space="preserve">Monnaie </w:t>
      </w:r>
    </w:p>
    <w:p w14:paraId="0C5C83E2" w14:textId="5135ECB3" w:rsidR="002702F6" w:rsidRPr="00332FCD" w:rsidRDefault="00AF14C5" w:rsidP="00882278">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Dans les marchés faisant appel à la concurrence internationale, le Dossier de Passation des Marchés doit indiquer que le Soumissionnaire/Proposant/Consultant peut libeller le prix de son Offre/Proposition dans la monnaie de son choix.</w:t>
      </w:r>
      <w:r w:rsidR="00AB137E" w:rsidRPr="00332FCD">
        <w:rPr>
          <w:rFonts w:ascii="Andes" w:hAnsi="Andes" w:cs="Arial"/>
          <w:sz w:val="22"/>
          <w:szCs w:val="22"/>
        </w:rPr>
        <w:t xml:space="preserve"> Un </w:t>
      </w:r>
      <w:r w:rsidRPr="00332FCD">
        <w:rPr>
          <w:rFonts w:ascii="Andes" w:hAnsi="Andes" w:cs="Arial"/>
          <w:sz w:val="22"/>
          <w:szCs w:val="22"/>
        </w:rPr>
        <w:t>Soumissionnaire/Proposant/Consultant</w:t>
      </w:r>
      <w:r w:rsidR="00AB137E" w:rsidRPr="00332FCD">
        <w:rPr>
          <w:rFonts w:ascii="Andes" w:hAnsi="Andes" w:cs="Arial"/>
          <w:sz w:val="22"/>
          <w:szCs w:val="22"/>
        </w:rPr>
        <w:t xml:space="preserve"> peut </w:t>
      </w:r>
      <w:r w:rsidRPr="00332FCD">
        <w:rPr>
          <w:rFonts w:ascii="Andes" w:hAnsi="Andes" w:cs="Arial"/>
          <w:sz w:val="22"/>
          <w:szCs w:val="22"/>
        </w:rPr>
        <w:t>présenter une Offre/Proposition correspondant à la somme de montants libellés en</w:t>
      </w:r>
      <w:r w:rsidR="00AB137E" w:rsidRPr="00332FCD">
        <w:rPr>
          <w:rFonts w:ascii="Andes" w:hAnsi="Andes" w:cs="Arial"/>
          <w:sz w:val="22"/>
          <w:szCs w:val="22"/>
        </w:rPr>
        <w:t xml:space="preserve"> </w:t>
      </w:r>
      <w:r w:rsidR="00255143">
        <w:rPr>
          <w:rFonts w:ascii="Andes" w:hAnsi="Andes" w:cs="Arial"/>
          <w:sz w:val="22"/>
          <w:szCs w:val="22"/>
        </w:rPr>
        <w:t>la monnaie locale et/ou</w:t>
      </w:r>
      <w:r w:rsidR="004504E6">
        <w:rPr>
          <w:rFonts w:ascii="Andes" w:hAnsi="Andes" w:cs="Arial"/>
          <w:sz w:val="22"/>
          <w:szCs w:val="22"/>
        </w:rPr>
        <w:t xml:space="preserve"> en </w:t>
      </w:r>
      <w:r w:rsidR="00AB137E" w:rsidRPr="00332FCD">
        <w:rPr>
          <w:rFonts w:ascii="Andes" w:hAnsi="Andes" w:cs="Arial"/>
          <w:sz w:val="22"/>
          <w:szCs w:val="22"/>
        </w:rPr>
        <w:t xml:space="preserve">trois </w:t>
      </w:r>
      <w:r w:rsidRPr="00332FCD">
        <w:rPr>
          <w:rFonts w:ascii="Andes" w:hAnsi="Andes" w:cs="Arial"/>
          <w:sz w:val="22"/>
          <w:szCs w:val="22"/>
        </w:rPr>
        <w:t xml:space="preserve">monnaies étrangères </w:t>
      </w:r>
      <w:r w:rsidR="00AB137E" w:rsidRPr="00332FCD">
        <w:rPr>
          <w:rFonts w:ascii="Andes" w:hAnsi="Andes" w:cs="Arial"/>
          <w:sz w:val="22"/>
          <w:szCs w:val="22"/>
        </w:rPr>
        <w:t>au maximum. L’Emprunteur peut également demander aux Soumissionnaires/Proposants/Consultants de libeller</w:t>
      </w:r>
      <w:r w:rsidR="000B08CC" w:rsidRPr="00332FCD">
        <w:rPr>
          <w:rFonts w:ascii="Andes" w:hAnsi="Andes" w:cs="Arial"/>
          <w:sz w:val="22"/>
          <w:szCs w:val="22"/>
        </w:rPr>
        <w:t xml:space="preserve"> en monnaie nationale</w:t>
      </w:r>
      <w:r w:rsidR="00AB137E" w:rsidRPr="00332FCD">
        <w:rPr>
          <w:rFonts w:ascii="Andes" w:hAnsi="Andes" w:cs="Arial"/>
          <w:sz w:val="22"/>
          <w:szCs w:val="22"/>
        </w:rPr>
        <w:t xml:space="preserve"> la partie du prix de leur Offre/Proposition</w:t>
      </w:r>
      <w:r w:rsidR="000B08CC" w:rsidRPr="00332FCD">
        <w:rPr>
          <w:rFonts w:ascii="Andes" w:hAnsi="Andes" w:cs="Arial"/>
          <w:sz w:val="22"/>
          <w:szCs w:val="22"/>
        </w:rPr>
        <w:t xml:space="preserve"> correspondant aux </w:t>
      </w:r>
      <w:r w:rsidR="00AB137E" w:rsidRPr="00332FCD">
        <w:rPr>
          <w:rFonts w:ascii="Andes" w:hAnsi="Andes" w:cs="Arial"/>
          <w:sz w:val="22"/>
          <w:szCs w:val="22"/>
        </w:rPr>
        <w:t xml:space="preserve">dépenses </w:t>
      </w:r>
      <w:r w:rsidR="000B08CC" w:rsidRPr="00332FCD">
        <w:rPr>
          <w:rFonts w:ascii="Andes" w:hAnsi="Andes" w:cs="Arial"/>
          <w:sz w:val="22"/>
          <w:szCs w:val="22"/>
        </w:rPr>
        <w:t>encourues localement</w:t>
      </w:r>
      <w:r w:rsidR="00687669" w:rsidRPr="00332FCD">
        <w:rPr>
          <w:rFonts w:ascii="Andes" w:hAnsi="Andes" w:cs="Arial"/>
          <w:sz w:val="22"/>
          <w:szCs w:val="22"/>
        </w:rPr>
        <w:t xml:space="preserve">.  </w:t>
      </w:r>
    </w:p>
    <w:p w14:paraId="543C3E61" w14:textId="014D088E" w:rsidR="002702F6" w:rsidRPr="00332FCD" w:rsidRDefault="00884266" w:rsidP="00882278">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 prix du marché doit être réglé dans la monnaie ou les monnaies dans laquelle ou lesquelles le paiement a été demandé par le Soumissionnaire</w:t>
      </w:r>
      <w:r w:rsidR="00276BA4" w:rsidRPr="00332FCD">
        <w:rPr>
          <w:rFonts w:ascii="Andes" w:hAnsi="Andes" w:cs="Arial"/>
          <w:sz w:val="22"/>
          <w:szCs w:val="22"/>
        </w:rPr>
        <w:t xml:space="preserve">, le </w:t>
      </w:r>
      <w:r w:rsidRPr="00332FCD">
        <w:rPr>
          <w:rFonts w:ascii="Andes" w:hAnsi="Andes" w:cs="Arial"/>
          <w:sz w:val="22"/>
          <w:szCs w:val="22"/>
        </w:rPr>
        <w:t>Proposant</w:t>
      </w:r>
      <w:r w:rsidR="00276BA4" w:rsidRPr="00332FCD">
        <w:rPr>
          <w:rFonts w:ascii="Andes" w:hAnsi="Andes" w:cs="Arial"/>
          <w:sz w:val="22"/>
          <w:szCs w:val="22"/>
        </w:rPr>
        <w:t xml:space="preserve"> ou le </w:t>
      </w:r>
      <w:r w:rsidRPr="00332FCD">
        <w:rPr>
          <w:rFonts w:ascii="Andes" w:hAnsi="Andes" w:cs="Arial"/>
          <w:sz w:val="22"/>
          <w:szCs w:val="22"/>
        </w:rPr>
        <w:t xml:space="preserve">Consultant visé dans l’Offre ou la Proposition. </w:t>
      </w:r>
    </w:p>
    <w:p w14:paraId="263201CE" w14:textId="1BBC18A7" w:rsidR="002702F6" w:rsidRPr="00332FCD" w:rsidRDefault="000B08CC" w:rsidP="009A43BE">
      <w:pPr>
        <w:pStyle w:val="Style2"/>
        <w:keepNext/>
        <w:keepLines/>
        <w:widowControl/>
        <w:tabs>
          <w:tab w:val="left" w:pos="1710"/>
        </w:tabs>
        <w:autoSpaceDE/>
        <w:autoSpaceDN/>
        <w:adjustRightInd/>
        <w:spacing w:before="240" w:after="120"/>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Révision des prix</w:t>
      </w:r>
    </w:p>
    <w:p w14:paraId="677C0B42" w14:textId="23932380" w:rsidR="002702F6" w:rsidRPr="00332FCD" w:rsidRDefault="000501CD" w:rsidP="00882278">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 dossier d’</w:t>
      </w:r>
      <w:r w:rsidR="00CF472E">
        <w:rPr>
          <w:rFonts w:ascii="Andes" w:hAnsi="Andes" w:cs="Arial"/>
          <w:sz w:val="22"/>
          <w:szCs w:val="22"/>
        </w:rPr>
        <w:t>A</w:t>
      </w:r>
      <w:r w:rsidRPr="00332FCD">
        <w:rPr>
          <w:rFonts w:ascii="Andes" w:hAnsi="Andes" w:cs="Arial"/>
          <w:sz w:val="22"/>
          <w:szCs w:val="22"/>
        </w:rPr>
        <w:t>ppel d’</w:t>
      </w:r>
      <w:r w:rsidR="00CF472E">
        <w:rPr>
          <w:rFonts w:ascii="Andes" w:hAnsi="Andes" w:cs="Arial"/>
          <w:sz w:val="22"/>
          <w:szCs w:val="22"/>
        </w:rPr>
        <w:t>O</w:t>
      </w:r>
      <w:r w:rsidRPr="00332FCD">
        <w:rPr>
          <w:rFonts w:ascii="Andes" w:hAnsi="Andes" w:cs="Arial"/>
          <w:sz w:val="22"/>
          <w:szCs w:val="22"/>
        </w:rPr>
        <w:t xml:space="preserve">ffres/à </w:t>
      </w:r>
      <w:r w:rsidR="00CF472E">
        <w:rPr>
          <w:rFonts w:ascii="Andes" w:hAnsi="Andes" w:cs="Arial"/>
          <w:sz w:val="22"/>
          <w:szCs w:val="22"/>
        </w:rPr>
        <w:t>P</w:t>
      </w:r>
      <w:r w:rsidRPr="00332FCD">
        <w:rPr>
          <w:rFonts w:ascii="Andes" w:hAnsi="Andes" w:cs="Arial"/>
          <w:sz w:val="22"/>
          <w:szCs w:val="22"/>
        </w:rPr>
        <w:t>ropositions doit indiquer si l’Offre ou la Proposition doit être présentée</w:t>
      </w:r>
      <w:r w:rsidR="00730BDF" w:rsidRPr="00332FCD">
        <w:rPr>
          <w:rFonts w:ascii="Calibri" w:hAnsi="Calibri" w:cs="Calibri"/>
          <w:sz w:val="22"/>
          <w:szCs w:val="22"/>
        </w:rPr>
        <w:t> </w:t>
      </w:r>
      <w:r w:rsidR="00730BDF" w:rsidRPr="00332FCD">
        <w:rPr>
          <w:rFonts w:ascii="Andes" w:hAnsi="Andes" w:cs="Arial"/>
          <w:sz w:val="22"/>
          <w:szCs w:val="22"/>
        </w:rPr>
        <w:t>:</w:t>
      </w:r>
    </w:p>
    <w:p w14:paraId="1CC8D180" w14:textId="3BC9B98B" w:rsidR="002702F6" w:rsidRPr="00332FCD" w:rsidRDefault="000501CD" w:rsidP="009A43BE">
      <w:pPr>
        <w:pStyle w:val="Paragraphedeliste"/>
        <w:numPr>
          <w:ilvl w:val="0"/>
          <w:numId w:val="162"/>
        </w:numPr>
        <w:spacing w:before="0" w:line="240" w:lineRule="auto"/>
        <w:contextualSpacing w:val="0"/>
        <w:rPr>
          <w:rFonts w:ascii="Andes" w:eastAsiaTheme="minorHAnsi" w:hAnsi="Andes" w:cs="Arial"/>
          <w:color w:val="000000"/>
          <w:sz w:val="22"/>
          <w:szCs w:val="22"/>
        </w:rPr>
      </w:pPr>
      <w:r w:rsidRPr="00332FCD">
        <w:rPr>
          <w:rFonts w:ascii="Andes" w:hAnsi="Andes" w:cs="Arial"/>
          <w:sz w:val="22"/>
          <w:szCs w:val="22"/>
        </w:rPr>
        <w:t>sur la base de prix fermes</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ou</w:t>
      </w:r>
    </w:p>
    <w:p w14:paraId="5F19CBE7" w14:textId="0C0096D9" w:rsidR="002702F6" w:rsidRPr="00332FCD" w:rsidRDefault="000501CD" w:rsidP="009A43BE">
      <w:pPr>
        <w:pStyle w:val="Paragraphedeliste"/>
        <w:numPr>
          <w:ilvl w:val="0"/>
          <w:numId w:val="162"/>
        </w:numPr>
        <w:spacing w:before="0" w:line="240" w:lineRule="auto"/>
        <w:contextualSpacing w:val="0"/>
        <w:rPr>
          <w:rFonts w:ascii="Andes" w:hAnsi="Andes" w:cs="Arial"/>
          <w:sz w:val="22"/>
          <w:szCs w:val="22"/>
        </w:rPr>
      </w:pPr>
      <w:r w:rsidRPr="00332FCD">
        <w:rPr>
          <w:rFonts w:ascii="Andes" w:eastAsiaTheme="minorHAnsi" w:hAnsi="Andes" w:cs="Arial"/>
          <w:color w:val="000000"/>
          <w:sz w:val="22"/>
          <w:szCs w:val="22"/>
        </w:rPr>
        <w:t>sur la base de prix révisables, la révision s’appliquant en cas de variations des principaux éléments du prix du marché, tels que la main-d’œuvre et le matériel</w:t>
      </w:r>
      <w:r w:rsidR="00687669" w:rsidRPr="00332FCD">
        <w:rPr>
          <w:rFonts w:ascii="Andes" w:hAnsi="Andes" w:cs="Arial"/>
          <w:sz w:val="22"/>
          <w:szCs w:val="22"/>
        </w:rPr>
        <w:t xml:space="preserve">.  </w:t>
      </w:r>
    </w:p>
    <w:p w14:paraId="7BB043CB" w14:textId="5EC5AC3B" w:rsidR="002702F6" w:rsidRPr="00332FCD" w:rsidRDefault="000501CD" w:rsidP="00882278">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Pour plus de détails, voir </w:t>
      </w:r>
      <w:r w:rsidR="00CF60D4">
        <w:rPr>
          <w:rFonts w:ascii="Andes" w:hAnsi="Andes" w:cs="Arial"/>
          <w:sz w:val="22"/>
          <w:szCs w:val="22"/>
        </w:rPr>
        <w:t>A</w:t>
      </w:r>
      <w:r w:rsidRPr="00332FCD">
        <w:rPr>
          <w:rFonts w:ascii="Andes" w:hAnsi="Andes" w:cs="Arial"/>
          <w:sz w:val="22"/>
          <w:szCs w:val="22"/>
        </w:rPr>
        <w:t xml:space="preserve">nnexe </w:t>
      </w:r>
      <w:r w:rsidR="002702F6" w:rsidRPr="00332FCD">
        <w:rPr>
          <w:rFonts w:ascii="Andes" w:hAnsi="Andes" w:cs="Arial"/>
          <w:sz w:val="22"/>
          <w:szCs w:val="22"/>
        </w:rPr>
        <w:t xml:space="preserve">IX, </w:t>
      </w:r>
      <w:r w:rsidR="00B652E4" w:rsidRPr="00332FCD">
        <w:rPr>
          <w:rFonts w:ascii="Andes" w:hAnsi="Andes" w:cs="Arial"/>
          <w:sz w:val="22"/>
          <w:szCs w:val="22"/>
        </w:rPr>
        <w:t>Clauses et conditions contractuelles pour les marchés faisant appel à la concurrence internationale</w:t>
      </w:r>
      <w:r w:rsidR="002702F6" w:rsidRPr="00332FCD">
        <w:rPr>
          <w:rFonts w:ascii="Andes" w:hAnsi="Andes" w:cs="Arial"/>
          <w:sz w:val="22"/>
          <w:szCs w:val="22"/>
        </w:rPr>
        <w:t>.</w:t>
      </w:r>
    </w:p>
    <w:p w14:paraId="3425ABA6" w14:textId="6D227480" w:rsidR="00C811D2" w:rsidRPr="00332FCD" w:rsidRDefault="00B652E4" w:rsidP="009A43BE">
      <w:pPr>
        <w:pStyle w:val="Style2"/>
        <w:keepNext/>
        <w:keepLines/>
        <w:widowControl/>
        <w:tabs>
          <w:tab w:val="left" w:pos="1710"/>
        </w:tabs>
        <w:autoSpaceDE/>
        <w:autoSpaceDN/>
        <w:adjustRightInd/>
        <w:spacing w:before="240"/>
        <w:contextualSpacing w:val="0"/>
        <w:outlineLvl w:val="0"/>
        <w:rPr>
          <w:rFonts w:ascii="Andes" w:eastAsiaTheme="majorEastAsia" w:hAnsi="Andes" w:cstheme="majorBidi"/>
          <w:bCs w:val="0"/>
          <w:color w:val="C45911"/>
          <w:sz w:val="32"/>
          <w:szCs w:val="32"/>
        </w:rPr>
      </w:pPr>
      <w:r w:rsidRPr="00332FCD">
        <w:rPr>
          <w:rFonts w:ascii="Andes" w:eastAsiaTheme="majorEastAsia" w:hAnsi="Andes" w:cstheme="majorBidi"/>
          <w:bCs w:val="0"/>
          <w:color w:val="C45911"/>
          <w:sz w:val="32"/>
          <w:szCs w:val="32"/>
        </w:rPr>
        <w:t>Rejet des Offres/Propositions</w:t>
      </w:r>
    </w:p>
    <w:p w14:paraId="2436BE2C" w14:textId="0DDE1D77" w:rsidR="003554E7" w:rsidRPr="00332FCD" w:rsidRDefault="00B652E4" w:rsidP="009A43BE">
      <w:pPr>
        <w:spacing w:line="240" w:lineRule="auto"/>
        <w:contextualSpacing w:val="0"/>
        <w:rPr>
          <w:rFonts w:ascii="Andes" w:hAnsi="Andes" w:cs="Arial"/>
          <w:b/>
          <w:sz w:val="28"/>
          <w:szCs w:val="28"/>
        </w:rPr>
      </w:pPr>
      <w:bookmarkStart w:id="2525" w:name="_Toc404234784"/>
      <w:bookmarkStart w:id="2526" w:name="_Toc404235783"/>
      <w:bookmarkEnd w:id="2525"/>
      <w:bookmarkEnd w:id="2526"/>
      <w:r w:rsidRPr="00332FCD">
        <w:rPr>
          <w:rFonts w:ascii="Andes" w:hAnsi="Andes" w:cs="Arial"/>
          <w:b/>
          <w:sz w:val="28"/>
          <w:szCs w:val="28"/>
        </w:rPr>
        <w:t>Fournitures, Travaux et Services Autres que Services de Consultants</w:t>
      </w:r>
    </w:p>
    <w:p w14:paraId="632A60AB" w14:textId="0A4CFF2E" w:rsidR="00E119AB" w:rsidRPr="00332FCD" w:rsidRDefault="00B652E4" w:rsidP="00882278">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 rejet de toutes les Offres/Proposition</w:t>
      </w:r>
      <w:r w:rsidR="000B08CC" w:rsidRPr="00332FCD">
        <w:rPr>
          <w:rFonts w:ascii="Andes" w:hAnsi="Andes" w:cs="Arial"/>
          <w:sz w:val="22"/>
          <w:szCs w:val="22"/>
        </w:rPr>
        <w:t>s</w:t>
      </w:r>
      <w:r w:rsidRPr="00332FCD">
        <w:rPr>
          <w:rFonts w:ascii="Andes" w:hAnsi="Andes" w:cs="Arial"/>
          <w:sz w:val="22"/>
          <w:szCs w:val="22"/>
        </w:rPr>
        <w:t xml:space="preserve"> est justifié (</w:t>
      </w:r>
      <w:r w:rsidR="007152D3" w:rsidRPr="00332FCD">
        <w:rPr>
          <w:rFonts w:ascii="Andes" w:hAnsi="Andes" w:cs="Arial"/>
          <w:sz w:val="22"/>
          <w:szCs w:val="22"/>
        </w:rPr>
        <w:t>pour les marchés</w:t>
      </w:r>
      <w:r w:rsidR="00371B06" w:rsidRPr="00332FCD">
        <w:rPr>
          <w:rFonts w:ascii="Andes" w:hAnsi="Andes" w:cs="Arial"/>
          <w:sz w:val="22"/>
          <w:szCs w:val="22"/>
        </w:rPr>
        <w:t xml:space="preserve"> soumis à </w:t>
      </w:r>
      <w:r w:rsidR="007152D3" w:rsidRPr="00332FCD">
        <w:rPr>
          <w:rFonts w:ascii="Andes" w:hAnsi="Andes" w:cs="Arial"/>
          <w:sz w:val="22"/>
          <w:szCs w:val="22"/>
        </w:rPr>
        <w:t>examen préalable, avec avis de non-objection de la Banque)</w:t>
      </w:r>
      <w:r w:rsidR="000B08CC" w:rsidRPr="00332FCD">
        <w:rPr>
          <w:rFonts w:ascii="Andes" w:hAnsi="Andes" w:cs="Arial"/>
          <w:sz w:val="22"/>
          <w:szCs w:val="22"/>
        </w:rPr>
        <w:t xml:space="preserve"> lorsque</w:t>
      </w:r>
      <w:r w:rsidR="00730BDF" w:rsidRPr="00332FCD">
        <w:rPr>
          <w:rFonts w:ascii="Calibri" w:hAnsi="Calibri" w:cs="Calibri"/>
          <w:sz w:val="22"/>
          <w:szCs w:val="22"/>
        </w:rPr>
        <w:t> </w:t>
      </w:r>
      <w:r w:rsidR="00730BDF" w:rsidRPr="00332FCD">
        <w:rPr>
          <w:rFonts w:ascii="Andes" w:hAnsi="Andes" w:cs="Arial"/>
          <w:sz w:val="22"/>
          <w:szCs w:val="22"/>
        </w:rPr>
        <w:t>:</w:t>
      </w:r>
    </w:p>
    <w:p w14:paraId="6BCB7349" w14:textId="5AB13C77" w:rsidR="00E119AB" w:rsidRPr="00332FCD" w:rsidRDefault="000B08CC" w:rsidP="009A43BE">
      <w:pPr>
        <w:pStyle w:val="Paragraphedeliste"/>
        <w:numPr>
          <w:ilvl w:val="0"/>
          <w:numId w:val="163"/>
        </w:numPr>
        <w:spacing w:before="0" w:line="240" w:lineRule="auto"/>
        <w:contextualSpacing w:val="0"/>
        <w:rPr>
          <w:rFonts w:ascii="Andes" w:hAnsi="Andes" w:cs="Arial"/>
          <w:sz w:val="22"/>
          <w:szCs w:val="22"/>
        </w:rPr>
      </w:pPr>
      <w:r w:rsidRPr="00332FCD">
        <w:rPr>
          <w:rFonts w:ascii="Andes" w:eastAsiaTheme="minorHAnsi" w:hAnsi="Andes" w:cs="Arial"/>
          <w:color w:val="000000"/>
          <w:sz w:val="22"/>
          <w:szCs w:val="22"/>
        </w:rPr>
        <w:t>la concurrence a été manifestement insuffisante</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p>
    <w:p w14:paraId="77129853" w14:textId="68CBF8EA" w:rsidR="00E119AB" w:rsidRPr="00332FCD" w:rsidRDefault="007D50AA" w:rsidP="009A43BE">
      <w:pPr>
        <w:pStyle w:val="Paragraphedeliste"/>
        <w:numPr>
          <w:ilvl w:val="0"/>
          <w:numId w:val="163"/>
        </w:numPr>
        <w:spacing w:before="0" w:line="240" w:lineRule="auto"/>
        <w:contextualSpacing w:val="0"/>
        <w:rPr>
          <w:rFonts w:ascii="Andes" w:hAnsi="Andes" w:cs="Arial"/>
          <w:sz w:val="22"/>
          <w:szCs w:val="22"/>
        </w:rPr>
      </w:pPr>
      <w:r w:rsidRPr="00332FCD">
        <w:rPr>
          <w:rFonts w:ascii="Andes" w:hAnsi="Andes" w:cs="Arial"/>
          <w:sz w:val="22"/>
          <w:szCs w:val="22"/>
        </w:rPr>
        <w:t>aucune des</w:t>
      </w:r>
      <w:r w:rsidR="007152D3" w:rsidRPr="00332FCD">
        <w:rPr>
          <w:rFonts w:ascii="Andes" w:hAnsi="Andes" w:cs="Arial"/>
          <w:sz w:val="22"/>
          <w:szCs w:val="22"/>
        </w:rPr>
        <w:t xml:space="preserve"> Offres/Propositions reçues </w:t>
      </w:r>
      <w:r w:rsidRPr="00332FCD">
        <w:rPr>
          <w:rFonts w:ascii="Andes" w:hAnsi="Andes" w:cs="Arial"/>
          <w:sz w:val="22"/>
          <w:szCs w:val="22"/>
        </w:rPr>
        <w:t>n’est</w:t>
      </w:r>
      <w:r w:rsidR="007152D3" w:rsidRPr="00332FCD">
        <w:rPr>
          <w:rFonts w:ascii="Andes" w:hAnsi="Andes" w:cs="Arial"/>
          <w:sz w:val="22"/>
          <w:szCs w:val="22"/>
        </w:rPr>
        <w:t xml:space="preserve"> conforme, pour l’essentiel, </w:t>
      </w:r>
      <w:r w:rsidRPr="00332FCD">
        <w:rPr>
          <w:rFonts w:ascii="Andes" w:hAnsi="Andes" w:cs="Arial"/>
          <w:sz w:val="22"/>
          <w:szCs w:val="22"/>
        </w:rPr>
        <w:t>aux dispositions du Dossier</w:t>
      </w:r>
      <w:r w:rsidR="007152D3" w:rsidRPr="00332FCD">
        <w:rPr>
          <w:rFonts w:ascii="Andes" w:hAnsi="Andes" w:cs="Arial"/>
          <w:sz w:val="22"/>
          <w:szCs w:val="22"/>
        </w:rPr>
        <w:t xml:space="preserve"> de Passation des Marchés</w:t>
      </w:r>
      <w:r w:rsidR="00730BDF" w:rsidRPr="00332FCD">
        <w:rPr>
          <w:rFonts w:ascii="Calibri" w:hAnsi="Calibri" w:cs="Calibri"/>
          <w:sz w:val="22"/>
          <w:szCs w:val="22"/>
        </w:rPr>
        <w:t> </w:t>
      </w:r>
      <w:r w:rsidR="00730BDF" w:rsidRPr="00332FCD">
        <w:rPr>
          <w:rFonts w:ascii="Andes" w:hAnsi="Andes" w:cs="Arial"/>
          <w:sz w:val="22"/>
          <w:szCs w:val="22"/>
        </w:rPr>
        <w:t>;</w:t>
      </w:r>
    </w:p>
    <w:p w14:paraId="1F6A9C12" w14:textId="59E1C253" w:rsidR="00E119AB" w:rsidRPr="00332FCD" w:rsidRDefault="007152D3" w:rsidP="009A43BE">
      <w:pPr>
        <w:pStyle w:val="Paragraphedeliste"/>
        <w:numPr>
          <w:ilvl w:val="0"/>
          <w:numId w:val="163"/>
        </w:numPr>
        <w:spacing w:before="0" w:line="240" w:lineRule="auto"/>
        <w:contextualSpacing w:val="0"/>
        <w:rPr>
          <w:rFonts w:ascii="Andes" w:hAnsi="Andes" w:cs="Arial"/>
          <w:sz w:val="22"/>
          <w:szCs w:val="22"/>
        </w:rPr>
      </w:pPr>
      <w:r w:rsidRPr="00332FCD">
        <w:rPr>
          <w:rFonts w:ascii="Andes" w:eastAsiaTheme="minorHAnsi" w:hAnsi="Andes" w:cs="Arial"/>
          <w:color w:val="000000"/>
          <w:sz w:val="22"/>
          <w:szCs w:val="22"/>
        </w:rPr>
        <w:t xml:space="preserve">le prix </w:t>
      </w:r>
      <w:r w:rsidR="00CE05F9" w:rsidRPr="00332FCD">
        <w:rPr>
          <w:rFonts w:ascii="Andes" w:eastAsiaTheme="minorHAnsi" w:hAnsi="Andes" w:cs="Arial"/>
          <w:color w:val="000000"/>
          <w:sz w:val="22"/>
          <w:szCs w:val="22"/>
        </w:rPr>
        <w:t>des Offres/</w:t>
      </w:r>
      <w:r w:rsidRPr="00332FCD">
        <w:rPr>
          <w:rFonts w:ascii="Andes" w:eastAsiaTheme="minorHAnsi" w:hAnsi="Andes" w:cs="Arial"/>
          <w:color w:val="000000"/>
          <w:sz w:val="22"/>
          <w:szCs w:val="22"/>
        </w:rPr>
        <w:t>Proposition</w:t>
      </w:r>
      <w:r w:rsidR="00CE05F9" w:rsidRPr="00332FCD">
        <w:rPr>
          <w:rFonts w:ascii="Andes" w:eastAsiaTheme="minorHAnsi" w:hAnsi="Andes" w:cs="Arial"/>
          <w:color w:val="000000"/>
          <w:sz w:val="22"/>
          <w:szCs w:val="22"/>
        </w:rPr>
        <w:t>s</w:t>
      </w:r>
      <w:r w:rsidR="000B08CC" w:rsidRPr="00332FCD">
        <w:rPr>
          <w:rFonts w:ascii="Andes" w:eastAsiaTheme="minorHAnsi" w:hAnsi="Andes" w:cs="Arial"/>
          <w:color w:val="000000"/>
          <w:sz w:val="22"/>
          <w:szCs w:val="22"/>
        </w:rPr>
        <w:t xml:space="preserve"> dépasse nettement </w:t>
      </w:r>
      <w:r w:rsidRPr="00332FCD">
        <w:rPr>
          <w:rFonts w:ascii="Andes" w:eastAsiaTheme="minorHAnsi" w:hAnsi="Andes" w:cs="Arial"/>
          <w:color w:val="000000"/>
          <w:sz w:val="22"/>
          <w:szCs w:val="22"/>
        </w:rPr>
        <w:t xml:space="preserve">le coût estimatif actualisé </w:t>
      </w:r>
      <w:r w:rsidR="00CE05F9" w:rsidRPr="00332FCD">
        <w:rPr>
          <w:rFonts w:ascii="Andes" w:eastAsiaTheme="minorHAnsi" w:hAnsi="Andes" w:cs="Arial"/>
          <w:color w:val="000000"/>
          <w:sz w:val="22"/>
          <w:szCs w:val="22"/>
        </w:rPr>
        <w:t>ou le budget disponible</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00CE05F9" w:rsidRPr="00332FCD">
        <w:rPr>
          <w:rFonts w:ascii="Andes" w:eastAsiaTheme="minorHAnsi" w:hAnsi="Andes" w:cs="Arial"/>
          <w:color w:val="000000"/>
          <w:sz w:val="22"/>
          <w:szCs w:val="22"/>
        </w:rPr>
        <w:t xml:space="preserve"> ou</w:t>
      </w:r>
    </w:p>
    <w:p w14:paraId="57F21203" w14:textId="63C9AE2E" w:rsidR="00E119AB" w:rsidRPr="00332FCD" w:rsidRDefault="00CE05F9" w:rsidP="009A43BE">
      <w:pPr>
        <w:pStyle w:val="Paragraphedeliste"/>
        <w:numPr>
          <w:ilvl w:val="0"/>
          <w:numId w:val="163"/>
        </w:numPr>
        <w:spacing w:before="0" w:line="240" w:lineRule="auto"/>
        <w:contextualSpacing w:val="0"/>
        <w:rPr>
          <w:rFonts w:ascii="Andes" w:hAnsi="Andes" w:cs="Arial"/>
          <w:sz w:val="22"/>
          <w:szCs w:val="22"/>
        </w:rPr>
      </w:pPr>
      <w:r w:rsidRPr="00332FCD">
        <w:rPr>
          <w:rFonts w:ascii="Andes" w:eastAsiaTheme="minorHAnsi" w:hAnsi="Andes" w:cs="Arial"/>
          <w:color w:val="000000"/>
          <w:sz w:val="22"/>
          <w:szCs w:val="22"/>
        </w:rPr>
        <w:t>aucune des Propositions techniques n’atteint</w:t>
      </w:r>
      <w:r w:rsidR="00A74256" w:rsidRPr="00332FCD">
        <w:rPr>
          <w:rFonts w:ascii="Andes" w:eastAsiaTheme="minorHAnsi" w:hAnsi="Andes" w:cs="Arial"/>
          <w:color w:val="000000"/>
          <w:sz w:val="22"/>
          <w:szCs w:val="22"/>
        </w:rPr>
        <w:t xml:space="preserve"> la note </w:t>
      </w:r>
      <w:r w:rsidRPr="00332FCD">
        <w:rPr>
          <w:rFonts w:ascii="Andes" w:eastAsiaTheme="minorHAnsi" w:hAnsi="Andes" w:cs="Arial"/>
          <w:color w:val="000000"/>
          <w:sz w:val="22"/>
          <w:szCs w:val="22"/>
        </w:rPr>
        <w:t xml:space="preserve">technique minimum d’admissibilité. </w:t>
      </w:r>
    </w:p>
    <w:p w14:paraId="7CA9F51F" w14:textId="09C70E9F" w:rsidR="00CA1864" w:rsidRPr="00332FCD" w:rsidRDefault="000B08CC" w:rsidP="00882278">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Le manque </w:t>
      </w:r>
      <w:r w:rsidR="00CE05F9" w:rsidRPr="00332FCD">
        <w:rPr>
          <w:rFonts w:ascii="Andes" w:hAnsi="Andes" w:cs="Arial"/>
          <w:sz w:val="22"/>
          <w:szCs w:val="22"/>
        </w:rPr>
        <w:t>de concurrence n’est pas seulement fonction du nombre de Soumissionnaires/Proposants. Même si seulement une Offre/Proposition est remise</w:t>
      </w:r>
      <w:r w:rsidRPr="00332FCD">
        <w:rPr>
          <w:rFonts w:ascii="Andes" w:hAnsi="Andes" w:cs="Arial"/>
          <w:sz w:val="22"/>
          <w:szCs w:val="22"/>
        </w:rPr>
        <w:t>,</w:t>
      </w:r>
      <w:r w:rsidR="00CE05F9" w:rsidRPr="00332FCD">
        <w:rPr>
          <w:rFonts w:ascii="Andes" w:hAnsi="Andes" w:cs="Arial"/>
          <w:sz w:val="22"/>
          <w:szCs w:val="22"/>
        </w:rPr>
        <w:t xml:space="preserve"> le processus peut être </w:t>
      </w:r>
      <w:r w:rsidRPr="00332FCD">
        <w:rPr>
          <w:rFonts w:ascii="Andes" w:hAnsi="Andes" w:cs="Arial"/>
          <w:sz w:val="22"/>
          <w:szCs w:val="22"/>
        </w:rPr>
        <w:t>considéré</w:t>
      </w:r>
      <w:r w:rsidR="00CE05F9" w:rsidRPr="00332FCD">
        <w:rPr>
          <w:rFonts w:ascii="Andes" w:hAnsi="Andes" w:cs="Arial"/>
          <w:sz w:val="22"/>
          <w:szCs w:val="22"/>
        </w:rPr>
        <w:t xml:space="preserve"> comme</w:t>
      </w:r>
      <w:r w:rsidRPr="00332FCD">
        <w:rPr>
          <w:rFonts w:ascii="Andes" w:hAnsi="Andes" w:cs="Arial"/>
          <w:sz w:val="22"/>
          <w:szCs w:val="22"/>
        </w:rPr>
        <w:t xml:space="preserve"> valable </w:t>
      </w:r>
      <w:r w:rsidR="00CE05F9" w:rsidRPr="00332FCD">
        <w:rPr>
          <w:rFonts w:ascii="Andes" w:hAnsi="Andes" w:cs="Arial"/>
          <w:sz w:val="22"/>
          <w:szCs w:val="22"/>
        </w:rPr>
        <w:t>si</w:t>
      </w:r>
      <w:r w:rsidR="00730BDF" w:rsidRPr="00332FCD">
        <w:rPr>
          <w:rFonts w:ascii="Calibri" w:hAnsi="Calibri" w:cs="Calibri"/>
          <w:sz w:val="22"/>
          <w:szCs w:val="22"/>
        </w:rPr>
        <w:t> </w:t>
      </w:r>
      <w:r w:rsidR="00730BDF" w:rsidRPr="00332FCD">
        <w:rPr>
          <w:rFonts w:ascii="Andes" w:hAnsi="Andes" w:cs="Arial"/>
          <w:sz w:val="22"/>
          <w:szCs w:val="22"/>
        </w:rPr>
        <w:t>:</w:t>
      </w:r>
      <w:r w:rsidR="00CE05F9" w:rsidRPr="00332FCD">
        <w:rPr>
          <w:rFonts w:ascii="Andes" w:hAnsi="Andes" w:cs="Arial"/>
          <w:sz w:val="22"/>
          <w:szCs w:val="22"/>
        </w:rPr>
        <w:t xml:space="preserve"> </w:t>
      </w:r>
    </w:p>
    <w:p w14:paraId="1F2DA604" w14:textId="606D3F41" w:rsidR="00CA1864" w:rsidRPr="00332FCD" w:rsidRDefault="005B7426" w:rsidP="009A43BE">
      <w:pPr>
        <w:pStyle w:val="Paragraphedeliste"/>
        <w:numPr>
          <w:ilvl w:val="0"/>
          <w:numId w:val="164"/>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l’</w:t>
      </w:r>
      <w:r w:rsidR="00C51DF5">
        <w:rPr>
          <w:rFonts w:ascii="Andes" w:eastAsiaTheme="minorHAnsi" w:hAnsi="Andes" w:cs="Arial"/>
          <w:color w:val="000000"/>
          <w:sz w:val="22"/>
          <w:szCs w:val="22"/>
        </w:rPr>
        <w:t>Appel d’Offres/ à Propositions</w:t>
      </w:r>
      <w:r w:rsidRPr="00332FCD">
        <w:rPr>
          <w:rFonts w:ascii="Andes" w:eastAsiaTheme="minorHAnsi" w:hAnsi="Andes" w:cs="Arial"/>
          <w:color w:val="000000"/>
          <w:sz w:val="22"/>
          <w:szCs w:val="22"/>
        </w:rPr>
        <w:t xml:space="preserve"> a été publié dans des conditions satisfaisantes</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p>
    <w:p w14:paraId="3546B5C1" w14:textId="009EE74F" w:rsidR="00CA1864" w:rsidRPr="00332FCD" w:rsidRDefault="005B7426" w:rsidP="009A43BE">
      <w:pPr>
        <w:pStyle w:val="Paragraphedeliste"/>
        <w:numPr>
          <w:ilvl w:val="0"/>
          <w:numId w:val="164"/>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lastRenderedPageBreak/>
        <w:t>les critères de qualification n’étaient pas exagérément restrictifs</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et </w:t>
      </w:r>
    </w:p>
    <w:p w14:paraId="74B77FD5" w14:textId="2F7B59B8" w:rsidR="00CA1864" w:rsidRPr="00332FCD" w:rsidRDefault="005B7426" w:rsidP="009A43BE">
      <w:pPr>
        <w:pStyle w:val="Paragraphedeliste"/>
        <w:numPr>
          <w:ilvl w:val="0"/>
          <w:numId w:val="164"/>
        </w:numPr>
        <w:spacing w:before="0" w:line="240" w:lineRule="auto"/>
        <w:contextualSpacing w:val="0"/>
        <w:rPr>
          <w:rFonts w:ascii="Andes" w:hAnsi="Andes" w:cs="Arial"/>
          <w:sz w:val="22"/>
          <w:szCs w:val="22"/>
        </w:rPr>
      </w:pPr>
      <w:r w:rsidRPr="00332FCD">
        <w:rPr>
          <w:rFonts w:ascii="Andes" w:eastAsiaTheme="minorHAnsi" w:hAnsi="Andes" w:cs="Arial"/>
          <w:color w:val="000000"/>
          <w:sz w:val="22"/>
          <w:szCs w:val="22"/>
        </w:rPr>
        <w:t xml:space="preserve">les prix sont raisonnables par rapport </w:t>
      </w:r>
      <w:r w:rsidR="00F61E0D">
        <w:rPr>
          <w:rFonts w:ascii="Andes" w:eastAsiaTheme="minorHAnsi" w:hAnsi="Andes" w:cs="Arial"/>
          <w:color w:val="000000"/>
          <w:sz w:val="22"/>
          <w:szCs w:val="22"/>
        </w:rPr>
        <w:t>à ceux pratiqués</w:t>
      </w:r>
      <w:r w:rsidRPr="00332FCD">
        <w:rPr>
          <w:rFonts w:ascii="Andes" w:eastAsiaTheme="minorHAnsi" w:hAnsi="Andes" w:cs="Arial"/>
          <w:color w:val="000000"/>
          <w:sz w:val="22"/>
          <w:szCs w:val="22"/>
        </w:rPr>
        <w:t xml:space="preserve"> </w:t>
      </w:r>
      <w:r w:rsidR="00F61E0D">
        <w:rPr>
          <w:rFonts w:ascii="Andes" w:eastAsiaTheme="minorHAnsi" w:hAnsi="Andes" w:cs="Arial"/>
          <w:color w:val="000000"/>
          <w:sz w:val="22"/>
          <w:szCs w:val="22"/>
        </w:rPr>
        <w:t>sur le</w:t>
      </w:r>
      <w:r w:rsidR="00F61E0D" w:rsidRPr="00332FCD">
        <w:rPr>
          <w:rFonts w:ascii="Andes" w:eastAsiaTheme="minorHAnsi" w:hAnsi="Andes" w:cs="Arial"/>
          <w:color w:val="000000"/>
          <w:sz w:val="22"/>
          <w:szCs w:val="22"/>
        </w:rPr>
        <w:t xml:space="preserve"> </w:t>
      </w:r>
      <w:r w:rsidRPr="00332FCD">
        <w:rPr>
          <w:rFonts w:ascii="Andes" w:eastAsiaTheme="minorHAnsi" w:hAnsi="Andes" w:cs="Arial"/>
          <w:color w:val="000000"/>
          <w:sz w:val="22"/>
          <w:szCs w:val="22"/>
        </w:rPr>
        <w:t>marché</w:t>
      </w:r>
      <w:r w:rsidR="00687669" w:rsidRPr="00332FCD">
        <w:rPr>
          <w:rFonts w:ascii="Andes" w:hAnsi="Andes" w:cs="Arial"/>
          <w:sz w:val="22"/>
          <w:szCs w:val="22"/>
        </w:rPr>
        <w:t xml:space="preserve">.  </w:t>
      </w:r>
    </w:p>
    <w:p w14:paraId="007A5AEB" w14:textId="221C22DC" w:rsidR="00C811D2" w:rsidRPr="00AC49D7" w:rsidRDefault="005B7426" w:rsidP="00882278">
      <w:pPr>
        <w:pStyle w:val="Paragraphedeliste"/>
        <w:numPr>
          <w:ilvl w:val="0"/>
          <w:numId w:val="78"/>
        </w:numPr>
        <w:spacing w:before="0" w:line="240" w:lineRule="auto"/>
        <w:ind w:left="634" w:hanging="634"/>
        <w:contextualSpacing w:val="0"/>
        <w:rPr>
          <w:rFonts w:ascii="Andes" w:hAnsi="Andes" w:cs="Arial"/>
          <w:sz w:val="22"/>
          <w:szCs w:val="22"/>
        </w:rPr>
      </w:pPr>
      <w:r w:rsidRPr="00AC49D7">
        <w:rPr>
          <w:rFonts w:ascii="Andes" w:hAnsi="Andes" w:cs="Arial"/>
          <w:sz w:val="22"/>
          <w:szCs w:val="22"/>
        </w:rPr>
        <w:t xml:space="preserve">S’il rejette toutes les Offres/Propositions, l’Emprunteur doit analyser les motifs de cette décision et apporter les modifications voulues </w:t>
      </w:r>
      <w:r w:rsidR="00123CED" w:rsidRPr="00AC49D7">
        <w:rPr>
          <w:rFonts w:ascii="Andes" w:hAnsi="Andes" w:cs="Arial"/>
          <w:sz w:val="22"/>
          <w:szCs w:val="22"/>
        </w:rPr>
        <w:t xml:space="preserve">à la </w:t>
      </w:r>
      <w:r w:rsidR="006634EF" w:rsidRPr="00AC49D7">
        <w:rPr>
          <w:rFonts w:ascii="Andes" w:hAnsi="Andes" w:cs="Arial"/>
          <w:sz w:val="22"/>
          <w:szCs w:val="22"/>
        </w:rPr>
        <w:t>SPMPD</w:t>
      </w:r>
      <w:r w:rsidR="006A3AC5" w:rsidRPr="00AC49D7">
        <w:rPr>
          <w:rFonts w:ascii="Andes" w:hAnsi="Andes" w:cs="Arial"/>
          <w:sz w:val="22"/>
          <w:szCs w:val="22"/>
        </w:rPr>
        <w:t xml:space="preserve">   </w:t>
      </w:r>
      <w:r w:rsidR="00E93245" w:rsidRPr="00AC49D7">
        <w:rPr>
          <w:rFonts w:ascii="Andes" w:hAnsi="Andes" w:cs="Arial"/>
          <w:sz w:val="22"/>
          <w:szCs w:val="22"/>
        </w:rPr>
        <w:t xml:space="preserve"> </w:t>
      </w:r>
      <w:r w:rsidR="008D0B5E" w:rsidRPr="00AC49D7">
        <w:rPr>
          <w:rFonts w:ascii="Andes" w:hAnsi="Andes" w:cs="Arial"/>
          <w:sz w:val="22"/>
          <w:szCs w:val="22"/>
        </w:rPr>
        <w:t>et au dossier d’</w:t>
      </w:r>
      <w:r w:rsidR="00F97599" w:rsidRPr="00AC49D7">
        <w:rPr>
          <w:rFonts w:ascii="Andes" w:hAnsi="Andes" w:cs="Arial"/>
          <w:sz w:val="22"/>
          <w:szCs w:val="22"/>
        </w:rPr>
        <w:t>A</w:t>
      </w:r>
      <w:r w:rsidR="008D0B5E" w:rsidRPr="00AC49D7">
        <w:rPr>
          <w:rFonts w:ascii="Andes" w:hAnsi="Andes" w:cs="Arial"/>
          <w:sz w:val="22"/>
          <w:szCs w:val="22"/>
        </w:rPr>
        <w:t>ppel d’</w:t>
      </w:r>
      <w:r w:rsidR="00F97599" w:rsidRPr="00AC49D7">
        <w:rPr>
          <w:rFonts w:ascii="Andes" w:hAnsi="Andes" w:cs="Arial"/>
          <w:sz w:val="22"/>
          <w:szCs w:val="22"/>
        </w:rPr>
        <w:t>O</w:t>
      </w:r>
      <w:r w:rsidR="008D0B5E" w:rsidRPr="00AC49D7">
        <w:rPr>
          <w:rFonts w:ascii="Andes" w:hAnsi="Andes" w:cs="Arial"/>
          <w:sz w:val="22"/>
          <w:szCs w:val="22"/>
        </w:rPr>
        <w:t xml:space="preserve">ffres/à </w:t>
      </w:r>
      <w:r w:rsidR="00F97599" w:rsidRPr="00AC49D7">
        <w:rPr>
          <w:rFonts w:ascii="Andes" w:hAnsi="Andes" w:cs="Arial"/>
          <w:sz w:val="22"/>
          <w:szCs w:val="22"/>
        </w:rPr>
        <w:t>P</w:t>
      </w:r>
      <w:r w:rsidR="008D0B5E" w:rsidRPr="00AC49D7">
        <w:rPr>
          <w:rFonts w:ascii="Andes" w:hAnsi="Andes" w:cs="Arial"/>
          <w:sz w:val="22"/>
          <w:szCs w:val="22"/>
        </w:rPr>
        <w:t xml:space="preserve">ropositions avant </w:t>
      </w:r>
      <w:r w:rsidR="000B08CC" w:rsidRPr="00AC49D7">
        <w:rPr>
          <w:rFonts w:ascii="Andes" w:hAnsi="Andes" w:cs="Arial"/>
          <w:sz w:val="22"/>
          <w:szCs w:val="22"/>
        </w:rPr>
        <w:t>de relancer l’appel à la concurrence</w:t>
      </w:r>
      <w:r w:rsidR="00C811D2" w:rsidRPr="00AC49D7">
        <w:rPr>
          <w:rFonts w:ascii="Andes" w:hAnsi="Andes" w:cs="Arial"/>
          <w:sz w:val="22"/>
          <w:szCs w:val="22"/>
        </w:rPr>
        <w:t>.</w:t>
      </w:r>
      <w:r w:rsidR="002A77B9">
        <w:rPr>
          <w:rFonts w:ascii="Andes" w:hAnsi="Andes" w:cs="Arial"/>
          <w:sz w:val="22"/>
          <w:szCs w:val="22"/>
        </w:rPr>
        <w:t xml:space="preserve"> </w:t>
      </w:r>
      <w:r w:rsidR="00AB70EE" w:rsidRPr="00AC49D7">
        <w:rPr>
          <w:rFonts w:ascii="Andes" w:hAnsi="Andes" w:cs="Arial"/>
          <w:sz w:val="22"/>
          <w:szCs w:val="22"/>
        </w:rPr>
        <w:t>L’Emprunteur ne peut rejeter toutes les Offres/Propositions et en demander de nouvelles en utilisant le même dossier d’</w:t>
      </w:r>
      <w:r w:rsidR="001274C2" w:rsidRPr="00AC49D7">
        <w:rPr>
          <w:rFonts w:ascii="Andes" w:hAnsi="Andes" w:cs="Arial"/>
          <w:sz w:val="22"/>
          <w:szCs w:val="22"/>
        </w:rPr>
        <w:t>A</w:t>
      </w:r>
      <w:r w:rsidR="00AB70EE" w:rsidRPr="00AC49D7">
        <w:rPr>
          <w:rFonts w:ascii="Andes" w:hAnsi="Andes" w:cs="Arial"/>
          <w:sz w:val="22"/>
          <w:szCs w:val="22"/>
        </w:rPr>
        <w:t>ppel d’</w:t>
      </w:r>
      <w:r w:rsidR="001274C2" w:rsidRPr="00AC49D7">
        <w:rPr>
          <w:rFonts w:ascii="Andes" w:hAnsi="Andes" w:cs="Arial"/>
          <w:sz w:val="22"/>
          <w:szCs w:val="22"/>
        </w:rPr>
        <w:t>O</w:t>
      </w:r>
      <w:r w:rsidR="00AB70EE" w:rsidRPr="00AC49D7">
        <w:rPr>
          <w:rFonts w:ascii="Andes" w:hAnsi="Andes" w:cs="Arial"/>
          <w:sz w:val="22"/>
          <w:szCs w:val="22"/>
        </w:rPr>
        <w:t xml:space="preserve">ffres/à </w:t>
      </w:r>
      <w:r w:rsidR="001274C2" w:rsidRPr="00AC49D7">
        <w:rPr>
          <w:rFonts w:ascii="Andes" w:hAnsi="Andes" w:cs="Arial"/>
          <w:sz w:val="22"/>
          <w:szCs w:val="22"/>
        </w:rPr>
        <w:t>P</w:t>
      </w:r>
      <w:r w:rsidR="00AB70EE" w:rsidRPr="00AC49D7">
        <w:rPr>
          <w:rFonts w:ascii="Andes" w:hAnsi="Andes" w:cs="Arial"/>
          <w:sz w:val="22"/>
          <w:szCs w:val="22"/>
        </w:rPr>
        <w:t>ropositions à seule fin d’obtenir des prix inférieurs. Si l’Offre</w:t>
      </w:r>
      <w:r w:rsidR="00E918FF" w:rsidRPr="00AC49D7">
        <w:rPr>
          <w:rFonts w:ascii="Andes" w:hAnsi="Andes" w:cs="Arial"/>
          <w:sz w:val="22"/>
          <w:szCs w:val="22"/>
        </w:rPr>
        <w:t xml:space="preserve"> ou </w:t>
      </w:r>
      <w:r w:rsidR="00AB70EE" w:rsidRPr="00AC49D7">
        <w:rPr>
          <w:rFonts w:ascii="Andes" w:hAnsi="Andes" w:cs="Arial"/>
          <w:sz w:val="22"/>
          <w:szCs w:val="22"/>
        </w:rPr>
        <w:t xml:space="preserve">la Proposition la plus </w:t>
      </w:r>
      <w:r w:rsidR="00B65BC6" w:rsidRPr="00AC49D7">
        <w:rPr>
          <w:rFonts w:ascii="Andes" w:hAnsi="Andes" w:cs="Arial"/>
          <w:sz w:val="22"/>
          <w:szCs w:val="22"/>
        </w:rPr>
        <w:t>Avantageuse</w:t>
      </w:r>
      <w:r w:rsidR="00D63BEA" w:rsidRPr="00AC49D7">
        <w:rPr>
          <w:rFonts w:ascii="Andes" w:hAnsi="Andes" w:cs="Arial"/>
          <w:sz w:val="22"/>
          <w:szCs w:val="22"/>
        </w:rPr>
        <w:t xml:space="preserve"> est nettement supérieure aux estimations de coût</w:t>
      </w:r>
      <w:r w:rsidR="00AB70EE" w:rsidRPr="00AC49D7">
        <w:rPr>
          <w:rFonts w:ascii="Andes" w:hAnsi="Andes" w:cs="Arial"/>
          <w:sz w:val="22"/>
          <w:szCs w:val="22"/>
        </w:rPr>
        <w:t xml:space="preserve"> actualisé</w:t>
      </w:r>
      <w:r w:rsidR="00D63BEA" w:rsidRPr="00AC49D7">
        <w:rPr>
          <w:rFonts w:ascii="Andes" w:hAnsi="Andes" w:cs="Arial"/>
          <w:sz w:val="22"/>
          <w:szCs w:val="22"/>
        </w:rPr>
        <w:t>e</w:t>
      </w:r>
      <w:r w:rsidR="00AB70EE" w:rsidRPr="00AC49D7">
        <w:rPr>
          <w:rFonts w:ascii="Andes" w:hAnsi="Andes" w:cs="Arial"/>
          <w:sz w:val="22"/>
          <w:szCs w:val="22"/>
        </w:rPr>
        <w:t>s</w:t>
      </w:r>
      <w:r w:rsidR="00D63BEA" w:rsidRPr="00AC49D7">
        <w:rPr>
          <w:rFonts w:ascii="Andes" w:hAnsi="Andes" w:cs="Arial"/>
          <w:sz w:val="22"/>
          <w:szCs w:val="22"/>
        </w:rPr>
        <w:t xml:space="preserve"> de </w:t>
      </w:r>
      <w:r w:rsidR="00AB70EE" w:rsidRPr="00AC49D7">
        <w:rPr>
          <w:rFonts w:ascii="Andes" w:hAnsi="Andes" w:cs="Arial"/>
          <w:sz w:val="22"/>
          <w:szCs w:val="22"/>
        </w:rPr>
        <w:t>l’Emprunteur, celui-ci recherche les causes de</w:t>
      </w:r>
      <w:r w:rsidR="00D63BEA" w:rsidRPr="00AC49D7">
        <w:rPr>
          <w:rFonts w:ascii="Andes" w:hAnsi="Andes" w:cs="Arial"/>
          <w:sz w:val="22"/>
          <w:szCs w:val="22"/>
        </w:rPr>
        <w:t xml:space="preserve"> cet écart </w:t>
      </w:r>
      <w:r w:rsidR="00AB70EE" w:rsidRPr="00AC49D7">
        <w:rPr>
          <w:rFonts w:ascii="Andes" w:hAnsi="Andes" w:cs="Arial"/>
          <w:sz w:val="22"/>
          <w:szCs w:val="22"/>
        </w:rPr>
        <w:t>et envisage de relancer l’</w:t>
      </w:r>
      <w:r w:rsidR="00C51DF5" w:rsidRPr="00AC49D7">
        <w:rPr>
          <w:rFonts w:ascii="Andes" w:hAnsi="Andes" w:cs="Arial"/>
          <w:sz w:val="22"/>
          <w:szCs w:val="22"/>
        </w:rPr>
        <w:t>Appel d’Offres/ à Propositions</w:t>
      </w:r>
      <w:r w:rsidR="00AB70EE" w:rsidRPr="00AC49D7">
        <w:rPr>
          <w:rFonts w:ascii="Andes" w:hAnsi="Andes" w:cs="Arial"/>
          <w:sz w:val="22"/>
          <w:szCs w:val="22"/>
        </w:rPr>
        <w:t xml:space="preserve">. À défaut, l’Emprunteur peut engager </w:t>
      </w:r>
      <w:r w:rsidR="00B65BC6" w:rsidRPr="00AC49D7">
        <w:rPr>
          <w:rFonts w:ascii="Andes" w:hAnsi="Andes" w:cs="Arial"/>
          <w:sz w:val="22"/>
          <w:szCs w:val="22"/>
        </w:rPr>
        <w:t>des négociations avec le Soumissionnaire</w:t>
      </w:r>
      <w:r w:rsidR="00E918FF" w:rsidRPr="00AC49D7">
        <w:rPr>
          <w:rFonts w:ascii="Andes" w:hAnsi="Andes" w:cs="Arial"/>
          <w:sz w:val="22"/>
          <w:szCs w:val="22"/>
        </w:rPr>
        <w:t xml:space="preserve"> ou le </w:t>
      </w:r>
      <w:r w:rsidR="00B65BC6" w:rsidRPr="00AC49D7">
        <w:rPr>
          <w:rFonts w:ascii="Andes" w:hAnsi="Andes" w:cs="Arial"/>
          <w:sz w:val="22"/>
          <w:szCs w:val="22"/>
        </w:rPr>
        <w:t>Proposant ayant soumis l’Offre</w:t>
      </w:r>
      <w:r w:rsidR="00E918FF" w:rsidRPr="00AC49D7">
        <w:rPr>
          <w:rFonts w:ascii="Andes" w:hAnsi="Andes" w:cs="Arial"/>
          <w:sz w:val="22"/>
          <w:szCs w:val="22"/>
        </w:rPr>
        <w:t xml:space="preserve"> ou </w:t>
      </w:r>
      <w:r w:rsidR="00B65BC6" w:rsidRPr="00AC49D7">
        <w:rPr>
          <w:rFonts w:ascii="Andes" w:hAnsi="Andes" w:cs="Arial"/>
          <w:sz w:val="22"/>
          <w:szCs w:val="22"/>
        </w:rPr>
        <w:t>la Proposition la plus Avantageuse pour essayer</w:t>
      </w:r>
      <w:r w:rsidR="00D63BEA" w:rsidRPr="00AC49D7">
        <w:rPr>
          <w:rFonts w:ascii="Andes" w:hAnsi="Andes" w:cs="Arial"/>
          <w:sz w:val="22"/>
          <w:szCs w:val="22"/>
        </w:rPr>
        <w:t xml:space="preserve"> de parvenir à une solution satisfaisante en réduisant </w:t>
      </w:r>
      <w:r w:rsidR="00B65BC6" w:rsidRPr="00AC49D7">
        <w:rPr>
          <w:rFonts w:ascii="Andes" w:hAnsi="Andes" w:cs="Arial"/>
          <w:sz w:val="22"/>
          <w:szCs w:val="22"/>
        </w:rPr>
        <w:t>l’étendue des prestations et/ou</w:t>
      </w:r>
      <w:r w:rsidR="00D63BEA" w:rsidRPr="00AC49D7">
        <w:rPr>
          <w:rFonts w:ascii="Andes" w:hAnsi="Andes" w:cs="Arial"/>
          <w:sz w:val="22"/>
          <w:szCs w:val="22"/>
        </w:rPr>
        <w:t xml:space="preserve"> modifiant </w:t>
      </w:r>
      <w:r w:rsidR="00B65BC6" w:rsidRPr="00AC49D7">
        <w:rPr>
          <w:rFonts w:ascii="Andes" w:hAnsi="Andes" w:cs="Arial"/>
          <w:sz w:val="22"/>
          <w:szCs w:val="22"/>
        </w:rPr>
        <w:t xml:space="preserve">la répartition des </w:t>
      </w:r>
      <w:r w:rsidR="00C856E7" w:rsidRPr="00AC49D7">
        <w:rPr>
          <w:rFonts w:ascii="Andes" w:hAnsi="Andes" w:cs="Arial"/>
          <w:sz w:val="22"/>
          <w:szCs w:val="22"/>
        </w:rPr>
        <w:t xml:space="preserve">droits, obligations, </w:t>
      </w:r>
      <w:r w:rsidR="00B65BC6" w:rsidRPr="00AC49D7">
        <w:rPr>
          <w:rFonts w:ascii="Andes" w:hAnsi="Andes" w:cs="Arial"/>
          <w:sz w:val="22"/>
          <w:szCs w:val="22"/>
        </w:rPr>
        <w:t>risques et</w:t>
      </w:r>
      <w:r w:rsidR="00D171F5" w:rsidRPr="00AC49D7">
        <w:rPr>
          <w:rFonts w:ascii="Andes" w:hAnsi="Andes" w:cs="Arial"/>
          <w:sz w:val="22"/>
          <w:szCs w:val="22"/>
        </w:rPr>
        <w:t>/ou</w:t>
      </w:r>
      <w:r w:rsidR="00B65BC6" w:rsidRPr="00AC49D7">
        <w:rPr>
          <w:rFonts w:ascii="Andes" w:hAnsi="Andes" w:cs="Arial"/>
          <w:sz w:val="22"/>
          <w:szCs w:val="22"/>
        </w:rPr>
        <w:t xml:space="preserve"> responsabilités</w:t>
      </w:r>
      <w:r w:rsidR="00D63BEA" w:rsidRPr="00AC49D7">
        <w:rPr>
          <w:rFonts w:ascii="Andes" w:hAnsi="Andes" w:cs="Arial"/>
          <w:sz w:val="22"/>
          <w:szCs w:val="22"/>
        </w:rPr>
        <w:t xml:space="preserve"> pour faire baisser le </w:t>
      </w:r>
      <w:r w:rsidR="00B65BC6" w:rsidRPr="00AC49D7">
        <w:rPr>
          <w:rFonts w:ascii="Andes" w:hAnsi="Andes" w:cs="Arial"/>
          <w:sz w:val="22"/>
          <w:szCs w:val="22"/>
        </w:rPr>
        <w:t>prix du marché. Cependant, une réduction importante de l’étendue</w:t>
      </w:r>
      <w:r w:rsidR="00D63BEA" w:rsidRPr="00AC49D7">
        <w:rPr>
          <w:rFonts w:ascii="Andes" w:hAnsi="Andes" w:cs="Arial"/>
          <w:sz w:val="22"/>
          <w:szCs w:val="22"/>
        </w:rPr>
        <w:t xml:space="preserve"> des prestations </w:t>
      </w:r>
      <w:r w:rsidR="00B65BC6" w:rsidRPr="00AC49D7">
        <w:rPr>
          <w:rFonts w:ascii="Andes" w:hAnsi="Andes" w:cs="Arial"/>
          <w:sz w:val="22"/>
          <w:szCs w:val="22"/>
        </w:rPr>
        <w:t>ou une modification des documents contractuels peut</w:t>
      </w:r>
      <w:r w:rsidR="00D63BEA" w:rsidRPr="00AC49D7">
        <w:rPr>
          <w:rFonts w:ascii="Andes" w:hAnsi="Andes" w:cs="Arial"/>
          <w:sz w:val="22"/>
          <w:szCs w:val="22"/>
        </w:rPr>
        <w:t xml:space="preserve"> obliger à relancer </w:t>
      </w:r>
      <w:r w:rsidR="00B65BC6" w:rsidRPr="00AC49D7">
        <w:rPr>
          <w:rFonts w:ascii="Andes" w:hAnsi="Andes" w:cs="Arial"/>
          <w:sz w:val="22"/>
          <w:szCs w:val="22"/>
        </w:rPr>
        <w:t>l’</w:t>
      </w:r>
      <w:r w:rsidR="00C51DF5" w:rsidRPr="00AC49D7">
        <w:rPr>
          <w:rFonts w:ascii="Andes" w:hAnsi="Andes" w:cs="Arial"/>
          <w:sz w:val="22"/>
          <w:szCs w:val="22"/>
        </w:rPr>
        <w:t>Appel d’Offres/ à Propositions</w:t>
      </w:r>
      <w:r w:rsidR="00B65BC6" w:rsidRPr="00AC49D7">
        <w:rPr>
          <w:rFonts w:ascii="Andes" w:hAnsi="Andes" w:cs="Arial"/>
          <w:sz w:val="22"/>
          <w:szCs w:val="22"/>
        </w:rPr>
        <w:t>.</w:t>
      </w:r>
    </w:p>
    <w:p w14:paraId="70FE9AF9" w14:textId="619A67BA" w:rsidR="003554E7" w:rsidRPr="00332FCD" w:rsidRDefault="00381965" w:rsidP="00AE04B1">
      <w:pPr>
        <w:spacing w:before="240" w:line="240" w:lineRule="auto"/>
        <w:contextualSpacing w:val="0"/>
        <w:rPr>
          <w:rFonts w:ascii="Andes" w:hAnsi="Andes" w:cs="Arial"/>
          <w:b/>
          <w:sz w:val="28"/>
          <w:szCs w:val="28"/>
        </w:rPr>
      </w:pPr>
      <w:r w:rsidRPr="00332FCD">
        <w:rPr>
          <w:rFonts w:ascii="Andes" w:hAnsi="Andes" w:cs="Arial"/>
          <w:b/>
          <w:sz w:val="28"/>
          <w:szCs w:val="28"/>
        </w:rPr>
        <w:t xml:space="preserve">Services de Consultants </w:t>
      </w:r>
    </w:p>
    <w:p w14:paraId="728C25BC" w14:textId="78865902" w:rsidR="00CA1864" w:rsidRPr="00332FCD" w:rsidRDefault="00381965" w:rsidP="00882278">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 rejet de toutes les Propositions est justifié (pour les</w:t>
      </w:r>
      <w:r w:rsidR="00992A37" w:rsidRPr="00332FCD">
        <w:rPr>
          <w:rFonts w:ascii="Andes" w:hAnsi="Andes" w:cs="Arial"/>
          <w:sz w:val="22"/>
          <w:szCs w:val="22"/>
        </w:rPr>
        <w:t xml:space="preserve"> contrats soumis à </w:t>
      </w:r>
      <w:r w:rsidRPr="00332FCD">
        <w:rPr>
          <w:rFonts w:ascii="Andes" w:hAnsi="Andes" w:cs="Arial"/>
          <w:sz w:val="22"/>
          <w:szCs w:val="22"/>
        </w:rPr>
        <w:t>examen préalable, avec avis de non-objection de la Banque) lorsque</w:t>
      </w:r>
      <w:r w:rsidR="00730BDF" w:rsidRPr="00332FCD">
        <w:rPr>
          <w:rFonts w:ascii="Calibri" w:hAnsi="Calibri" w:cs="Calibri"/>
          <w:sz w:val="22"/>
          <w:szCs w:val="22"/>
        </w:rPr>
        <w:t> </w:t>
      </w:r>
      <w:r w:rsidR="00730BDF" w:rsidRPr="00332FCD">
        <w:rPr>
          <w:rFonts w:ascii="Andes" w:hAnsi="Andes" w:cs="Arial"/>
          <w:sz w:val="22"/>
          <w:szCs w:val="22"/>
        </w:rPr>
        <w:t>:</w:t>
      </w:r>
    </w:p>
    <w:p w14:paraId="05909C9B" w14:textId="3BB728D1" w:rsidR="00CA1864" w:rsidRPr="00332FCD" w:rsidRDefault="00992A37" w:rsidP="00AE04B1">
      <w:pPr>
        <w:pStyle w:val="Paragraphedeliste"/>
        <w:numPr>
          <w:ilvl w:val="0"/>
          <w:numId w:val="165"/>
        </w:numPr>
        <w:spacing w:before="0" w:line="240" w:lineRule="auto"/>
        <w:contextualSpacing w:val="0"/>
        <w:rPr>
          <w:rFonts w:ascii="Andes" w:eastAsiaTheme="minorHAnsi" w:hAnsi="Andes" w:cs="Arial"/>
          <w:color w:val="000000"/>
          <w:sz w:val="22"/>
          <w:szCs w:val="22"/>
        </w:rPr>
      </w:pPr>
      <w:r w:rsidRPr="00332FCD">
        <w:rPr>
          <w:rFonts w:ascii="Andes" w:hAnsi="Andes" w:cs="Arial"/>
          <w:sz w:val="22"/>
          <w:szCs w:val="22"/>
        </w:rPr>
        <w:t xml:space="preserve">l’ensemble </w:t>
      </w:r>
      <w:r w:rsidR="00381965" w:rsidRPr="00332FCD">
        <w:rPr>
          <w:rFonts w:ascii="Andes" w:hAnsi="Andes" w:cs="Arial"/>
          <w:sz w:val="22"/>
          <w:szCs w:val="22"/>
        </w:rPr>
        <w:t xml:space="preserve">des Propositions </w:t>
      </w:r>
      <w:r w:rsidRPr="00332FCD">
        <w:rPr>
          <w:rFonts w:ascii="Andes" w:hAnsi="Andes" w:cs="Arial"/>
          <w:sz w:val="22"/>
          <w:szCs w:val="22"/>
        </w:rPr>
        <w:t xml:space="preserve">reçues </w:t>
      </w:r>
      <w:r w:rsidR="00381965" w:rsidRPr="00332FCD">
        <w:rPr>
          <w:rFonts w:ascii="Andes" w:hAnsi="Andes" w:cs="Arial"/>
          <w:sz w:val="22"/>
          <w:szCs w:val="22"/>
        </w:rPr>
        <w:t xml:space="preserve">ne répond </w:t>
      </w:r>
      <w:r w:rsidRPr="00332FCD">
        <w:rPr>
          <w:rFonts w:ascii="Andes" w:hAnsi="Andes" w:cs="Arial"/>
          <w:sz w:val="22"/>
          <w:szCs w:val="22"/>
        </w:rPr>
        <w:t xml:space="preserve">pas </w:t>
      </w:r>
      <w:r w:rsidR="00381965" w:rsidRPr="00332FCD">
        <w:rPr>
          <w:rFonts w:ascii="Andes" w:hAnsi="Andes" w:cs="Arial"/>
          <w:sz w:val="22"/>
          <w:szCs w:val="22"/>
        </w:rPr>
        <w:t>à des éléments importants des Termes de référence ou ne les respecte pas sur de nombreux aspects</w:t>
      </w:r>
      <w:r w:rsidR="00730BDF" w:rsidRPr="00332FCD">
        <w:rPr>
          <w:rFonts w:ascii="Calibri" w:hAnsi="Calibri" w:cs="Calibri"/>
          <w:sz w:val="22"/>
          <w:szCs w:val="22"/>
        </w:rPr>
        <w:t> </w:t>
      </w:r>
      <w:r w:rsidR="00730BDF" w:rsidRPr="00332FCD">
        <w:rPr>
          <w:rFonts w:ascii="Andes" w:hAnsi="Andes" w:cs="Arial"/>
          <w:sz w:val="22"/>
          <w:szCs w:val="22"/>
        </w:rPr>
        <w:t>;</w:t>
      </w:r>
      <w:r w:rsidR="00381965" w:rsidRPr="00332FCD">
        <w:rPr>
          <w:rFonts w:ascii="Andes" w:hAnsi="Andes" w:cs="Arial"/>
          <w:sz w:val="22"/>
          <w:szCs w:val="22"/>
        </w:rPr>
        <w:t xml:space="preserve"> </w:t>
      </w:r>
    </w:p>
    <w:p w14:paraId="17D48ACD" w14:textId="7C3EB440" w:rsidR="00CA1864" w:rsidRPr="00332FCD" w:rsidRDefault="00381965" w:rsidP="00AE04B1">
      <w:pPr>
        <w:pStyle w:val="Paragraphedeliste"/>
        <w:numPr>
          <w:ilvl w:val="0"/>
          <w:numId w:val="165"/>
        </w:numPr>
        <w:spacing w:before="0" w:line="240" w:lineRule="auto"/>
        <w:contextualSpacing w:val="0"/>
        <w:rPr>
          <w:rFonts w:ascii="Andes" w:eastAsiaTheme="minorHAnsi" w:hAnsi="Andes" w:cs="Arial"/>
          <w:color w:val="000000"/>
          <w:sz w:val="22"/>
          <w:szCs w:val="22"/>
        </w:rPr>
      </w:pPr>
      <w:r w:rsidRPr="00332FCD">
        <w:rPr>
          <w:rFonts w:ascii="Andes" w:eastAsiaTheme="minorHAnsi" w:hAnsi="Andes" w:cs="Arial"/>
          <w:color w:val="000000"/>
          <w:sz w:val="22"/>
          <w:szCs w:val="22"/>
        </w:rPr>
        <w:t>aucune des Propositions n’atteint</w:t>
      </w:r>
      <w:r w:rsidR="00A74256" w:rsidRPr="00332FCD">
        <w:rPr>
          <w:rFonts w:ascii="Andes" w:eastAsiaTheme="minorHAnsi" w:hAnsi="Andes" w:cs="Arial"/>
          <w:color w:val="000000"/>
          <w:sz w:val="22"/>
          <w:szCs w:val="22"/>
        </w:rPr>
        <w:t xml:space="preserve"> la note </w:t>
      </w:r>
      <w:r w:rsidRPr="00332FCD">
        <w:rPr>
          <w:rFonts w:ascii="Andes" w:eastAsiaTheme="minorHAnsi" w:hAnsi="Andes" w:cs="Arial"/>
          <w:color w:val="000000"/>
          <w:sz w:val="22"/>
          <w:szCs w:val="22"/>
        </w:rPr>
        <w:t>technique minimum</w:t>
      </w:r>
      <w:r w:rsidR="00730BDF" w:rsidRPr="00332FCD">
        <w:rPr>
          <w:rFonts w:ascii="Calibri" w:eastAsiaTheme="minorHAnsi" w:hAnsi="Calibri" w:cs="Calibri"/>
          <w:color w:val="000000"/>
          <w:sz w:val="22"/>
          <w:szCs w:val="22"/>
        </w:rPr>
        <w:t> </w:t>
      </w:r>
      <w:r w:rsidR="00730BDF" w:rsidRPr="00332FCD">
        <w:rPr>
          <w:rFonts w:ascii="Andes" w:eastAsiaTheme="minorHAnsi" w:hAnsi="Andes" w:cs="Arial"/>
          <w:color w:val="000000"/>
          <w:sz w:val="22"/>
          <w:szCs w:val="22"/>
        </w:rPr>
        <w:t>;</w:t>
      </w:r>
      <w:r w:rsidRPr="00332FCD">
        <w:rPr>
          <w:rFonts w:ascii="Andes" w:eastAsiaTheme="minorHAnsi" w:hAnsi="Andes" w:cs="Arial"/>
          <w:color w:val="000000"/>
          <w:sz w:val="22"/>
          <w:szCs w:val="22"/>
        </w:rPr>
        <w:t xml:space="preserve"> ou </w:t>
      </w:r>
    </w:p>
    <w:p w14:paraId="4FDD9F8E" w14:textId="008B9059" w:rsidR="00CA1864" w:rsidRPr="00332FCD" w:rsidRDefault="00381965" w:rsidP="00AE04B1">
      <w:pPr>
        <w:pStyle w:val="Paragraphedeliste"/>
        <w:numPr>
          <w:ilvl w:val="0"/>
          <w:numId w:val="165"/>
        </w:numPr>
        <w:spacing w:before="0" w:line="240" w:lineRule="auto"/>
        <w:contextualSpacing w:val="0"/>
        <w:rPr>
          <w:rFonts w:ascii="Andes" w:hAnsi="Andes" w:cs="Arial"/>
          <w:sz w:val="22"/>
          <w:szCs w:val="22"/>
        </w:rPr>
      </w:pPr>
      <w:r w:rsidRPr="00332FCD">
        <w:rPr>
          <w:rFonts w:ascii="Andes" w:eastAsiaTheme="minorHAnsi" w:hAnsi="Andes" w:cs="Arial"/>
          <w:color w:val="000000"/>
          <w:sz w:val="22"/>
          <w:szCs w:val="22"/>
        </w:rPr>
        <w:t xml:space="preserve">le prix offert dans la Proposition retenue dépasse nettement le budget disponible ou le coût estimatif récemment actualisé. </w:t>
      </w:r>
    </w:p>
    <w:p w14:paraId="043EF690" w14:textId="2C720FAA" w:rsidR="003554E7" w:rsidRPr="00332FCD" w:rsidRDefault="00992A37" w:rsidP="00882278">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S’agissant </w:t>
      </w:r>
      <w:r w:rsidR="00381965" w:rsidRPr="00332FCD">
        <w:rPr>
          <w:rFonts w:ascii="Andes" w:hAnsi="Andes" w:cs="Arial"/>
          <w:sz w:val="22"/>
          <w:szCs w:val="22"/>
        </w:rPr>
        <w:t xml:space="preserve">du </w:t>
      </w:r>
      <w:r w:rsidR="00F43E5A" w:rsidRPr="00332FCD">
        <w:rPr>
          <w:rFonts w:ascii="Andes" w:hAnsi="Andes" w:cs="Arial"/>
          <w:sz w:val="22"/>
          <w:szCs w:val="22"/>
        </w:rPr>
        <w:t>paragraphe</w:t>
      </w:r>
      <w:r w:rsidR="00F43E5A" w:rsidRPr="00332FCD">
        <w:rPr>
          <w:rFonts w:ascii="Calibri" w:hAnsi="Calibri" w:cs="Calibri"/>
          <w:sz w:val="22"/>
          <w:szCs w:val="22"/>
        </w:rPr>
        <w:t> </w:t>
      </w:r>
      <w:r w:rsidR="00CA1864" w:rsidRPr="00332FCD">
        <w:rPr>
          <w:rFonts w:ascii="Andes" w:hAnsi="Andes" w:cs="Arial"/>
          <w:sz w:val="22"/>
          <w:szCs w:val="22"/>
        </w:rPr>
        <w:t>5.</w:t>
      </w:r>
      <w:r w:rsidR="00CA6899" w:rsidRPr="00332FCD">
        <w:rPr>
          <w:rFonts w:ascii="Andes" w:hAnsi="Andes" w:cs="Arial"/>
          <w:sz w:val="22"/>
          <w:szCs w:val="22"/>
        </w:rPr>
        <w:t>6</w:t>
      </w:r>
      <w:r w:rsidR="007F66BD">
        <w:rPr>
          <w:rFonts w:ascii="Andes" w:hAnsi="Andes" w:cs="Arial"/>
          <w:sz w:val="22"/>
          <w:szCs w:val="22"/>
        </w:rPr>
        <w:t>3</w:t>
      </w:r>
      <w:r w:rsidR="00594C00" w:rsidRPr="00332FCD">
        <w:rPr>
          <w:rFonts w:ascii="Andes" w:hAnsi="Andes" w:cs="Arial"/>
          <w:sz w:val="22"/>
          <w:szCs w:val="22"/>
        </w:rPr>
        <w:t xml:space="preserve"> </w:t>
      </w:r>
      <w:r w:rsidR="006934A1" w:rsidRPr="00332FCD">
        <w:rPr>
          <w:rFonts w:ascii="Andes" w:hAnsi="Andes" w:cs="Arial"/>
          <w:sz w:val="22"/>
          <w:szCs w:val="22"/>
        </w:rPr>
        <w:t>c.</w:t>
      </w:r>
      <w:r w:rsidR="008528FD" w:rsidRPr="00332FCD">
        <w:rPr>
          <w:rFonts w:ascii="Andes" w:hAnsi="Andes" w:cs="Arial"/>
          <w:sz w:val="22"/>
          <w:szCs w:val="22"/>
        </w:rPr>
        <w:t xml:space="preserve"> ci-dessus</w:t>
      </w:r>
      <w:r w:rsidR="003554E7" w:rsidRPr="00332FCD">
        <w:rPr>
          <w:rFonts w:ascii="Andes" w:hAnsi="Andes" w:cs="Arial"/>
          <w:sz w:val="22"/>
          <w:szCs w:val="22"/>
        </w:rPr>
        <w:t xml:space="preserve">, </w:t>
      </w:r>
      <w:r w:rsidR="008528FD" w:rsidRPr="00332FCD">
        <w:rPr>
          <w:rFonts w:ascii="Andes" w:hAnsi="Andes" w:cs="Arial"/>
          <w:sz w:val="22"/>
          <w:szCs w:val="22"/>
        </w:rPr>
        <w:t>au lieu de solliciter de nouvelles Propositions, l’Emprunteur, en consultation avec la Banque, examine la possibilité d’accroître le budget ou de réduire l’étendue des services du Consultant. Toutefois, toute réduction</w:t>
      </w:r>
      <w:r w:rsidRPr="00332FCD">
        <w:rPr>
          <w:rFonts w:ascii="Andes" w:hAnsi="Andes" w:cs="Arial"/>
          <w:sz w:val="22"/>
          <w:szCs w:val="22"/>
        </w:rPr>
        <w:t xml:space="preserve"> substantielle </w:t>
      </w:r>
      <w:r w:rsidR="008528FD" w:rsidRPr="00332FCD">
        <w:rPr>
          <w:rFonts w:ascii="Andes" w:hAnsi="Andes" w:cs="Arial"/>
          <w:sz w:val="22"/>
          <w:szCs w:val="22"/>
        </w:rPr>
        <w:t>de l’étendue de ces services oblige à solliciter de nouvelles Propositions. Si le coût</w:t>
      </w:r>
      <w:r w:rsidRPr="00332FCD">
        <w:rPr>
          <w:rFonts w:ascii="Andes" w:hAnsi="Andes" w:cs="Arial"/>
          <w:sz w:val="22"/>
          <w:szCs w:val="22"/>
        </w:rPr>
        <w:t xml:space="preserve"> entre en jeu </w:t>
      </w:r>
      <w:r w:rsidR="008528FD" w:rsidRPr="00332FCD">
        <w:rPr>
          <w:rFonts w:ascii="Andes" w:hAnsi="Andes" w:cs="Arial"/>
          <w:sz w:val="22"/>
          <w:szCs w:val="22"/>
        </w:rPr>
        <w:t xml:space="preserve">dans l’évaluation d’un contrat basé sur le temps, </w:t>
      </w:r>
      <w:r w:rsidR="003B0D68" w:rsidRPr="00332FCD">
        <w:rPr>
          <w:rFonts w:ascii="Andes" w:hAnsi="Andes" w:cs="Arial"/>
          <w:sz w:val="22"/>
          <w:szCs w:val="22"/>
        </w:rPr>
        <w:t>il est possible de négocier le nombre de mois de travail proposé par le Consultant, sous réserve que tout changement en la matière ne compromette pas la qualité des prestations</w:t>
      </w:r>
      <w:r w:rsidRPr="00332FCD">
        <w:rPr>
          <w:rFonts w:ascii="Andes" w:hAnsi="Andes" w:cs="Arial"/>
          <w:sz w:val="22"/>
          <w:szCs w:val="22"/>
        </w:rPr>
        <w:t xml:space="preserve"> ni </w:t>
      </w:r>
      <w:r w:rsidR="003B0D68" w:rsidRPr="00332FCD">
        <w:rPr>
          <w:rFonts w:ascii="Andes" w:hAnsi="Andes" w:cs="Arial"/>
          <w:sz w:val="22"/>
          <w:szCs w:val="22"/>
        </w:rPr>
        <w:t xml:space="preserve">ne nuise à la mission. </w:t>
      </w:r>
    </w:p>
    <w:p w14:paraId="7E859BF8" w14:textId="1CC67708" w:rsidR="00264C1A" w:rsidRPr="00332FCD" w:rsidRDefault="00DF65F4" w:rsidP="007B600F">
      <w:pPr>
        <w:pStyle w:val="Style2"/>
        <w:keepNext/>
        <w:keepLines/>
        <w:widowControl/>
        <w:tabs>
          <w:tab w:val="left" w:pos="1710"/>
        </w:tabs>
        <w:autoSpaceDE/>
        <w:autoSpaceDN/>
        <w:adjustRightInd/>
        <w:spacing w:before="240" w:after="120"/>
        <w:ind w:left="-23"/>
        <w:contextualSpacing w:val="0"/>
        <w:jc w:val="left"/>
        <w:outlineLvl w:val="0"/>
        <w:rPr>
          <w:rFonts w:ascii="Andes" w:eastAsiaTheme="majorEastAsia" w:hAnsi="Andes" w:cstheme="majorBidi"/>
          <w:bCs w:val="0"/>
          <w:color w:val="C45911"/>
          <w:sz w:val="32"/>
          <w:szCs w:val="32"/>
        </w:rPr>
      </w:pPr>
      <w:bookmarkStart w:id="2527" w:name="_Toc453170881"/>
      <w:bookmarkStart w:id="2528" w:name="_Toc453544303"/>
      <w:r w:rsidRPr="00332FCD">
        <w:rPr>
          <w:rFonts w:ascii="Andes" w:eastAsiaTheme="majorEastAsia" w:hAnsi="Andes" w:cstheme="majorBidi"/>
          <w:bCs w:val="0"/>
          <w:color w:val="C45911"/>
          <w:sz w:val="32"/>
          <w:szCs w:val="32"/>
        </w:rPr>
        <w:t>Offre</w:t>
      </w:r>
      <w:r w:rsidR="00123CED" w:rsidRPr="00332FCD">
        <w:rPr>
          <w:rFonts w:ascii="Andes" w:eastAsiaTheme="majorEastAsia" w:hAnsi="Andes" w:cstheme="majorBidi"/>
          <w:bCs w:val="0"/>
          <w:color w:val="C45911"/>
          <w:sz w:val="32"/>
          <w:szCs w:val="32"/>
        </w:rPr>
        <w:t>s</w:t>
      </w:r>
      <w:r w:rsidRPr="00332FCD">
        <w:rPr>
          <w:rFonts w:ascii="Andes" w:eastAsiaTheme="majorEastAsia" w:hAnsi="Andes" w:cstheme="majorBidi"/>
          <w:bCs w:val="0"/>
          <w:color w:val="C45911"/>
          <w:sz w:val="32"/>
          <w:szCs w:val="32"/>
        </w:rPr>
        <w:t>/Proposition</w:t>
      </w:r>
      <w:r w:rsidR="00123CED" w:rsidRPr="00332FCD">
        <w:rPr>
          <w:rFonts w:ascii="Andes" w:eastAsiaTheme="majorEastAsia" w:hAnsi="Andes" w:cstheme="majorBidi"/>
          <w:bCs w:val="0"/>
          <w:color w:val="C45911"/>
          <w:sz w:val="32"/>
          <w:szCs w:val="32"/>
        </w:rPr>
        <w:t>s fortement déséquilibrées</w:t>
      </w:r>
      <w:r w:rsidRPr="00332FCD">
        <w:rPr>
          <w:rFonts w:ascii="Andes" w:eastAsiaTheme="majorEastAsia" w:hAnsi="Andes" w:cstheme="majorBidi"/>
          <w:bCs w:val="0"/>
          <w:color w:val="C45911"/>
          <w:sz w:val="32"/>
          <w:szCs w:val="32"/>
        </w:rPr>
        <w:t xml:space="preserve"> </w:t>
      </w:r>
      <w:r w:rsidR="006F3DC2" w:rsidRPr="00332FCD">
        <w:rPr>
          <w:rFonts w:ascii="Andes" w:eastAsiaTheme="majorEastAsia" w:hAnsi="Andes" w:cstheme="majorBidi"/>
          <w:bCs w:val="0"/>
          <w:color w:val="C45911"/>
          <w:sz w:val="32"/>
          <w:szCs w:val="32"/>
        </w:rPr>
        <w:t xml:space="preserve">avec </w:t>
      </w:r>
      <w:r w:rsidRPr="00332FCD">
        <w:rPr>
          <w:rFonts w:ascii="Andes" w:eastAsiaTheme="majorEastAsia" w:hAnsi="Andes" w:cstheme="majorBidi"/>
          <w:bCs w:val="0"/>
          <w:color w:val="C45911"/>
          <w:sz w:val="32"/>
          <w:szCs w:val="32"/>
        </w:rPr>
        <w:t>concentration de</w:t>
      </w:r>
      <w:r w:rsidR="00992A37" w:rsidRPr="00332FCD">
        <w:rPr>
          <w:rFonts w:ascii="Andes" w:eastAsiaTheme="majorEastAsia" w:hAnsi="Andes" w:cstheme="majorBidi"/>
          <w:bCs w:val="0"/>
          <w:color w:val="C45911"/>
          <w:sz w:val="32"/>
          <w:szCs w:val="32"/>
        </w:rPr>
        <w:t xml:space="preserve"> décaissements </w:t>
      </w:r>
      <w:r w:rsidRPr="00332FCD">
        <w:rPr>
          <w:rFonts w:ascii="Andes" w:eastAsiaTheme="majorEastAsia" w:hAnsi="Andes" w:cstheme="majorBidi"/>
          <w:bCs w:val="0"/>
          <w:color w:val="C45911"/>
          <w:sz w:val="32"/>
          <w:szCs w:val="32"/>
        </w:rPr>
        <w:t xml:space="preserve">en début de période </w:t>
      </w:r>
      <w:bookmarkEnd w:id="2527"/>
      <w:bookmarkEnd w:id="2528"/>
    </w:p>
    <w:p w14:paraId="66BD78FF" w14:textId="6AF909ED" w:rsidR="00CA1864" w:rsidRPr="00332FCD" w:rsidRDefault="00DF65F4" w:rsidP="00AE04B1">
      <w:pPr>
        <w:pStyle w:val="Paragraphedeliste"/>
        <w:spacing w:before="0" w:line="240" w:lineRule="auto"/>
        <w:contextualSpacing w:val="0"/>
        <w:rPr>
          <w:rFonts w:ascii="Andes" w:hAnsi="Andes" w:cs="Arial"/>
          <w:szCs w:val="24"/>
        </w:rPr>
      </w:pPr>
      <w:r w:rsidRPr="00332FCD">
        <w:rPr>
          <w:rFonts w:ascii="Andes" w:hAnsi="Andes" w:cs="Arial"/>
          <w:b/>
          <w:sz w:val="28"/>
          <w:szCs w:val="28"/>
        </w:rPr>
        <w:t xml:space="preserve">Travaux et </w:t>
      </w:r>
      <w:r w:rsidR="006A3AC5" w:rsidRPr="00332FCD">
        <w:rPr>
          <w:rFonts w:ascii="Andes" w:hAnsi="Andes" w:cs="Arial"/>
          <w:b/>
          <w:sz w:val="28"/>
          <w:szCs w:val="28"/>
        </w:rPr>
        <w:t>Installations</w:t>
      </w:r>
    </w:p>
    <w:p w14:paraId="0DD7AAE0" w14:textId="7D4EB7FC" w:rsidR="00264C1A" w:rsidRPr="00332FCD" w:rsidRDefault="00DF65F4" w:rsidP="00882278">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Pour les Travaux et </w:t>
      </w:r>
      <w:r w:rsidR="006A3AC5" w:rsidRPr="00332FCD">
        <w:rPr>
          <w:rFonts w:ascii="Andes" w:hAnsi="Andes" w:cs="Arial"/>
          <w:sz w:val="22"/>
          <w:szCs w:val="22"/>
        </w:rPr>
        <w:t>Installations</w:t>
      </w:r>
      <w:r w:rsidR="00264C1A" w:rsidRPr="00332FCD">
        <w:rPr>
          <w:rFonts w:ascii="Andes" w:hAnsi="Andes" w:cs="Arial"/>
          <w:sz w:val="22"/>
          <w:szCs w:val="22"/>
        </w:rPr>
        <w:t xml:space="preserve">, </w:t>
      </w:r>
      <w:r w:rsidR="009564E1" w:rsidRPr="00332FCD">
        <w:rPr>
          <w:rFonts w:ascii="Andes" w:hAnsi="Andes" w:cs="Arial"/>
          <w:sz w:val="22"/>
          <w:szCs w:val="22"/>
        </w:rPr>
        <w:t>si l’Offre ou la Proposition, de l’avis de l</w:t>
      </w:r>
      <w:r w:rsidR="006F3DC2" w:rsidRPr="00332FCD">
        <w:rPr>
          <w:rFonts w:ascii="Andes" w:hAnsi="Andes" w:cs="Arial"/>
          <w:sz w:val="22"/>
          <w:szCs w:val="22"/>
        </w:rPr>
        <w:t>’</w:t>
      </w:r>
      <w:r w:rsidR="009564E1" w:rsidRPr="00332FCD">
        <w:rPr>
          <w:rFonts w:ascii="Andes" w:hAnsi="Andes" w:cs="Arial"/>
          <w:sz w:val="22"/>
          <w:szCs w:val="22"/>
        </w:rPr>
        <w:t>Emprunteur,</w:t>
      </w:r>
      <w:r w:rsidR="00992A37" w:rsidRPr="00332FCD">
        <w:rPr>
          <w:rFonts w:ascii="Andes" w:hAnsi="Andes" w:cs="Arial"/>
          <w:sz w:val="22"/>
          <w:szCs w:val="22"/>
        </w:rPr>
        <w:t xml:space="preserve"> </w:t>
      </w:r>
      <w:r w:rsidR="00106B76">
        <w:rPr>
          <w:rFonts w:ascii="Andes" w:hAnsi="Andes" w:cs="Arial"/>
          <w:sz w:val="22"/>
          <w:szCs w:val="22"/>
        </w:rPr>
        <w:t xml:space="preserve">est </w:t>
      </w:r>
      <w:r w:rsidR="00353BE6">
        <w:rPr>
          <w:rFonts w:ascii="Andes" w:hAnsi="Andes" w:cs="Arial"/>
          <w:sz w:val="22"/>
          <w:szCs w:val="22"/>
        </w:rPr>
        <w:t>sérieusement</w:t>
      </w:r>
      <w:r w:rsidR="006A046A">
        <w:rPr>
          <w:rFonts w:ascii="Andes" w:hAnsi="Andes" w:cs="Arial"/>
          <w:sz w:val="22"/>
          <w:szCs w:val="22"/>
        </w:rPr>
        <w:t xml:space="preserve"> </w:t>
      </w:r>
      <w:r w:rsidR="007F72B8">
        <w:rPr>
          <w:rFonts w:ascii="Andes" w:hAnsi="Andes" w:cs="Arial"/>
          <w:sz w:val="22"/>
          <w:szCs w:val="22"/>
        </w:rPr>
        <w:t>sous-estimée</w:t>
      </w:r>
      <w:r w:rsidR="006A046A">
        <w:rPr>
          <w:rFonts w:ascii="Andes" w:hAnsi="Andes" w:cs="Arial"/>
          <w:sz w:val="22"/>
          <w:szCs w:val="22"/>
        </w:rPr>
        <w:t xml:space="preserve"> </w:t>
      </w:r>
      <w:r w:rsidR="001520E1">
        <w:rPr>
          <w:rFonts w:ascii="Andes" w:hAnsi="Andes" w:cs="Arial"/>
          <w:sz w:val="22"/>
          <w:szCs w:val="22"/>
        </w:rPr>
        <w:t xml:space="preserve">ou </w:t>
      </w:r>
      <w:r w:rsidR="00B831C0">
        <w:rPr>
          <w:rFonts w:ascii="Andes" w:hAnsi="Andes" w:cs="Arial"/>
          <w:sz w:val="22"/>
          <w:szCs w:val="22"/>
        </w:rPr>
        <w:t xml:space="preserve">comporte </w:t>
      </w:r>
      <w:r w:rsidR="00992A37" w:rsidRPr="00332FCD">
        <w:rPr>
          <w:rFonts w:ascii="Andes" w:hAnsi="Andes" w:cs="Arial"/>
          <w:sz w:val="22"/>
          <w:szCs w:val="22"/>
        </w:rPr>
        <w:t xml:space="preserve">des décaissements </w:t>
      </w:r>
      <w:r w:rsidR="00B831C0">
        <w:rPr>
          <w:rFonts w:ascii="Andes" w:hAnsi="Andes" w:cs="Arial"/>
          <w:sz w:val="22"/>
          <w:szCs w:val="22"/>
        </w:rPr>
        <w:t>disp</w:t>
      </w:r>
      <w:r w:rsidR="006A046A">
        <w:rPr>
          <w:rFonts w:ascii="Andes" w:hAnsi="Andes" w:cs="Arial"/>
          <w:sz w:val="22"/>
          <w:szCs w:val="22"/>
        </w:rPr>
        <w:t xml:space="preserve">roportionnés </w:t>
      </w:r>
      <w:r w:rsidR="009564E1" w:rsidRPr="00332FCD">
        <w:rPr>
          <w:rFonts w:ascii="Andes" w:hAnsi="Andes" w:cs="Arial"/>
          <w:sz w:val="22"/>
          <w:szCs w:val="22"/>
        </w:rPr>
        <w:t>en début de période, l’</w:t>
      </w:r>
      <w:r w:rsidR="009E3154" w:rsidRPr="00332FCD">
        <w:rPr>
          <w:rFonts w:ascii="Andes" w:hAnsi="Andes" w:cs="Arial"/>
          <w:sz w:val="22"/>
          <w:szCs w:val="22"/>
        </w:rPr>
        <w:t xml:space="preserve">Emprunteur </w:t>
      </w:r>
      <w:r w:rsidR="009564E1" w:rsidRPr="00332FCD">
        <w:rPr>
          <w:rFonts w:ascii="Andes" w:hAnsi="Andes" w:cs="Arial"/>
          <w:sz w:val="22"/>
          <w:szCs w:val="22"/>
        </w:rPr>
        <w:t>peut exiger du Soumissionnaire</w:t>
      </w:r>
      <w:r w:rsidR="00255143">
        <w:rPr>
          <w:rFonts w:ascii="Andes" w:hAnsi="Andes" w:cs="Arial"/>
          <w:sz w:val="22"/>
          <w:szCs w:val="22"/>
        </w:rPr>
        <w:t>/Proposant</w:t>
      </w:r>
      <w:r w:rsidR="009564E1" w:rsidRPr="00332FCD">
        <w:rPr>
          <w:rFonts w:ascii="Andes" w:hAnsi="Andes" w:cs="Arial"/>
          <w:sz w:val="22"/>
          <w:szCs w:val="22"/>
        </w:rPr>
        <w:t xml:space="preserve"> qu’il fournisse des précisions écrites</w:t>
      </w:r>
      <w:r w:rsidR="009E3154" w:rsidRPr="00332FCD">
        <w:rPr>
          <w:rFonts w:ascii="Andes" w:hAnsi="Andes" w:cs="Arial"/>
          <w:sz w:val="22"/>
          <w:szCs w:val="22"/>
        </w:rPr>
        <w:t>,</w:t>
      </w:r>
      <w:r w:rsidR="00992A37" w:rsidRPr="00332FCD">
        <w:rPr>
          <w:rFonts w:ascii="Andes" w:hAnsi="Andes" w:cs="Arial"/>
          <w:sz w:val="22"/>
          <w:szCs w:val="22"/>
        </w:rPr>
        <w:t xml:space="preserve"> notamment sous forme d’une </w:t>
      </w:r>
      <w:r w:rsidR="009E3154" w:rsidRPr="00332FCD">
        <w:rPr>
          <w:rFonts w:ascii="Andes" w:hAnsi="Andes" w:cs="Arial"/>
          <w:sz w:val="22"/>
          <w:szCs w:val="22"/>
        </w:rPr>
        <w:t>analyse détaillée des prix pour démontrer</w:t>
      </w:r>
      <w:r w:rsidR="00992A37" w:rsidRPr="00332FCD">
        <w:rPr>
          <w:rFonts w:ascii="Andes" w:hAnsi="Andes" w:cs="Arial"/>
          <w:sz w:val="22"/>
          <w:szCs w:val="22"/>
        </w:rPr>
        <w:t xml:space="preserve"> que les dépenses </w:t>
      </w:r>
      <w:r w:rsidR="009E3154" w:rsidRPr="00332FCD">
        <w:rPr>
          <w:rFonts w:ascii="Andes" w:hAnsi="Andes" w:cs="Arial"/>
          <w:sz w:val="22"/>
          <w:szCs w:val="22"/>
        </w:rPr>
        <w:t xml:space="preserve">correspondent bien à l’étendue des Travaux, aux méthodes envisagées et au calendrier prévu. </w:t>
      </w:r>
      <w:r w:rsidR="009E3154" w:rsidRPr="00332FCD">
        <w:rPr>
          <w:rFonts w:ascii="Andes" w:hAnsi="Andes" w:cs="Arial"/>
          <w:sz w:val="22"/>
          <w:szCs w:val="22"/>
        </w:rPr>
        <w:lastRenderedPageBreak/>
        <w:t>Après</w:t>
      </w:r>
      <w:r w:rsidR="00992A37" w:rsidRPr="00332FCD">
        <w:rPr>
          <w:rFonts w:ascii="Andes" w:hAnsi="Andes" w:cs="Arial"/>
          <w:sz w:val="22"/>
          <w:szCs w:val="22"/>
        </w:rPr>
        <w:t xml:space="preserve"> examen de </w:t>
      </w:r>
      <w:r w:rsidR="00522E6B" w:rsidRPr="00332FCD">
        <w:rPr>
          <w:rFonts w:ascii="Andes" w:hAnsi="Andes" w:cs="Arial"/>
          <w:sz w:val="22"/>
          <w:szCs w:val="22"/>
        </w:rPr>
        <w:t>la</w:t>
      </w:r>
      <w:r w:rsidR="009E3154" w:rsidRPr="00332FCD">
        <w:rPr>
          <w:rFonts w:ascii="Andes" w:hAnsi="Andes" w:cs="Arial"/>
          <w:sz w:val="22"/>
          <w:szCs w:val="22"/>
        </w:rPr>
        <w:t>dite analyse (pour les marchés</w:t>
      </w:r>
      <w:r w:rsidR="00992A37" w:rsidRPr="00332FCD">
        <w:rPr>
          <w:rFonts w:ascii="Andes" w:hAnsi="Andes" w:cs="Arial"/>
          <w:sz w:val="22"/>
          <w:szCs w:val="22"/>
        </w:rPr>
        <w:t xml:space="preserve"> soumis à </w:t>
      </w:r>
      <w:r w:rsidR="00522E6B" w:rsidRPr="00332FCD">
        <w:rPr>
          <w:rFonts w:ascii="Andes" w:hAnsi="Andes" w:cs="Arial"/>
          <w:sz w:val="22"/>
          <w:szCs w:val="22"/>
        </w:rPr>
        <w:t xml:space="preserve">examen </w:t>
      </w:r>
      <w:r w:rsidR="009E3154" w:rsidRPr="00332FCD">
        <w:rPr>
          <w:rFonts w:ascii="Andes" w:hAnsi="Andes" w:cs="Arial"/>
          <w:sz w:val="22"/>
          <w:szCs w:val="22"/>
        </w:rPr>
        <w:t>préalable</w:t>
      </w:r>
      <w:r w:rsidR="00522E6B" w:rsidRPr="00332FCD">
        <w:rPr>
          <w:rFonts w:ascii="Andes" w:hAnsi="Andes" w:cs="Arial"/>
          <w:sz w:val="22"/>
          <w:szCs w:val="22"/>
        </w:rPr>
        <w:t>,</w:t>
      </w:r>
      <w:r w:rsidR="009E3154" w:rsidRPr="00332FCD">
        <w:rPr>
          <w:rFonts w:ascii="Andes" w:hAnsi="Andes" w:cs="Arial"/>
          <w:sz w:val="22"/>
          <w:szCs w:val="22"/>
        </w:rPr>
        <w:t xml:space="preserve"> avec avis de non-objection de la </w:t>
      </w:r>
      <w:r w:rsidR="00522E6B" w:rsidRPr="00332FCD">
        <w:rPr>
          <w:rFonts w:ascii="Andes" w:hAnsi="Andes" w:cs="Arial"/>
          <w:sz w:val="22"/>
          <w:szCs w:val="22"/>
        </w:rPr>
        <w:t>Banque), l’Emprunteur peut, selon les cas</w:t>
      </w:r>
      <w:r w:rsidR="00730BDF" w:rsidRPr="00332FCD">
        <w:rPr>
          <w:rFonts w:ascii="Calibri" w:hAnsi="Calibri" w:cs="Calibri"/>
          <w:sz w:val="22"/>
          <w:szCs w:val="22"/>
        </w:rPr>
        <w:t> </w:t>
      </w:r>
      <w:r w:rsidR="00730BDF" w:rsidRPr="00332FCD">
        <w:rPr>
          <w:rFonts w:ascii="Andes" w:hAnsi="Andes" w:cs="Arial"/>
          <w:sz w:val="22"/>
          <w:szCs w:val="22"/>
        </w:rPr>
        <w:t>:</w:t>
      </w:r>
      <w:r w:rsidR="00522E6B" w:rsidRPr="00332FCD">
        <w:rPr>
          <w:rFonts w:ascii="Andes" w:hAnsi="Andes" w:cs="Arial"/>
          <w:sz w:val="22"/>
          <w:szCs w:val="22"/>
        </w:rPr>
        <w:t xml:space="preserve"> </w:t>
      </w:r>
    </w:p>
    <w:p w14:paraId="25C31DDB" w14:textId="1F9CF040" w:rsidR="00264C1A" w:rsidRPr="00332FCD" w:rsidRDefault="00522E6B" w:rsidP="00AE04B1">
      <w:pPr>
        <w:pStyle w:val="Paragraphedeliste"/>
        <w:numPr>
          <w:ilvl w:val="0"/>
          <w:numId w:val="166"/>
        </w:numPr>
        <w:spacing w:before="0" w:line="240" w:lineRule="auto"/>
        <w:contextualSpacing w:val="0"/>
        <w:rPr>
          <w:rFonts w:ascii="Andes" w:hAnsi="Andes" w:cs="Arial"/>
          <w:sz w:val="22"/>
          <w:szCs w:val="22"/>
        </w:rPr>
      </w:pPr>
      <w:r w:rsidRPr="00332FCD">
        <w:rPr>
          <w:rFonts w:ascii="Andes" w:hAnsi="Andes" w:cs="Arial"/>
          <w:sz w:val="22"/>
          <w:szCs w:val="22"/>
        </w:rPr>
        <w:t>accepter l’Offre ou la Proposition</w:t>
      </w:r>
      <w:r w:rsidR="004544CB" w:rsidRPr="00332FCD">
        <w:rPr>
          <w:rFonts w:ascii="Calibri" w:hAnsi="Calibri" w:cs="Arial"/>
          <w:sz w:val="22"/>
          <w:szCs w:val="22"/>
        </w:rPr>
        <w:t> ;</w:t>
      </w:r>
    </w:p>
    <w:p w14:paraId="495D232A" w14:textId="70C563EB" w:rsidR="00264C1A" w:rsidRPr="00332FCD" w:rsidRDefault="007D4969" w:rsidP="00AE04B1">
      <w:pPr>
        <w:pStyle w:val="Paragraphedeliste"/>
        <w:numPr>
          <w:ilvl w:val="0"/>
          <w:numId w:val="166"/>
        </w:numPr>
        <w:spacing w:before="0" w:line="240" w:lineRule="auto"/>
        <w:contextualSpacing w:val="0"/>
        <w:rPr>
          <w:rFonts w:ascii="Andes" w:hAnsi="Andes" w:cs="Arial"/>
          <w:sz w:val="22"/>
          <w:szCs w:val="22"/>
        </w:rPr>
      </w:pPr>
      <w:r w:rsidRPr="00332FCD">
        <w:rPr>
          <w:rFonts w:ascii="Andes" w:hAnsi="Andes" w:cs="Arial"/>
          <w:sz w:val="22"/>
          <w:szCs w:val="22"/>
        </w:rPr>
        <w:t>demander que le montant total de la garantie de bonne exécution soit relevé, aux frais du Soumissionnaire/Proposant, à un niveau ne pouvant excéder vingt pour cent</w:t>
      </w:r>
      <w:r w:rsidRPr="00332FCD">
        <w:rPr>
          <w:rFonts w:ascii="Calibri" w:hAnsi="Calibri" w:cs="Arial"/>
          <w:sz w:val="22"/>
          <w:szCs w:val="22"/>
        </w:rPr>
        <w:t> </w:t>
      </w:r>
      <w:r w:rsidRPr="00332FCD">
        <w:rPr>
          <w:rFonts w:ascii="Andes" w:hAnsi="Andes" w:cs="Arial"/>
          <w:sz w:val="22"/>
          <w:szCs w:val="22"/>
        </w:rPr>
        <w:t>(20</w:t>
      </w:r>
      <w:r w:rsidRPr="00332FCD">
        <w:rPr>
          <w:rFonts w:ascii="Calibri" w:hAnsi="Calibri" w:cs="Arial"/>
          <w:sz w:val="22"/>
          <w:szCs w:val="22"/>
        </w:rPr>
        <w:t> </w:t>
      </w:r>
      <w:r w:rsidRPr="00332FCD">
        <w:rPr>
          <w:rFonts w:ascii="Andes" w:hAnsi="Andes" w:cs="Arial"/>
          <w:sz w:val="22"/>
          <w:szCs w:val="22"/>
        </w:rPr>
        <w:t>%) du prix du marché</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ou </w:t>
      </w:r>
    </w:p>
    <w:p w14:paraId="151ADC79" w14:textId="3BF6AC11" w:rsidR="00264C1A" w:rsidRPr="00C07243" w:rsidRDefault="007D4969" w:rsidP="00AE04B1">
      <w:pPr>
        <w:pStyle w:val="Paragraphedeliste"/>
        <w:numPr>
          <w:ilvl w:val="0"/>
          <w:numId w:val="166"/>
        </w:numPr>
        <w:spacing w:before="0" w:line="240" w:lineRule="auto"/>
        <w:contextualSpacing w:val="0"/>
        <w:rPr>
          <w:rFonts w:ascii="Andes" w:eastAsiaTheme="minorHAnsi" w:hAnsi="Andes" w:cs="Arial"/>
          <w:color w:val="000000"/>
          <w:sz w:val="22"/>
          <w:szCs w:val="22"/>
        </w:rPr>
      </w:pPr>
      <w:r w:rsidRPr="00332FCD">
        <w:rPr>
          <w:rFonts w:ascii="Andes" w:hAnsi="Andes" w:cs="Arial"/>
          <w:sz w:val="22"/>
          <w:szCs w:val="22"/>
        </w:rPr>
        <w:t xml:space="preserve">rejeter l’Offre ou la Proposition. </w:t>
      </w:r>
    </w:p>
    <w:p w14:paraId="4288DC1B" w14:textId="3CF8200E" w:rsidR="00194FDC" w:rsidRPr="00332FCD" w:rsidRDefault="007D4969" w:rsidP="00AE04B1">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2529" w:name="_Toc453170882"/>
      <w:bookmarkStart w:id="2530" w:name="_Toc453544304"/>
      <w:r w:rsidRPr="00332FCD">
        <w:rPr>
          <w:rFonts w:ascii="Andes" w:eastAsiaTheme="majorEastAsia" w:hAnsi="Andes" w:cstheme="majorBidi"/>
          <w:bCs w:val="0"/>
          <w:color w:val="C45911"/>
          <w:sz w:val="32"/>
          <w:szCs w:val="32"/>
        </w:rPr>
        <w:t xml:space="preserve">Offres/Propositions anormalement basses </w:t>
      </w:r>
      <w:bookmarkEnd w:id="2529"/>
      <w:bookmarkEnd w:id="2530"/>
    </w:p>
    <w:p w14:paraId="1770E2F5" w14:textId="2F6D3000" w:rsidR="00895A6F" w:rsidRPr="00332FCD" w:rsidRDefault="007D4969" w:rsidP="00AE04B1">
      <w:pPr>
        <w:pStyle w:val="Paragraphedeliste"/>
        <w:spacing w:line="240" w:lineRule="auto"/>
        <w:contextualSpacing w:val="0"/>
        <w:rPr>
          <w:rFonts w:ascii="Andes" w:hAnsi="Andes" w:cs="Arial"/>
          <w:b/>
          <w:sz w:val="28"/>
          <w:szCs w:val="28"/>
        </w:rPr>
      </w:pPr>
      <w:r w:rsidRPr="00332FCD">
        <w:rPr>
          <w:rFonts w:ascii="Andes" w:hAnsi="Andes" w:cs="Arial"/>
          <w:b/>
          <w:sz w:val="28"/>
          <w:szCs w:val="28"/>
        </w:rPr>
        <w:t xml:space="preserve">Fournitures, Travaux et Services Autres que Services de Consultants </w:t>
      </w:r>
    </w:p>
    <w:p w14:paraId="60BFA11A" w14:textId="3C5B9106" w:rsidR="00BF3A04" w:rsidRPr="00332FCD" w:rsidRDefault="00992A37" w:rsidP="00882278">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Une </w:t>
      </w:r>
      <w:r w:rsidR="00916C44" w:rsidRPr="00332FCD">
        <w:rPr>
          <w:rFonts w:ascii="Andes" w:hAnsi="Andes" w:cs="Arial"/>
          <w:sz w:val="22"/>
          <w:szCs w:val="22"/>
        </w:rPr>
        <w:t>Offre/Proposition</w:t>
      </w:r>
      <w:r w:rsidRPr="00332FCD">
        <w:rPr>
          <w:rFonts w:ascii="Andes" w:hAnsi="Andes" w:cs="Arial"/>
          <w:sz w:val="22"/>
          <w:szCs w:val="22"/>
        </w:rPr>
        <w:t xml:space="preserve"> est</w:t>
      </w:r>
      <w:r w:rsidR="00916C44" w:rsidRPr="00332FCD">
        <w:rPr>
          <w:rFonts w:ascii="Andes" w:hAnsi="Andes" w:cs="Arial"/>
          <w:sz w:val="22"/>
          <w:szCs w:val="22"/>
        </w:rPr>
        <w:t xml:space="preserve"> anormalement basse</w:t>
      </w:r>
      <w:r w:rsidRPr="00332FCD">
        <w:rPr>
          <w:rFonts w:ascii="Andes" w:hAnsi="Andes" w:cs="Arial"/>
          <w:sz w:val="22"/>
          <w:szCs w:val="22"/>
        </w:rPr>
        <w:t xml:space="preserve"> lorsque son prix</w:t>
      </w:r>
      <w:r w:rsidR="00916C44" w:rsidRPr="00332FCD">
        <w:rPr>
          <w:rFonts w:ascii="Andes" w:hAnsi="Andes" w:cs="Arial"/>
          <w:sz w:val="22"/>
          <w:szCs w:val="22"/>
        </w:rPr>
        <w:t xml:space="preserve">, ajouté </w:t>
      </w:r>
      <w:r w:rsidRPr="00332FCD">
        <w:rPr>
          <w:rFonts w:ascii="Andes" w:hAnsi="Andes" w:cs="Arial"/>
          <w:sz w:val="22"/>
          <w:szCs w:val="22"/>
        </w:rPr>
        <w:t xml:space="preserve">aux autres </w:t>
      </w:r>
      <w:r w:rsidR="00916C44" w:rsidRPr="00332FCD">
        <w:rPr>
          <w:rFonts w:ascii="Andes" w:hAnsi="Andes" w:cs="Arial"/>
          <w:sz w:val="22"/>
          <w:szCs w:val="22"/>
        </w:rPr>
        <w:t xml:space="preserve">éléments </w:t>
      </w:r>
      <w:r w:rsidRPr="00332FCD">
        <w:rPr>
          <w:rFonts w:ascii="Andes" w:hAnsi="Andes" w:cs="Arial"/>
          <w:sz w:val="22"/>
          <w:szCs w:val="22"/>
        </w:rPr>
        <w:t>qui la constituent</w:t>
      </w:r>
      <w:r w:rsidR="00916C44" w:rsidRPr="00332FCD">
        <w:rPr>
          <w:rFonts w:ascii="Andes" w:hAnsi="Andes" w:cs="Arial"/>
          <w:sz w:val="22"/>
          <w:szCs w:val="22"/>
        </w:rPr>
        <w:t>, paraît si bas qu’il suscite</w:t>
      </w:r>
      <w:r w:rsidR="003D24A3" w:rsidRPr="00332FCD">
        <w:rPr>
          <w:rFonts w:ascii="Andes" w:hAnsi="Andes" w:cs="Arial"/>
          <w:sz w:val="22"/>
          <w:szCs w:val="22"/>
        </w:rPr>
        <w:t xml:space="preserve"> de vives préoccupations chez </w:t>
      </w:r>
      <w:r w:rsidR="00916C44" w:rsidRPr="00332FCD">
        <w:rPr>
          <w:rFonts w:ascii="Andes" w:hAnsi="Andes" w:cs="Arial"/>
          <w:sz w:val="22"/>
          <w:szCs w:val="22"/>
        </w:rPr>
        <w:t>l’Emprunteur quant à la capacité du Soumissionnaire</w:t>
      </w:r>
      <w:r w:rsidRPr="00332FCD">
        <w:rPr>
          <w:rFonts w:ascii="Andes" w:hAnsi="Andes" w:cs="Arial"/>
          <w:sz w:val="22"/>
          <w:szCs w:val="22"/>
        </w:rPr>
        <w:t>/</w:t>
      </w:r>
      <w:r w:rsidR="00916C44" w:rsidRPr="00332FCD">
        <w:rPr>
          <w:rFonts w:ascii="Andes" w:hAnsi="Andes" w:cs="Arial"/>
          <w:sz w:val="22"/>
          <w:szCs w:val="22"/>
        </w:rPr>
        <w:t xml:space="preserve">Proposant à exécuter le contrat au prix </w:t>
      </w:r>
      <w:r w:rsidRPr="00332FCD">
        <w:rPr>
          <w:rFonts w:ascii="Andes" w:hAnsi="Andes" w:cs="Arial"/>
          <w:sz w:val="22"/>
          <w:szCs w:val="22"/>
        </w:rPr>
        <w:t>annoncé</w:t>
      </w:r>
      <w:r w:rsidR="00916C44" w:rsidRPr="00332FCD">
        <w:rPr>
          <w:rFonts w:ascii="Andes" w:hAnsi="Andes" w:cs="Arial"/>
          <w:sz w:val="22"/>
          <w:szCs w:val="22"/>
        </w:rPr>
        <w:t xml:space="preserve">. </w:t>
      </w:r>
    </w:p>
    <w:p w14:paraId="329442F4" w14:textId="08A0ECFD" w:rsidR="003A1B03" w:rsidRPr="00332FCD" w:rsidRDefault="003D24A3" w:rsidP="00882278">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Lorsque l’Emprunteur met en évidence une Offre/Proposition</w:t>
      </w:r>
      <w:r w:rsidR="00992A37" w:rsidRPr="00332FCD">
        <w:rPr>
          <w:rFonts w:ascii="Andes" w:hAnsi="Andes" w:cs="Arial"/>
          <w:sz w:val="22"/>
          <w:szCs w:val="22"/>
        </w:rPr>
        <w:t xml:space="preserve"> qui semble</w:t>
      </w:r>
      <w:r w:rsidRPr="00332FCD">
        <w:rPr>
          <w:rFonts w:ascii="Andes" w:hAnsi="Andes" w:cs="Arial"/>
          <w:sz w:val="22"/>
          <w:szCs w:val="22"/>
        </w:rPr>
        <w:t xml:space="preserve"> anormalement basse, il demande des précisions écrites au Soumissionnaire/Proposant,</w:t>
      </w:r>
      <w:r w:rsidR="00992A37" w:rsidRPr="00332FCD">
        <w:rPr>
          <w:rFonts w:ascii="Andes" w:hAnsi="Andes" w:cs="Arial"/>
          <w:sz w:val="22"/>
          <w:szCs w:val="22"/>
        </w:rPr>
        <w:t xml:space="preserve"> notamment sous forme d’une </w:t>
      </w:r>
      <w:r w:rsidRPr="00332FCD">
        <w:rPr>
          <w:rFonts w:ascii="Andes" w:hAnsi="Andes" w:cs="Arial"/>
          <w:sz w:val="22"/>
          <w:szCs w:val="22"/>
        </w:rPr>
        <w:t>analyse détaillée des prix</w:t>
      </w:r>
      <w:r w:rsidR="00992A37" w:rsidRPr="00332FCD">
        <w:rPr>
          <w:rFonts w:ascii="Andes" w:hAnsi="Andes" w:cs="Arial"/>
          <w:sz w:val="22"/>
          <w:szCs w:val="22"/>
        </w:rPr>
        <w:t xml:space="preserve"> offerts/proposés </w:t>
      </w:r>
      <w:r w:rsidRPr="00332FCD">
        <w:rPr>
          <w:rFonts w:ascii="Andes" w:hAnsi="Andes" w:cs="Arial"/>
          <w:sz w:val="22"/>
          <w:szCs w:val="22"/>
        </w:rPr>
        <w:t xml:space="preserve">au regard de l’objet du marché, </w:t>
      </w:r>
      <w:r w:rsidR="00992A37" w:rsidRPr="00332FCD">
        <w:rPr>
          <w:rFonts w:ascii="Andes" w:hAnsi="Andes" w:cs="Arial"/>
          <w:sz w:val="22"/>
          <w:szCs w:val="22"/>
        </w:rPr>
        <w:t xml:space="preserve">de son </w:t>
      </w:r>
      <w:r w:rsidR="006A3AC5" w:rsidRPr="00332FCD">
        <w:rPr>
          <w:rFonts w:ascii="Andes" w:hAnsi="Andes" w:cs="Arial"/>
          <w:sz w:val="22"/>
          <w:szCs w:val="22"/>
        </w:rPr>
        <w:t>ampleur</w:t>
      </w:r>
      <w:r w:rsidRPr="00332FCD">
        <w:rPr>
          <w:rFonts w:ascii="Andes" w:hAnsi="Andes" w:cs="Arial"/>
          <w:sz w:val="22"/>
          <w:szCs w:val="22"/>
        </w:rPr>
        <w:t>, des méthodes envisagées, du calendrier prévu, de la répartition des risques et responsabilités</w:t>
      </w:r>
      <w:r w:rsidR="00A576B7" w:rsidRPr="00332FCD">
        <w:rPr>
          <w:rFonts w:ascii="Andes" w:hAnsi="Andes" w:cs="Arial"/>
          <w:sz w:val="22"/>
          <w:szCs w:val="22"/>
        </w:rPr>
        <w:t>, et de toute autre disposition requise par le dossier d’</w:t>
      </w:r>
      <w:r w:rsidR="0065215E">
        <w:rPr>
          <w:rFonts w:ascii="Andes" w:hAnsi="Andes" w:cs="Arial"/>
          <w:sz w:val="22"/>
          <w:szCs w:val="22"/>
        </w:rPr>
        <w:t>A</w:t>
      </w:r>
      <w:r w:rsidR="00A576B7" w:rsidRPr="00332FCD">
        <w:rPr>
          <w:rFonts w:ascii="Andes" w:hAnsi="Andes" w:cs="Arial"/>
          <w:sz w:val="22"/>
          <w:szCs w:val="22"/>
        </w:rPr>
        <w:t>ppel d’</w:t>
      </w:r>
      <w:r w:rsidR="0065215E">
        <w:rPr>
          <w:rFonts w:ascii="Andes" w:hAnsi="Andes" w:cs="Arial"/>
          <w:sz w:val="22"/>
          <w:szCs w:val="22"/>
        </w:rPr>
        <w:t>O</w:t>
      </w:r>
      <w:r w:rsidR="00A576B7" w:rsidRPr="00332FCD">
        <w:rPr>
          <w:rFonts w:ascii="Andes" w:hAnsi="Andes" w:cs="Arial"/>
          <w:sz w:val="22"/>
          <w:szCs w:val="22"/>
        </w:rPr>
        <w:t xml:space="preserve">ffres/à </w:t>
      </w:r>
      <w:r w:rsidR="0065215E">
        <w:rPr>
          <w:rFonts w:ascii="Andes" w:hAnsi="Andes" w:cs="Arial"/>
          <w:sz w:val="22"/>
          <w:szCs w:val="22"/>
        </w:rPr>
        <w:t>P</w:t>
      </w:r>
      <w:r w:rsidR="00A576B7" w:rsidRPr="00332FCD">
        <w:rPr>
          <w:rFonts w:ascii="Andes" w:hAnsi="Andes" w:cs="Arial"/>
          <w:sz w:val="22"/>
          <w:szCs w:val="22"/>
        </w:rPr>
        <w:t xml:space="preserve">ropositions. </w:t>
      </w:r>
    </w:p>
    <w:p w14:paraId="7CD962AE" w14:textId="206FC6C2" w:rsidR="003A1B03" w:rsidRPr="00332FCD" w:rsidRDefault="00A576B7" w:rsidP="00882278">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Si, après avoir</w:t>
      </w:r>
      <w:r w:rsidR="00992A37" w:rsidRPr="00332FCD">
        <w:rPr>
          <w:rFonts w:ascii="Andes" w:hAnsi="Andes" w:cs="Arial"/>
          <w:sz w:val="22"/>
          <w:szCs w:val="22"/>
        </w:rPr>
        <w:t xml:space="preserve"> examiné </w:t>
      </w:r>
      <w:r w:rsidRPr="00332FCD">
        <w:rPr>
          <w:rFonts w:ascii="Andes" w:hAnsi="Andes" w:cs="Arial"/>
          <w:sz w:val="22"/>
          <w:szCs w:val="22"/>
        </w:rPr>
        <w:t>l’analyse des prix, l’</w:t>
      </w:r>
      <w:r w:rsidR="00276BA4" w:rsidRPr="00332FCD">
        <w:rPr>
          <w:rFonts w:ascii="Andes" w:hAnsi="Andes" w:cs="Arial"/>
          <w:sz w:val="22"/>
          <w:szCs w:val="22"/>
        </w:rPr>
        <w:t xml:space="preserve">Emprunteur </w:t>
      </w:r>
      <w:r w:rsidRPr="00332FCD">
        <w:rPr>
          <w:rFonts w:ascii="Andes" w:hAnsi="Andes" w:cs="Arial"/>
          <w:sz w:val="22"/>
          <w:szCs w:val="22"/>
        </w:rPr>
        <w:t>établi</w:t>
      </w:r>
      <w:r w:rsidR="00276BA4" w:rsidRPr="00332FCD">
        <w:rPr>
          <w:rFonts w:ascii="Andes" w:hAnsi="Andes" w:cs="Arial"/>
          <w:sz w:val="22"/>
          <w:szCs w:val="22"/>
        </w:rPr>
        <w:t>t</w:t>
      </w:r>
      <w:r w:rsidRPr="00332FCD">
        <w:rPr>
          <w:rFonts w:ascii="Andes" w:hAnsi="Andes" w:cs="Arial"/>
          <w:sz w:val="22"/>
          <w:szCs w:val="22"/>
        </w:rPr>
        <w:t xml:space="preserve"> que le Soumissionnaire ou le Proposant n’a pas démontré sa capacité à exécuter le contrat au prix </w:t>
      </w:r>
      <w:r w:rsidR="00992A37" w:rsidRPr="00332FCD">
        <w:rPr>
          <w:rFonts w:ascii="Andes" w:hAnsi="Andes" w:cs="Arial"/>
          <w:sz w:val="22"/>
          <w:szCs w:val="22"/>
        </w:rPr>
        <w:t>annoncé</w:t>
      </w:r>
      <w:r w:rsidRPr="00332FCD">
        <w:rPr>
          <w:rFonts w:ascii="Andes" w:hAnsi="Andes" w:cs="Arial"/>
          <w:sz w:val="22"/>
          <w:szCs w:val="22"/>
        </w:rPr>
        <w:t>, il rejette l’</w:t>
      </w:r>
      <w:r w:rsidR="00276BA4" w:rsidRPr="00332FCD">
        <w:rPr>
          <w:rFonts w:ascii="Andes" w:hAnsi="Andes" w:cs="Arial"/>
          <w:sz w:val="22"/>
          <w:szCs w:val="22"/>
        </w:rPr>
        <w:t xml:space="preserve">Offre </w:t>
      </w:r>
      <w:r w:rsidRPr="00332FCD">
        <w:rPr>
          <w:rFonts w:ascii="Andes" w:hAnsi="Andes" w:cs="Arial"/>
          <w:sz w:val="22"/>
          <w:szCs w:val="22"/>
        </w:rPr>
        <w:t xml:space="preserve">ou la Proposition. </w:t>
      </w:r>
    </w:p>
    <w:p w14:paraId="3AAB9776" w14:textId="589614CB" w:rsidR="00C811D2" w:rsidRPr="00332FCD" w:rsidRDefault="00276BA4" w:rsidP="00AE04B1">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bookmarkStart w:id="2531" w:name="_Toc449001200"/>
      <w:bookmarkStart w:id="2532" w:name="_Toc404234583"/>
      <w:bookmarkStart w:id="2533" w:name="_Toc404234785"/>
      <w:bookmarkStart w:id="2534" w:name="_Toc404235317"/>
      <w:bookmarkStart w:id="2535" w:name="_Toc404235607"/>
      <w:bookmarkStart w:id="2536" w:name="_Toc404235784"/>
      <w:bookmarkStart w:id="2537" w:name="_Toc404236047"/>
      <w:bookmarkStart w:id="2538" w:name="_Toc404236217"/>
      <w:bookmarkStart w:id="2539" w:name="_Toc404236387"/>
      <w:bookmarkStart w:id="2540" w:name="_Toc404236556"/>
      <w:bookmarkStart w:id="2541" w:name="_Toc404236724"/>
      <w:bookmarkStart w:id="2542" w:name="_Toc404236892"/>
      <w:bookmarkStart w:id="2543" w:name="_Toc404237060"/>
      <w:bookmarkStart w:id="2544" w:name="_Toc404755689"/>
      <w:bookmarkStart w:id="2545" w:name="_Toc405205481"/>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r w:rsidRPr="00332FCD">
        <w:rPr>
          <w:rFonts w:ascii="Andes" w:eastAsiaTheme="majorEastAsia" w:hAnsi="Andes" w:cstheme="majorBidi"/>
          <w:bCs w:val="0"/>
          <w:color w:val="C45911"/>
          <w:sz w:val="32"/>
          <w:szCs w:val="32"/>
        </w:rPr>
        <w:t>Offre/Proposition la plus Avantageuse</w:t>
      </w:r>
    </w:p>
    <w:p w14:paraId="63DE5338" w14:textId="63642B1F" w:rsidR="00E45A46" w:rsidRPr="00332FCD" w:rsidRDefault="00276BA4" w:rsidP="00882278">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L’Emprunteur attribue le contrat au Soumissionnaire, Proposant ou Consultant ayant</w:t>
      </w:r>
      <w:r w:rsidR="00292F4E" w:rsidRPr="00332FCD">
        <w:rPr>
          <w:rFonts w:ascii="Andes" w:hAnsi="Andes" w:cs="Arial"/>
          <w:sz w:val="22"/>
          <w:szCs w:val="22"/>
        </w:rPr>
        <w:t xml:space="preserve"> remis </w:t>
      </w:r>
      <w:r w:rsidRPr="00332FCD">
        <w:rPr>
          <w:rFonts w:ascii="Andes" w:hAnsi="Andes" w:cs="Arial"/>
          <w:sz w:val="22"/>
          <w:szCs w:val="22"/>
        </w:rPr>
        <w:t>l’Offre ou la Proposition la plus Avantageuse,</w:t>
      </w:r>
      <w:r w:rsidR="00992A37" w:rsidRPr="00332FCD">
        <w:rPr>
          <w:rFonts w:ascii="Andes" w:hAnsi="Andes" w:cs="Arial"/>
          <w:sz w:val="22"/>
          <w:szCs w:val="22"/>
        </w:rPr>
        <w:t xml:space="preserve"> au sens de </w:t>
      </w:r>
      <w:r w:rsidR="00292F4E" w:rsidRPr="00332FCD">
        <w:rPr>
          <w:rFonts w:ascii="Andes" w:hAnsi="Andes" w:cs="Arial"/>
          <w:sz w:val="22"/>
          <w:szCs w:val="22"/>
        </w:rPr>
        <w:t>la méthode de sélection applicable</w:t>
      </w:r>
      <w:r w:rsidR="00687669" w:rsidRPr="00332FCD">
        <w:rPr>
          <w:rFonts w:ascii="Andes" w:hAnsi="Andes" w:cs="Arial"/>
          <w:sz w:val="22"/>
          <w:szCs w:val="22"/>
        </w:rPr>
        <w:t xml:space="preserve">.  </w:t>
      </w:r>
    </w:p>
    <w:p w14:paraId="632B84E0" w14:textId="74870F75" w:rsidR="00C30CB7" w:rsidRPr="00332FCD" w:rsidRDefault="00292F4E" w:rsidP="00AE04B1">
      <w:pPr>
        <w:spacing w:before="240" w:line="240" w:lineRule="auto"/>
        <w:contextualSpacing w:val="0"/>
        <w:rPr>
          <w:rFonts w:ascii="Andes" w:hAnsi="Andes" w:cs="Arial"/>
          <w:b/>
          <w:sz w:val="28"/>
          <w:szCs w:val="28"/>
        </w:rPr>
      </w:pPr>
      <w:r w:rsidRPr="00332FCD">
        <w:rPr>
          <w:rFonts w:ascii="Andes" w:hAnsi="Andes" w:cs="Arial"/>
          <w:b/>
          <w:sz w:val="28"/>
          <w:szCs w:val="28"/>
        </w:rPr>
        <w:t>Fournitures, Travaux et Services Autres que Services de Consultants</w:t>
      </w:r>
    </w:p>
    <w:p w14:paraId="1795770B" w14:textId="296D509C" w:rsidR="000C49DE" w:rsidRPr="00332FCD" w:rsidRDefault="00C0616E" w:rsidP="00882278">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Lorsque des </w:t>
      </w:r>
      <w:r w:rsidR="00D45722">
        <w:rPr>
          <w:rFonts w:ascii="Andes" w:hAnsi="Andes" w:cs="Arial"/>
          <w:sz w:val="22"/>
          <w:szCs w:val="22"/>
        </w:rPr>
        <w:t>C</w:t>
      </w:r>
      <w:r w:rsidRPr="00332FCD">
        <w:rPr>
          <w:rFonts w:ascii="Andes" w:hAnsi="Andes" w:cs="Arial"/>
          <w:sz w:val="22"/>
          <w:szCs w:val="22"/>
        </w:rPr>
        <w:t xml:space="preserve">ritères </w:t>
      </w:r>
      <w:r w:rsidR="00A67B3F">
        <w:rPr>
          <w:rFonts w:ascii="Andes" w:hAnsi="Andes" w:cs="Arial"/>
          <w:sz w:val="22"/>
          <w:szCs w:val="22"/>
        </w:rPr>
        <w:t>N</w:t>
      </w:r>
      <w:r w:rsidRPr="00332FCD">
        <w:rPr>
          <w:rFonts w:ascii="Andes" w:hAnsi="Andes" w:cs="Arial"/>
          <w:sz w:val="22"/>
          <w:szCs w:val="22"/>
        </w:rPr>
        <w:t xml:space="preserve">otés sont utilisés, l’Offre ou la Proposition la plus Avantageuse est celle remise par le Soumissionnaire ou le Proposant qui satisfait aux critères de qualification </w:t>
      </w:r>
      <w:r w:rsidR="002E1D90" w:rsidRPr="00332FCD">
        <w:rPr>
          <w:rFonts w:ascii="Andes" w:hAnsi="Andes" w:cs="Arial"/>
          <w:sz w:val="22"/>
          <w:szCs w:val="22"/>
        </w:rPr>
        <w:t>et dont l’Offre ou la Proposition</w:t>
      </w:r>
      <w:r w:rsidR="00730BDF" w:rsidRPr="00332FCD">
        <w:rPr>
          <w:rFonts w:ascii="Calibri" w:hAnsi="Calibri" w:cs="Calibri"/>
          <w:sz w:val="22"/>
          <w:szCs w:val="22"/>
        </w:rPr>
        <w:t> </w:t>
      </w:r>
      <w:r w:rsidR="00730BDF" w:rsidRPr="00332FCD">
        <w:rPr>
          <w:rFonts w:ascii="Andes" w:hAnsi="Andes" w:cs="Arial"/>
          <w:sz w:val="22"/>
          <w:szCs w:val="22"/>
        </w:rPr>
        <w:t>:</w:t>
      </w:r>
      <w:r w:rsidR="002E1D90" w:rsidRPr="00332FCD">
        <w:rPr>
          <w:rFonts w:ascii="Andes" w:hAnsi="Andes" w:cs="Arial"/>
          <w:sz w:val="22"/>
          <w:szCs w:val="22"/>
        </w:rPr>
        <w:t xml:space="preserve"> </w:t>
      </w:r>
    </w:p>
    <w:p w14:paraId="5C04A986" w14:textId="52925AD6" w:rsidR="000C49DE" w:rsidRPr="00332FCD" w:rsidRDefault="00846020" w:rsidP="00AE04B1">
      <w:pPr>
        <w:pStyle w:val="Paragraphedeliste"/>
        <w:numPr>
          <w:ilvl w:val="0"/>
          <w:numId w:val="202"/>
        </w:numPr>
        <w:spacing w:before="0" w:line="240" w:lineRule="auto"/>
        <w:contextualSpacing w:val="0"/>
        <w:rPr>
          <w:rFonts w:ascii="Andes" w:hAnsi="Andes" w:cs="Arial"/>
          <w:sz w:val="22"/>
          <w:szCs w:val="22"/>
        </w:rPr>
      </w:pPr>
      <w:r w:rsidRPr="00332FCD">
        <w:rPr>
          <w:rFonts w:ascii="Andes" w:hAnsi="Andes" w:cs="Arial"/>
          <w:sz w:val="22"/>
          <w:szCs w:val="22"/>
        </w:rPr>
        <w:t>a été jugée conforme, pour l’essentiel, au dossier d’</w:t>
      </w:r>
      <w:r w:rsidR="00A67B3F">
        <w:rPr>
          <w:rFonts w:ascii="Andes" w:hAnsi="Andes" w:cs="Arial"/>
          <w:sz w:val="22"/>
          <w:szCs w:val="22"/>
        </w:rPr>
        <w:t>A</w:t>
      </w:r>
      <w:r w:rsidRPr="00332FCD">
        <w:rPr>
          <w:rFonts w:ascii="Andes" w:hAnsi="Andes" w:cs="Arial"/>
          <w:sz w:val="22"/>
          <w:szCs w:val="22"/>
        </w:rPr>
        <w:t>ppel d’</w:t>
      </w:r>
      <w:r w:rsidR="00A67B3F">
        <w:rPr>
          <w:rFonts w:ascii="Andes" w:hAnsi="Andes" w:cs="Arial"/>
          <w:sz w:val="22"/>
          <w:szCs w:val="22"/>
        </w:rPr>
        <w:t>O</w:t>
      </w:r>
      <w:r w:rsidRPr="00332FCD">
        <w:rPr>
          <w:rFonts w:ascii="Andes" w:hAnsi="Andes" w:cs="Arial"/>
          <w:sz w:val="22"/>
          <w:szCs w:val="22"/>
        </w:rPr>
        <w:t xml:space="preserve">ffres/à </w:t>
      </w:r>
      <w:r w:rsidR="00A67B3F">
        <w:rPr>
          <w:rFonts w:ascii="Andes" w:hAnsi="Andes" w:cs="Arial"/>
          <w:sz w:val="22"/>
          <w:szCs w:val="22"/>
        </w:rPr>
        <w:t>P</w:t>
      </w:r>
      <w:r w:rsidRPr="00332FCD">
        <w:rPr>
          <w:rFonts w:ascii="Andes" w:hAnsi="Andes" w:cs="Arial"/>
          <w:sz w:val="22"/>
          <w:szCs w:val="22"/>
        </w:rPr>
        <w:t>ropositions</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et </w:t>
      </w:r>
    </w:p>
    <w:p w14:paraId="39E8734A" w14:textId="21E01627" w:rsidR="000C49DE" w:rsidRPr="00332FCD" w:rsidRDefault="00846020" w:rsidP="00AE04B1">
      <w:pPr>
        <w:pStyle w:val="Paragraphedeliste"/>
        <w:numPr>
          <w:ilvl w:val="0"/>
          <w:numId w:val="202"/>
        </w:numPr>
        <w:spacing w:before="0" w:line="240" w:lineRule="auto"/>
        <w:contextualSpacing w:val="0"/>
        <w:rPr>
          <w:rFonts w:ascii="Andes" w:hAnsi="Andes" w:cs="Arial"/>
          <w:sz w:val="22"/>
          <w:szCs w:val="22"/>
        </w:rPr>
      </w:pPr>
      <w:r w:rsidRPr="00332FCD">
        <w:rPr>
          <w:rFonts w:ascii="Andes" w:hAnsi="Andes" w:cs="Arial"/>
          <w:sz w:val="22"/>
          <w:szCs w:val="22"/>
        </w:rPr>
        <w:t>a</w:t>
      </w:r>
      <w:r w:rsidR="00A74256" w:rsidRPr="00332FCD">
        <w:rPr>
          <w:rFonts w:ascii="Andes" w:hAnsi="Andes" w:cs="Arial"/>
          <w:sz w:val="22"/>
          <w:szCs w:val="22"/>
        </w:rPr>
        <w:t xml:space="preserve"> </w:t>
      </w:r>
      <w:r w:rsidR="00702FB2" w:rsidRPr="00332FCD">
        <w:rPr>
          <w:rFonts w:ascii="Andes" w:hAnsi="Andes" w:cs="Arial"/>
          <w:sz w:val="22"/>
          <w:szCs w:val="22"/>
        </w:rPr>
        <w:t>obtenu</w:t>
      </w:r>
      <w:r w:rsidR="00A74256" w:rsidRPr="00332FCD">
        <w:rPr>
          <w:rFonts w:ascii="Andes" w:hAnsi="Andes" w:cs="Arial"/>
          <w:sz w:val="22"/>
          <w:szCs w:val="22"/>
        </w:rPr>
        <w:t xml:space="preserve"> </w:t>
      </w:r>
      <w:r w:rsidRPr="00332FCD">
        <w:rPr>
          <w:rFonts w:ascii="Andes" w:hAnsi="Andes" w:cs="Arial"/>
          <w:sz w:val="22"/>
          <w:szCs w:val="22"/>
        </w:rPr>
        <w:t>le score le plus élevé</w:t>
      </w:r>
      <w:r w:rsidR="000372EC" w:rsidRPr="00332FCD">
        <w:rPr>
          <w:rFonts w:ascii="Andes" w:hAnsi="Andes" w:cs="Arial"/>
          <w:sz w:val="22"/>
          <w:szCs w:val="22"/>
        </w:rPr>
        <w:t>.</w:t>
      </w:r>
    </w:p>
    <w:p w14:paraId="259BB028" w14:textId="09B7AE43" w:rsidR="000C49DE" w:rsidRPr="00332FCD" w:rsidRDefault="00846020" w:rsidP="00882278">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Lorsque des </w:t>
      </w:r>
      <w:r w:rsidR="00A67B3F">
        <w:rPr>
          <w:rFonts w:ascii="Andes" w:hAnsi="Andes" w:cs="Arial"/>
          <w:sz w:val="22"/>
          <w:szCs w:val="22"/>
        </w:rPr>
        <w:t>C</w:t>
      </w:r>
      <w:r w:rsidRPr="00332FCD">
        <w:rPr>
          <w:rFonts w:ascii="Andes" w:hAnsi="Andes" w:cs="Arial"/>
          <w:sz w:val="22"/>
          <w:szCs w:val="22"/>
        </w:rPr>
        <w:t xml:space="preserve">ritères </w:t>
      </w:r>
      <w:r w:rsidR="00A67B3F">
        <w:rPr>
          <w:rFonts w:ascii="Andes" w:hAnsi="Andes" w:cs="Arial"/>
          <w:sz w:val="22"/>
          <w:szCs w:val="22"/>
        </w:rPr>
        <w:t>N</w:t>
      </w:r>
      <w:r w:rsidRPr="00332FCD">
        <w:rPr>
          <w:rFonts w:ascii="Andes" w:hAnsi="Andes" w:cs="Arial"/>
          <w:sz w:val="22"/>
          <w:szCs w:val="22"/>
        </w:rPr>
        <w:t xml:space="preserve">otés ne sont pas </w:t>
      </w:r>
      <w:r w:rsidR="00723C67">
        <w:rPr>
          <w:rFonts w:ascii="Andes" w:hAnsi="Andes" w:cs="Arial"/>
          <w:sz w:val="22"/>
          <w:szCs w:val="22"/>
        </w:rPr>
        <w:t xml:space="preserve"> (</w:t>
      </w:r>
      <w:r w:rsidR="006B7FCC">
        <w:rPr>
          <w:rFonts w:ascii="Andes" w:hAnsi="Andes" w:cs="Arial"/>
          <w:sz w:val="22"/>
          <w:szCs w:val="22"/>
        </w:rPr>
        <w:t>cas de produits pharmaceutiques, vaccins, produits de base)</w:t>
      </w:r>
      <w:r w:rsidRPr="00332FCD">
        <w:rPr>
          <w:rFonts w:ascii="Andes" w:hAnsi="Andes" w:cs="Arial"/>
          <w:sz w:val="22"/>
          <w:szCs w:val="22"/>
        </w:rPr>
        <w:t>, l’Offre ou la Proposition la plus Avantageuse est celle remise par le Soumissionnaire ou le Proposant qui satisfait aux critères de qualification et dont l’Offre ou la Proposition</w:t>
      </w:r>
      <w:r w:rsidR="00730BDF" w:rsidRPr="00332FCD">
        <w:rPr>
          <w:rFonts w:ascii="Calibri" w:hAnsi="Calibri" w:cs="Calibri"/>
          <w:sz w:val="22"/>
          <w:szCs w:val="22"/>
        </w:rPr>
        <w:t> </w:t>
      </w:r>
      <w:r w:rsidR="00730BDF" w:rsidRPr="00332FCD">
        <w:rPr>
          <w:rFonts w:ascii="Andes" w:hAnsi="Andes" w:cs="Arial"/>
          <w:sz w:val="22"/>
          <w:szCs w:val="22"/>
        </w:rPr>
        <w:t>:</w:t>
      </w:r>
    </w:p>
    <w:p w14:paraId="60C1B2F0" w14:textId="4CA70A3A" w:rsidR="000C49DE" w:rsidRPr="00332FCD" w:rsidRDefault="00846020" w:rsidP="00AE04B1">
      <w:pPr>
        <w:pStyle w:val="Paragraphedeliste"/>
        <w:numPr>
          <w:ilvl w:val="0"/>
          <w:numId w:val="203"/>
        </w:numPr>
        <w:spacing w:before="0" w:line="240" w:lineRule="auto"/>
        <w:contextualSpacing w:val="0"/>
        <w:rPr>
          <w:rFonts w:ascii="Andes" w:hAnsi="Andes" w:cs="Arial"/>
          <w:sz w:val="22"/>
          <w:szCs w:val="22"/>
        </w:rPr>
      </w:pPr>
      <w:r w:rsidRPr="00332FCD">
        <w:rPr>
          <w:rFonts w:ascii="Andes" w:hAnsi="Andes" w:cs="Arial"/>
          <w:sz w:val="22"/>
          <w:szCs w:val="22"/>
        </w:rPr>
        <w:t>a été jugée conforme, pour l’essentiel, au dossier d’</w:t>
      </w:r>
      <w:r w:rsidR="001E24B2">
        <w:rPr>
          <w:rFonts w:ascii="Andes" w:hAnsi="Andes" w:cs="Arial"/>
          <w:sz w:val="22"/>
          <w:szCs w:val="22"/>
        </w:rPr>
        <w:t>A</w:t>
      </w:r>
      <w:r w:rsidRPr="00332FCD">
        <w:rPr>
          <w:rFonts w:ascii="Andes" w:hAnsi="Andes" w:cs="Arial"/>
          <w:sz w:val="22"/>
          <w:szCs w:val="22"/>
        </w:rPr>
        <w:t>ppel d’</w:t>
      </w:r>
      <w:r w:rsidR="001E24B2">
        <w:rPr>
          <w:rFonts w:ascii="Andes" w:hAnsi="Andes" w:cs="Arial"/>
          <w:sz w:val="22"/>
          <w:szCs w:val="22"/>
        </w:rPr>
        <w:t>O</w:t>
      </w:r>
      <w:r w:rsidRPr="00332FCD">
        <w:rPr>
          <w:rFonts w:ascii="Andes" w:hAnsi="Andes" w:cs="Arial"/>
          <w:sz w:val="22"/>
          <w:szCs w:val="22"/>
        </w:rPr>
        <w:t xml:space="preserve">ffres/à </w:t>
      </w:r>
      <w:r w:rsidR="001E24B2">
        <w:rPr>
          <w:rFonts w:ascii="Andes" w:hAnsi="Andes" w:cs="Arial"/>
          <w:sz w:val="22"/>
          <w:szCs w:val="22"/>
        </w:rPr>
        <w:t>P</w:t>
      </w:r>
      <w:r w:rsidRPr="00332FCD">
        <w:rPr>
          <w:rFonts w:ascii="Andes" w:hAnsi="Andes" w:cs="Arial"/>
          <w:sz w:val="22"/>
          <w:szCs w:val="22"/>
        </w:rPr>
        <w:t>ropositions</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et</w:t>
      </w:r>
    </w:p>
    <w:p w14:paraId="01FA9B2D" w14:textId="7567052C" w:rsidR="00E45A46" w:rsidRPr="00332FCD" w:rsidRDefault="00846020" w:rsidP="00AE04B1">
      <w:pPr>
        <w:pStyle w:val="Paragraphedeliste"/>
        <w:numPr>
          <w:ilvl w:val="0"/>
          <w:numId w:val="203"/>
        </w:numPr>
        <w:spacing w:before="0" w:line="240" w:lineRule="auto"/>
        <w:contextualSpacing w:val="0"/>
        <w:rPr>
          <w:rFonts w:ascii="Andes" w:hAnsi="Andes" w:cs="Arial"/>
          <w:sz w:val="22"/>
          <w:szCs w:val="22"/>
        </w:rPr>
      </w:pPr>
      <w:r w:rsidRPr="00332FCD">
        <w:rPr>
          <w:rFonts w:ascii="Andes" w:hAnsi="Andes" w:cs="Arial"/>
          <w:sz w:val="22"/>
          <w:szCs w:val="22"/>
        </w:rPr>
        <w:t>a été évaluée la moins-</w:t>
      </w:r>
      <w:proofErr w:type="spellStart"/>
      <w:r w:rsidRPr="00332FCD">
        <w:rPr>
          <w:rFonts w:ascii="Andes" w:hAnsi="Andes" w:cs="Arial"/>
          <w:sz w:val="22"/>
          <w:szCs w:val="22"/>
        </w:rPr>
        <w:t>disante</w:t>
      </w:r>
      <w:proofErr w:type="spellEnd"/>
      <w:r w:rsidR="00687669" w:rsidRPr="00332FCD">
        <w:rPr>
          <w:rFonts w:ascii="Andes" w:hAnsi="Andes" w:cs="Arial"/>
          <w:sz w:val="22"/>
          <w:szCs w:val="22"/>
        </w:rPr>
        <w:t xml:space="preserve">.  </w:t>
      </w:r>
    </w:p>
    <w:p w14:paraId="061FB5BD" w14:textId="35BADB15" w:rsidR="00C30CB7" w:rsidRPr="00332FCD" w:rsidRDefault="00292F4E" w:rsidP="001D1F52">
      <w:pPr>
        <w:keepNext/>
        <w:spacing w:before="240" w:line="240" w:lineRule="auto"/>
        <w:contextualSpacing w:val="0"/>
        <w:rPr>
          <w:rFonts w:ascii="Andes" w:hAnsi="Andes" w:cs="Arial"/>
          <w:b/>
          <w:sz w:val="28"/>
          <w:szCs w:val="28"/>
        </w:rPr>
      </w:pPr>
      <w:r w:rsidRPr="00332FCD">
        <w:rPr>
          <w:rFonts w:ascii="Andes" w:hAnsi="Andes" w:cs="Arial"/>
          <w:b/>
          <w:sz w:val="28"/>
          <w:szCs w:val="28"/>
        </w:rPr>
        <w:lastRenderedPageBreak/>
        <w:t>Services de Consultants</w:t>
      </w:r>
    </w:p>
    <w:p w14:paraId="098BC378" w14:textId="45DE31C8" w:rsidR="00E45A46" w:rsidRPr="00332FCD" w:rsidRDefault="002E0D73" w:rsidP="00882278">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La Proposition </w:t>
      </w:r>
      <w:r w:rsidR="00846020" w:rsidRPr="00332FCD">
        <w:rPr>
          <w:rFonts w:ascii="Andes" w:hAnsi="Andes" w:cs="Arial"/>
          <w:sz w:val="22"/>
          <w:szCs w:val="22"/>
        </w:rPr>
        <w:t>la plus Avantageuse est celle</w:t>
      </w:r>
      <w:r w:rsidRPr="00332FCD">
        <w:rPr>
          <w:rFonts w:ascii="Andes" w:hAnsi="Andes" w:cs="Arial"/>
          <w:sz w:val="22"/>
          <w:szCs w:val="22"/>
        </w:rPr>
        <w:t xml:space="preserve"> qui est évaluée la meilleure</w:t>
      </w:r>
      <w:r w:rsidR="00C30CB7" w:rsidRPr="00332FCD">
        <w:rPr>
          <w:rFonts w:ascii="Andes" w:hAnsi="Andes" w:cs="Arial"/>
          <w:sz w:val="22"/>
          <w:szCs w:val="22"/>
        </w:rPr>
        <w:t>.</w:t>
      </w:r>
    </w:p>
    <w:p w14:paraId="51D698B7" w14:textId="4E35D0A6" w:rsidR="005858D6" w:rsidRPr="00332FCD" w:rsidRDefault="002E0D73" w:rsidP="00AE04B1">
      <w:pPr>
        <w:pStyle w:val="Style2"/>
        <w:keepNext/>
        <w:keepLines/>
        <w:widowControl/>
        <w:tabs>
          <w:tab w:val="left" w:pos="1710"/>
        </w:tabs>
        <w:autoSpaceDE/>
        <w:autoSpaceDN/>
        <w:adjustRightInd/>
        <w:spacing w:before="240" w:after="120"/>
        <w:ind w:left="-29"/>
        <w:contextualSpacing w:val="0"/>
        <w:outlineLvl w:val="0"/>
        <w:rPr>
          <w:rFonts w:ascii="Andes" w:eastAsiaTheme="majorEastAsia" w:hAnsi="Andes" w:cstheme="majorBidi"/>
          <w:bCs w:val="0"/>
          <w:iCs/>
          <w:smallCaps/>
          <w:color w:val="C45911"/>
          <w:sz w:val="32"/>
          <w:szCs w:val="32"/>
        </w:rPr>
      </w:pPr>
      <w:bookmarkStart w:id="2546" w:name="_Toc408418543"/>
      <w:bookmarkStart w:id="2547" w:name="_Toc409085773"/>
      <w:bookmarkStart w:id="2548" w:name="_Toc409086050"/>
      <w:bookmarkStart w:id="2549" w:name="_Toc409086327"/>
      <w:bookmarkStart w:id="2550" w:name="_Toc409248937"/>
      <w:bookmarkStart w:id="2551" w:name="_Toc409255517"/>
      <w:bookmarkStart w:id="2552" w:name="_Toc409255797"/>
      <w:bookmarkStart w:id="2553" w:name="_Toc409256077"/>
      <w:bookmarkStart w:id="2554" w:name="_Toc409256357"/>
      <w:bookmarkStart w:id="2555" w:name="_Toc409256637"/>
      <w:bookmarkStart w:id="2556" w:name="_Toc409270332"/>
      <w:bookmarkStart w:id="2557" w:name="_Toc409270612"/>
      <w:bookmarkStart w:id="2558" w:name="_Toc409509222"/>
      <w:bookmarkStart w:id="2559" w:name="_Toc409509505"/>
      <w:bookmarkStart w:id="2560" w:name="_Toc409509788"/>
      <w:bookmarkStart w:id="2561" w:name="_Toc409510071"/>
      <w:bookmarkStart w:id="2562" w:name="_Toc409510352"/>
      <w:bookmarkStart w:id="2563" w:name="_Toc409595831"/>
      <w:bookmarkStart w:id="2564" w:name="_Toc409607007"/>
      <w:bookmarkStart w:id="2565" w:name="_Toc408418544"/>
      <w:bookmarkStart w:id="2566" w:name="_Toc409085774"/>
      <w:bookmarkStart w:id="2567" w:name="_Toc409086051"/>
      <w:bookmarkStart w:id="2568" w:name="_Toc409086328"/>
      <w:bookmarkStart w:id="2569" w:name="_Toc409248938"/>
      <w:bookmarkStart w:id="2570" w:name="_Toc409255518"/>
      <w:bookmarkStart w:id="2571" w:name="_Toc409255798"/>
      <w:bookmarkStart w:id="2572" w:name="_Toc409256078"/>
      <w:bookmarkStart w:id="2573" w:name="_Toc409256358"/>
      <w:bookmarkStart w:id="2574" w:name="_Toc409256638"/>
      <w:bookmarkStart w:id="2575" w:name="_Toc409270333"/>
      <w:bookmarkStart w:id="2576" w:name="_Toc409270613"/>
      <w:bookmarkStart w:id="2577" w:name="_Toc409509223"/>
      <w:bookmarkStart w:id="2578" w:name="_Toc409509506"/>
      <w:bookmarkStart w:id="2579" w:name="_Toc409509789"/>
      <w:bookmarkStart w:id="2580" w:name="_Toc409510072"/>
      <w:bookmarkStart w:id="2581" w:name="_Toc409510353"/>
      <w:bookmarkStart w:id="2582" w:name="_Toc409595832"/>
      <w:bookmarkStart w:id="2583" w:name="_Toc409607008"/>
      <w:bookmarkStart w:id="2584" w:name="_Toc408418545"/>
      <w:bookmarkStart w:id="2585" w:name="_Toc409085775"/>
      <w:bookmarkStart w:id="2586" w:name="_Toc409086052"/>
      <w:bookmarkStart w:id="2587" w:name="_Toc409086329"/>
      <w:bookmarkStart w:id="2588" w:name="_Toc409248939"/>
      <w:bookmarkStart w:id="2589" w:name="_Toc409255519"/>
      <w:bookmarkStart w:id="2590" w:name="_Toc409255799"/>
      <w:bookmarkStart w:id="2591" w:name="_Toc409256079"/>
      <w:bookmarkStart w:id="2592" w:name="_Toc409256359"/>
      <w:bookmarkStart w:id="2593" w:name="_Toc409256639"/>
      <w:bookmarkStart w:id="2594" w:name="_Toc409270334"/>
      <w:bookmarkStart w:id="2595" w:name="_Toc409270614"/>
      <w:bookmarkStart w:id="2596" w:name="_Toc409509224"/>
      <w:bookmarkStart w:id="2597" w:name="_Toc409509507"/>
      <w:bookmarkStart w:id="2598" w:name="_Toc409509790"/>
      <w:bookmarkStart w:id="2599" w:name="_Toc409510073"/>
      <w:bookmarkStart w:id="2600" w:name="_Toc409510354"/>
      <w:bookmarkStart w:id="2601" w:name="_Toc409595833"/>
      <w:bookmarkStart w:id="2602" w:name="_Toc409607009"/>
      <w:bookmarkStart w:id="2603" w:name="_Toc408418546"/>
      <w:bookmarkStart w:id="2604" w:name="_Toc409085776"/>
      <w:bookmarkStart w:id="2605" w:name="_Toc409086053"/>
      <w:bookmarkStart w:id="2606" w:name="_Toc409086330"/>
      <w:bookmarkStart w:id="2607" w:name="_Toc409248940"/>
      <w:bookmarkStart w:id="2608" w:name="_Toc409255520"/>
      <w:bookmarkStart w:id="2609" w:name="_Toc409255800"/>
      <w:bookmarkStart w:id="2610" w:name="_Toc409256080"/>
      <w:bookmarkStart w:id="2611" w:name="_Toc409256360"/>
      <w:bookmarkStart w:id="2612" w:name="_Toc409256640"/>
      <w:bookmarkStart w:id="2613" w:name="_Toc409270335"/>
      <w:bookmarkStart w:id="2614" w:name="_Toc409270615"/>
      <w:bookmarkStart w:id="2615" w:name="_Toc409509225"/>
      <w:bookmarkStart w:id="2616" w:name="_Toc409509508"/>
      <w:bookmarkStart w:id="2617" w:name="_Toc409509791"/>
      <w:bookmarkStart w:id="2618" w:name="_Toc409510074"/>
      <w:bookmarkStart w:id="2619" w:name="_Toc409510355"/>
      <w:bookmarkStart w:id="2620" w:name="_Toc409595834"/>
      <w:bookmarkStart w:id="2621" w:name="_Toc409607010"/>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r w:rsidRPr="00332FCD">
        <w:rPr>
          <w:rFonts w:ascii="Andes" w:eastAsiaTheme="majorEastAsia" w:hAnsi="Andes" w:cstheme="majorBidi"/>
          <w:bCs w:val="0"/>
          <w:color w:val="C45911"/>
          <w:sz w:val="32"/>
          <w:szCs w:val="32"/>
        </w:rPr>
        <w:t>Notification d’Intention d’Attribution de Marché</w:t>
      </w:r>
      <w:r w:rsidR="001257C3" w:rsidRPr="00332FCD">
        <w:rPr>
          <w:rFonts w:ascii="Andes" w:eastAsiaTheme="majorEastAsia" w:hAnsi="Andes" w:cstheme="majorBidi"/>
          <w:bCs w:val="0"/>
          <w:color w:val="C45911"/>
          <w:sz w:val="32"/>
          <w:szCs w:val="32"/>
        </w:rPr>
        <w:t>/Contrat</w:t>
      </w:r>
    </w:p>
    <w:p w14:paraId="30AD9607" w14:textId="3DFEE092" w:rsidR="005858D6" w:rsidRPr="00332FCD" w:rsidRDefault="00292F4E" w:rsidP="00AE04B1">
      <w:pPr>
        <w:spacing w:line="240" w:lineRule="auto"/>
        <w:contextualSpacing w:val="0"/>
        <w:rPr>
          <w:rFonts w:ascii="Andes" w:hAnsi="Andes" w:cs="Arial"/>
          <w:b/>
          <w:sz w:val="28"/>
          <w:szCs w:val="28"/>
        </w:rPr>
      </w:pPr>
      <w:r w:rsidRPr="00332FCD">
        <w:rPr>
          <w:rFonts w:ascii="Andes" w:hAnsi="Andes" w:cs="Arial"/>
          <w:b/>
          <w:sz w:val="28"/>
          <w:szCs w:val="28"/>
        </w:rPr>
        <w:t>Fournitures, Travaux et Services Autres que Services de Consultants</w:t>
      </w:r>
    </w:p>
    <w:p w14:paraId="0E614C8F" w14:textId="025ADA91" w:rsidR="005858D6" w:rsidRPr="00332FCD" w:rsidRDefault="00F41150" w:rsidP="00882278">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Une fois</w:t>
      </w:r>
      <w:r w:rsidR="00992A37" w:rsidRPr="00332FCD">
        <w:rPr>
          <w:rFonts w:ascii="Andes" w:hAnsi="Andes" w:cs="Arial"/>
          <w:sz w:val="22"/>
          <w:szCs w:val="22"/>
        </w:rPr>
        <w:t xml:space="preserve"> la décision prise </w:t>
      </w:r>
      <w:r w:rsidRPr="00332FCD">
        <w:rPr>
          <w:rFonts w:ascii="Andes" w:hAnsi="Andes" w:cs="Arial"/>
          <w:sz w:val="22"/>
          <w:szCs w:val="22"/>
        </w:rPr>
        <w:t>d’attribuer le marché (ou dans le cas des Accords</w:t>
      </w:r>
      <w:r w:rsidR="006A3AC5" w:rsidRPr="00332FCD">
        <w:rPr>
          <w:rFonts w:ascii="Andes" w:hAnsi="Andes" w:cs="Arial"/>
          <w:sz w:val="22"/>
          <w:szCs w:val="22"/>
        </w:rPr>
        <w:t>-</w:t>
      </w:r>
      <w:r w:rsidRPr="00332FCD">
        <w:rPr>
          <w:rFonts w:ascii="Andes" w:hAnsi="Andes" w:cs="Arial"/>
          <w:sz w:val="22"/>
          <w:szCs w:val="22"/>
        </w:rPr>
        <w:t>Cadres de conclure un</w:t>
      </w:r>
      <w:r w:rsidR="004E288D" w:rsidRPr="00332FCD">
        <w:rPr>
          <w:rFonts w:ascii="Andes" w:hAnsi="Andes" w:cs="Arial"/>
          <w:sz w:val="22"/>
          <w:szCs w:val="22"/>
        </w:rPr>
        <w:t xml:space="preserve"> </w:t>
      </w:r>
      <w:r w:rsidRPr="00332FCD">
        <w:rPr>
          <w:rFonts w:ascii="Andes" w:hAnsi="Andes" w:cs="Arial"/>
          <w:sz w:val="22"/>
          <w:szCs w:val="22"/>
        </w:rPr>
        <w:t>AC), l’</w:t>
      </w:r>
      <w:r w:rsidR="004E288D" w:rsidRPr="00332FCD">
        <w:rPr>
          <w:rFonts w:ascii="Andes" w:hAnsi="Andes" w:cs="Arial"/>
          <w:sz w:val="22"/>
          <w:szCs w:val="22"/>
        </w:rPr>
        <w:t xml:space="preserve">Emprunteur </w:t>
      </w:r>
      <w:r w:rsidRPr="00332FCD">
        <w:rPr>
          <w:rFonts w:ascii="Andes" w:hAnsi="Andes" w:cs="Arial"/>
          <w:sz w:val="22"/>
          <w:szCs w:val="22"/>
        </w:rPr>
        <w:t>adresse sans tarder et au même moment, par les moyens les plus rapides et dans les conditions prévues</w:t>
      </w:r>
      <w:r w:rsidR="00992A37" w:rsidRPr="00332FCD">
        <w:rPr>
          <w:rFonts w:ascii="Andes" w:hAnsi="Andes" w:cs="Arial"/>
          <w:sz w:val="22"/>
          <w:szCs w:val="22"/>
        </w:rPr>
        <w:t xml:space="preserve"> par </w:t>
      </w:r>
      <w:r w:rsidRPr="00332FCD">
        <w:rPr>
          <w:rFonts w:ascii="Andes" w:hAnsi="Andes" w:cs="Arial"/>
          <w:sz w:val="22"/>
          <w:szCs w:val="22"/>
        </w:rPr>
        <w:t>le dossier d’</w:t>
      </w:r>
      <w:r w:rsidR="00D35121">
        <w:rPr>
          <w:rFonts w:ascii="Andes" w:hAnsi="Andes" w:cs="Arial"/>
          <w:sz w:val="22"/>
          <w:szCs w:val="22"/>
        </w:rPr>
        <w:t>A</w:t>
      </w:r>
      <w:r w:rsidRPr="00332FCD">
        <w:rPr>
          <w:rFonts w:ascii="Andes" w:hAnsi="Andes" w:cs="Arial"/>
          <w:sz w:val="22"/>
          <w:szCs w:val="22"/>
        </w:rPr>
        <w:t>ppel d’</w:t>
      </w:r>
      <w:r w:rsidR="00D35121">
        <w:rPr>
          <w:rFonts w:ascii="Andes" w:hAnsi="Andes" w:cs="Arial"/>
          <w:sz w:val="22"/>
          <w:szCs w:val="22"/>
        </w:rPr>
        <w:t>O</w:t>
      </w:r>
      <w:r w:rsidRPr="00332FCD">
        <w:rPr>
          <w:rFonts w:ascii="Andes" w:hAnsi="Andes" w:cs="Arial"/>
          <w:sz w:val="22"/>
          <w:szCs w:val="22"/>
        </w:rPr>
        <w:t xml:space="preserve">ffres/à </w:t>
      </w:r>
      <w:r w:rsidR="00D35121">
        <w:rPr>
          <w:rFonts w:ascii="Andes" w:hAnsi="Andes" w:cs="Arial"/>
          <w:sz w:val="22"/>
          <w:szCs w:val="22"/>
        </w:rPr>
        <w:t>P</w:t>
      </w:r>
      <w:r w:rsidRPr="00332FCD">
        <w:rPr>
          <w:rFonts w:ascii="Andes" w:hAnsi="Andes" w:cs="Arial"/>
          <w:sz w:val="22"/>
          <w:szCs w:val="22"/>
        </w:rPr>
        <w:t>ropositions,</w:t>
      </w:r>
      <w:r w:rsidR="004E288D" w:rsidRPr="00332FCD">
        <w:rPr>
          <w:rFonts w:ascii="Andes" w:hAnsi="Andes" w:cs="Arial"/>
          <w:sz w:val="22"/>
          <w:szCs w:val="22"/>
        </w:rPr>
        <w:t xml:space="preserve"> des notifications </w:t>
      </w:r>
      <w:r w:rsidRPr="00332FCD">
        <w:rPr>
          <w:rFonts w:ascii="Andes" w:hAnsi="Andes" w:cs="Arial"/>
          <w:sz w:val="22"/>
          <w:szCs w:val="22"/>
        </w:rPr>
        <w:t>écrite</w:t>
      </w:r>
      <w:r w:rsidR="004E288D" w:rsidRPr="00332FCD">
        <w:rPr>
          <w:rFonts w:ascii="Andes" w:hAnsi="Andes" w:cs="Arial"/>
          <w:sz w:val="22"/>
          <w:szCs w:val="22"/>
        </w:rPr>
        <w:t>s</w:t>
      </w:r>
      <w:r w:rsidRPr="00332FCD">
        <w:rPr>
          <w:rFonts w:ascii="Andes" w:hAnsi="Andes" w:cs="Arial"/>
          <w:sz w:val="22"/>
          <w:szCs w:val="22"/>
        </w:rPr>
        <w:t xml:space="preserve"> de son intention d’attribuer le</w:t>
      </w:r>
      <w:r w:rsidR="00345EE6" w:rsidRPr="00332FCD">
        <w:rPr>
          <w:rFonts w:ascii="Andes" w:hAnsi="Andes" w:cs="Arial"/>
          <w:sz w:val="22"/>
          <w:szCs w:val="22"/>
        </w:rPr>
        <w:t xml:space="preserve"> marché </w:t>
      </w:r>
      <w:r w:rsidR="004E288D" w:rsidRPr="00332FCD">
        <w:rPr>
          <w:rFonts w:ascii="Andes" w:hAnsi="Andes" w:cs="Arial"/>
          <w:sz w:val="22"/>
          <w:szCs w:val="22"/>
        </w:rPr>
        <w:t>au Soumissionnaire</w:t>
      </w:r>
      <w:r w:rsidRPr="00332FCD">
        <w:rPr>
          <w:rFonts w:ascii="Andes" w:hAnsi="Andes" w:cs="Arial"/>
          <w:sz w:val="22"/>
          <w:szCs w:val="22"/>
        </w:rPr>
        <w:t xml:space="preserve">/Proposant </w:t>
      </w:r>
      <w:r w:rsidR="004E288D" w:rsidRPr="00332FCD">
        <w:rPr>
          <w:rFonts w:ascii="Andes" w:hAnsi="Andes" w:cs="Arial"/>
          <w:sz w:val="22"/>
          <w:szCs w:val="22"/>
        </w:rPr>
        <w:t xml:space="preserve">retenu </w:t>
      </w:r>
      <w:r w:rsidRPr="00332FCD">
        <w:rPr>
          <w:rFonts w:ascii="Andes" w:hAnsi="Andes" w:cs="Arial"/>
          <w:sz w:val="22"/>
          <w:szCs w:val="22"/>
        </w:rPr>
        <w:t>(</w:t>
      </w:r>
      <w:r w:rsidR="00255143">
        <w:rPr>
          <w:rFonts w:ascii="Andes" w:hAnsi="Andes" w:cs="Arial"/>
          <w:sz w:val="22"/>
          <w:szCs w:val="22"/>
        </w:rPr>
        <w:t>Notification</w:t>
      </w:r>
      <w:r w:rsidR="00255143" w:rsidRPr="00332FCD">
        <w:rPr>
          <w:rFonts w:ascii="Andes" w:hAnsi="Andes" w:cs="Arial"/>
          <w:sz w:val="22"/>
          <w:szCs w:val="22"/>
        </w:rPr>
        <w:t xml:space="preserve"> </w:t>
      </w:r>
      <w:r w:rsidRPr="00332FCD">
        <w:rPr>
          <w:rFonts w:ascii="Andes" w:hAnsi="Andes" w:cs="Arial"/>
          <w:sz w:val="22"/>
          <w:szCs w:val="22"/>
        </w:rPr>
        <w:t>d’intention d’attribuer</w:t>
      </w:r>
      <w:r w:rsidR="004E288D" w:rsidRPr="00332FCD">
        <w:rPr>
          <w:rFonts w:ascii="Andes" w:hAnsi="Andes" w:cs="Arial"/>
          <w:sz w:val="22"/>
          <w:szCs w:val="22"/>
        </w:rPr>
        <w:t xml:space="preserve"> le marché ou, </w:t>
      </w:r>
      <w:r w:rsidRPr="00332FCD">
        <w:rPr>
          <w:rFonts w:ascii="Andes" w:hAnsi="Andes" w:cs="Arial"/>
          <w:sz w:val="22"/>
          <w:szCs w:val="22"/>
        </w:rPr>
        <w:t xml:space="preserve">dans le cas des </w:t>
      </w:r>
      <w:r w:rsidR="00992A37" w:rsidRPr="00332FCD">
        <w:rPr>
          <w:rFonts w:ascii="Andes" w:hAnsi="Andes" w:cs="Arial"/>
          <w:sz w:val="22"/>
          <w:szCs w:val="22"/>
        </w:rPr>
        <w:t>Accords</w:t>
      </w:r>
      <w:r w:rsidR="006A3AC5" w:rsidRPr="00332FCD">
        <w:rPr>
          <w:rFonts w:ascii="Andes" w:hAnsi="Andes" w:cs="Arial"/>
          <w:sz w:val="22"/>
          <w:szCs w:val="22"/>
        </w:rPr>
        <w:t>-</w:t>
      </w:r>
      <w:r w:rsidR="00992A37" w:rsidRPr="00332FCD">
        <w:rPr>
          <w:rFonts w:ascii="Andes" w:hAnsi="Andes" w:cs="Arial"/>
          <w:sz w:val="22"/>
          <w:szCs w:val="22"/>
        </w:rPr>
        <w:t>Cadres</w:t>
      </w:r>
      <w:r w:rsidRPr="00332FCD">
        <w:rPr>
          <w:rFonts w:ascii="Andes" w:hAnsi="Andes" w:cs="Arial"/>
          <w:sz w:val="22"/>
          <w:szCs w:val="22"/>
        </w:rPr>
        <w:t>, notification d’intention de conclure un AC)</w:t>
      </w:r>
      <w:r w:rsidR="004E288D" w:rsidRPr="00332FCD">
        <w:rPr>
          <w:rFonts w:ascii="Andes" w:hAnsi="Andes" w:cs="Arial"/>
          <w:sz w:val="22"/>
          <w:szCs w:val="22"/>
        </w:rPr>
        <w:t>. Lesdites notifications sont adressées à chaque Soumissionnaire/Proposant ayant remis une Offre/Proposition (sauf si le Soumissionnaire/Proposant a déjà reçu</w:t>
      </w:r>
      <w:r w:rsidR="00992A37" w:rsidRPr="00332FCD">
        <w:rPr>
          <w:rFonts w:ascii="Andes" w:hAnsi="Andes" w:cs="Arial"/>
          <w:sz w:val="22"/>
          <w:szCs w:val="22"/>
        </w:rPr>
        <w:t xml:space="preserve"> notification de son exclusion à une étape antérieure </w:t>
      </w:r>
      <w:r w:rsidR="004E288D" w:rsidRPr="00332FCD">
        <w:rPr>
          <w:rFonts w:ascii="Andes" w:hAnsi="Andes" w:cs="Arial"/>
          <w:sz w:val="22"/>
          <w:szCs w:val="22"/>
        </w:rPr>
        <w:t xml:space="preserve">du processus de passation des marchés). </w:t>
      </w:r>
    </w:p>
    <w:p w14:paraId="45C2BE66" w14:textId="66A4F370" w:rsidR="005858D6" w:rsidRPr="00332FCD" w:rsidRDefault="00345EE6" w:rsidP="00882278">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Pour les</w:t>
      </w:r>
      <w:r w:rsidR="00371B06" w:rsidRPr="00332FCD">
        <w:rPr>
          <w:rFonts w:ascii="Andes" w:hAnsi="Andes" w:cs="Arial"/>
          <w:sz w:val="22"/>
          <w:szCs w:val="22"/>
        </w:rPr>
        <w:t xml:space="preserve"> marchés </w:t>
      </w:r>
      <w:r w:rsidR="00422E8A" w:rsidRPr="00332FCD">
        <w:rPr>
          <w:rFonts w:ascii="Andes" w:hAnsi="Andes" w:cs="Arial"/>
          <w:sz w:val="22"/>
          <w:szCs w:val="22"/>
        </w:rPr>
        <w:t xml:space="preserve">soumis à examen </w:t>
      </w:r>
      <w:r w:rsidRPr="00332FCD">
        <w:rPr>
          <w:rFonts w:ascii="Andes" w:hAnsi="Andes" w:cs="Arial"/>
          <w:sz w:val="22"/>
          <w:szCs w:val="22"/>
        </w:rPr>
        <w:t>préalable de la Banque, l’</w:t>
      </w:r>
      <w:r w:rsidR="00B0462F" w:rsidRPr="00332FCD">
        <w:rPr>
          <w:rFonts w:ascii="Andes" w:hAnsi="Andes" w:cs="Arial"/>
          <w:sz w:val="22"/>
          <w:szCs w:val="22"/>
        </w:rPr>
        <w:t xml:space="preserve">Emprunteur </w:t>
      </w:r>
      <w:r w:rsidRPr="00332FCD">
        <w:rPr>
          <w:rFonts w:ascii="Andes" w:hAnsi="Andes" w:cs="Arial"/>
          <w:sz w:val="22"/>
          <w:szCs w:val="22"/>
        </w:rPr>
        <w:t>n’adresse la Notification d’</w:t>
      </w:r>
      <w:r w:rsidR="00422E8A" w:rsidRPr="00332FCD">
        <w:rPr>
          <w:rFonts w:ascii="Andes" w:hAnsi="Andes" w:cs="Arial"/>
          <w:sz w:val="22"/>
          <w:szCs w:val="22"/>
        </w:rPr>
        <w:t xml:space="preserve">Intention </w:t>
      </w:r>
      <w:r w:rsidRPr="00332FCD">
        <w:rPr>
          <w:rFonts w:ascii="Andes" w:hAnsi="Andes" w:cs="Arial"/>
          <w:sz w:val="22"/>
          <w:szCs w:val="22"/>
        </w:rPr>
        <w:t>d’</w:t>
      </w:r>
      <w:r w:rsidR="00422E8A" w:rsidRPr="00332FCD">
        <w:rPr>
          <w:rFonts w:ascii="Andes" w:hAnsi="Andes" w:cs="Arial"/>
          <w:sz w:val="22"/>
          <w:szCs w:val="22"/>
        </w:rPr>
        <w:t xml:space="preserve">Attribution </w:t>
      </w:r>
      <w:r w:rsidR="001257C3" w:rsidRPr="00332FCD">
        <w:rPr>
          <w:rFonts w:ascii="Andes" w:hAnsi="Andes" w:cs="Arial"/>
          <w:sz w:val="22"/>
          <w:szCs w:val="22"/>
        </w:rPr>
        <w:t>de M</w:t>
      </w:r>
      <w:r w:rsidRPr="00332FCD">
        <w:rPr>
          <w:rFonts w:ascii="Andes" w:hAnsi="Andes" w:cs="Arial"/>
          <w:sz w:val="22"/>
          <w:szCs w:val="22"/>
        </w:rPr>
        <w:t xml:space="preserve">arché (ou dans le cas des </w:t>
      </w:r>
      <w:r w:rsidR="00422E8A" w:rsidRPr="00332FCD">
        <w:rPr>
          <w:rFonts w:ascii="Andes" w:hAnsi="Andes" w:cs="Arial"/>
          <w:sz w:val="22"/>
          <w:szCs w:val="22"/>
        </w:rPr>
        <w:t>Accords</w:t>
      </w:r>
      <w:r w:rsidR="006A3AC5" w:rsidRPr="00332FCD">
        <w:rPr>
          <w:rFonts w:ascii="Andes" w:hAnsi="Andes" w:cs="Arial"/>
          <w:sz w:val="22"/>
          <w:szCs w:val="22"/>
        </w:rPr>
        <w:t>-</w:t>
      </w:r>
      <w:r w:rsidR="00422E8A" w:rsidRPr="00332FCD">
        <w:rPr>
          <w:rFonts w:ascii="Andes" w:hAnsi="Andes" w:cs="Arial"/>
          <w:sz w:val="22"/>
          <w:szCs w:val="22"/>
        </w:rPr>
        <w:t>Cadres</w:t>
      </w:r>
      <w:r w:rsidRPr="00332FCD">
        <w:rPr>
          <w:rFonts w:ascii="Andes" w:hAnsi="Andes" w:cs="Arial"/>
          <w:sz w:val="22"/>
          <w:szCs w:val="22"/>
        </w:rPr>
        <w:t>, la notification d’intention de conclure un AC) qu’après avoir reçu l’avis de non</w:t>
      </w:r>
      <w:r w:rsidR="00B0462F" w:rsidRPr="00332FCD">
        <w:rPr>
          <w:rFonts w:ascii="Andes" w:hAnsi="Andes" w:cs="Arial"/>
          <w:sz w:val="22"/>
          <w:szCs w:val="22"/>
        </w:rPr>
        <w:t>-</w:t>
      </w:r>
      <w:r w:rsidRPr="00332FCD">
        <w:rPr>
          <w:rFonts w:ascii="Andes" w:hAnsi="Andes" w:cs="Arial"/>
          <w:sz w:val="22"/>
          <w:szCs w:val="22"/>
        </w:rPr>
        <w:t>objection de la Banque au rapport d’évaluation,</w:t>
      </w:r>
      <w:r w:rsidR="00B0462F" w:rsidRPr="00332FCD">
        <w:rPr>
          <w:rFonts w:ascii="Andes" w:hAnsi="Andes" w:cs="Arial"/>
          <w:sz w:val="22"/>
          <w:szCs w:val="22"/>
        </w:rPr>
        <w:t xml:space="preserve"> ainsi que le prescrit le </w:t>
      </w:r>
      <w:r w:rsidR="00F43E5A" w:rsidRPr="00332FCD">
        <w:rPr>
          <w:rFonts w:ascii="Andes" w:hAnsi="Andes" w:cs="Arial"/>
          <w:sz w:val="22"/>
          <w:szCs w:val="22"/>
        </w:rPr>
        <w:t>paragraphe</w:t>
      </w:r>
      <w:r w:rsidR="00F43E5A" w:rsidRPr="00332FCD">
        <w:rPr>
          <w:rFonts w:ascii="Calibri" w:hAnsi="Calibri" w:cs="Calibri"/>
          <w:sz w:val="22"/>
          <w:szCs w:val="22"/>
        </w:rPr>
        <w:t> </w:t>
      </w:r>
      <w:r w:rsidR="00594C00" w:rsidRPr="00332FCD">
        <w:rPr>
          <w:rFonts w:ascii="Andes" w:hAnsi="Andes" w:cs="Arial"/>
          <w:sz w:val="22"/>
          <w:szCs w:val="22"/>
        </w:rPr>
        <w:t>7</w:t>
      </w:r>
      <w:r w:rsidR="007752AC" w:rsidRPr="00332FCD">
        <w:rPr>
          <w:rFonts w:ascii="Andes" w:hAnsi="Andes" w:cs="Arial"/>
          <w:sz w:val="22"/>
          <w:szCs w:val="22"/>
        </w:rPr>
        <w:t>.1</w:t>
      </w:r>
      <w:r w:rsidR="00B0462F" w:rsidRPr="00332FCD">
        <w:rPr>
          <w:rFonts w:ascii="Andes" w:hAnsi="Andes" w:cs="Arial"/>
          <w:sz w:val="22"/>
          <w:szCs w:val="22"/>
        </w:rPr>
        <w:t xml:space="preserve"> de l’</w:t>
      </w:r>
      <w:r w:rsidR="00EE6569">
        <w:rPr>
          <w:rFonts w:ascii="Andes" w:hAnsi="Andes" w:cs="Arial"/>
          <w:sz w:val="22"/>
          <w:szCs w:val="22"/>
        </w:rPr>
        <w:t>A</w:t>
      </w:r>
      <w:r w:rsidR="00B0462F" w:rsidRPr="00332FCD">
        <w:rPr>
          <w:rFonts w:ascii="Andes" w:hAnsi="Andes" w:cs="Arial"/>
          <w:sz w:val="22"/>
          <w:szCs w:val="22"/>
        </w:rPr>
        <w:t xml:space="preserve">nnexe </w:t>
      </w:r>
      <w:r w:rsidR="005858D6" w:rsidRPr="00332FCD">
        <w:rPr>
          <w:rFonts w:ascii="Andes" w:hAnsi="Andes" w:cs="Arial"/>
          <w:sz w:val="22"/>
          <w:szCs w:val="22"/>
        </w:rPr>
        <w:t xml:space="preserve">II, </w:t>
      </w:r>
      <w:r w:rsidR="00B0462F" w:rsidRPr="00332FCD">
        <w:rPr>
          <w:rFonts w:ascii="Andes" w:hAnsi="Andes" w:cs="Arial"/>
          <w:sz w:val="22"/>
          <w:szCs w:val="22"/>
        </w:rPr>
        <w:t>Contrôle de la passation des marchés</w:t>
      </w:r>
      <w:r w:rsidR="00FE621C" w:rsidRPr="00332FCD">
        <w:rPr>
          <w:rFonts w:ascii="Andes" w:hAnsi="Andes" w:cs="Arial"/>
          <w:sz w:val="22"/>
          <w:szCs w:val="22"/>
        </w:rPr>
        <w:t xml:space="preserve">. </w:t>
      </w:r>
      <w:r w:rsidR="00B0462F" w:rsidRPr="00332FCD">
        <w:rPr>
          <w:rFonts w:ascii="Andes" w:hAnsi="Andes" w:cs="Arial"/>
          <w:sz w:val="22"/>
          <w:szCs w:val="22"/>
        </w:rPr>
        <w:t xml:space="preserve">Dans le cas des </w:t>
      </w:r>
      <w:r w:rsidR="00422E8A" w:rsidRPr="00332FCD">
        <w:rPr>
          <w:rFonts w:ascii="Andes" w:hAnsi="Andes" w:cs="Arial"/>
          <w:sz w:val="22"/>
          <w:szCs w:val="22"/>
        </w:rPr>
        <w:t>Accords</w:t>
      </w:r>
      <w:r w:rsidR="006A3AC5" w:rsidRPr="00332FCD">
        <w:rPr>
          <w:rFonts w:ascii="Andes" w:hAnsi="Andes" w:cs="Arial"/>
          <w:sz w:val="22"/>
          <w:szCs w:val="22"/>
        </w:rPr>
        <w:t>-</w:t>
      </w:r>
      <w:r w:rsidR="00422E8A" w:rsidRPr="00332FCD">
        <w:rPr>
          <w:rFonts w:ascii="Andes" w:hAnsi="Andes" w:cs="Arial"/>
          <w:sz w:val="22"/>
          <w:szCs w:val="22"/>
        </w:rPr>
        <w:t>Cadres</w:t>
      </w:r>
      <w:r w:rsidR="00B0462F" w:rsidRPr="00332FCD">
        <w:rPr>
          <w:rFonts w:ascii="Andes" w:hAnsi="Andes" w:cs="Arial"/>
          <w:sz w:val="22"/>
          <w:szCs w:val="22"/>
        </w:rPr>
        <w:t>, la notification écrite d’intention de conclure un AC est adressée au</w:t>
      </w:r>
      <w:r w:rsidR="00422E8A" w:rsidRPr="00332FCD">
        <w:rPr>
          <w:rFonts w:ascii="Andes" w:hAnsi="Andes" w:cs="Arial"/>
          <w:sz w:val="22"/>
          <w:szCs w:val="22"/>
        </w:rPr>
        <w:t>x</w:t>
      </w:r>
      <w:r w:rsidR="00B0462F" w:rsidRPr="00332FCD">
        <w:rPr>
          <w:rFonts w:ascii="Andes" w:hAnsi="Andes" w:cs="Arial"/>
          <w:sz w:val="22"/>
          <w:szCs w:val="22"/>
        </w:rPr>
        <w:t xml:space="preserve"> Soumissionnaire</w:t>
      </w:r>
      <w:r w:rsidR="00422E8A" w:rsidRPr="00332FCD">
        <w:rPr>
          <w:rFonts w:ascii="Andes" w:hAnsi="Andes" w:cs="Arial"/>
          <w:sz w:val="22"/>
          <w:szCs w:val="22"/>
        </w:rPr>
        <w:t>s</w:t>
      </w:r>
      <w:r w:rsidR="00B0462F" w:rsidRPr="00332FCD">
        <w:rPr>
          <w:rFonts w:ascii="Andes" w:hAnsi="Andes" w:cs="Arial"/>
          <w:sz w:val="22"/>
          <w:szCs w:val="22"/>
        </w:rPr>
        <w:t>/Proposant</w:t>
      </w:r>
      <w:r w:rsidR="00422E8A" w:rsidRPr="00332FCD">
        <w:rPr>
          <w:rFonts w:ascii="Andes" w:hAnsi="Andes" w:cs="Arial"/>
          <w:sz w:val="22"/>
          <w:szCs w:val="22"/>
        </w:rPr>
        <w:t>s</w:t>
      </w:r>
      <w:r w:rsidR="00B0462F" w:rsidRPr="00332FCD">
        <w:rPr>
          <w:rFonts w:ascii="Andes" w:hAnsi="Andes" w:cs="Arial"/>
          <w:sz w:val="22"/>
          <w:szCs w:val="22"/>
        </w:rPr>
        <w:t xml:space="preserve"> immédiatement après réception de l’avis de non-objection de la Banque au rapport d’évaluation. </w:t>
      </w:r>
    </w:p>
    <w:p w14:paraId="5B0F2E96" w14:textId="29F5D531" w:rsidR="005858D6" w:rsidRPr="00332FCD" w:rsidRDefault="00B0462F" w:rsidP="00882278">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La Notification d’Intention d’Attribution de Marché émise par l’Emprunteur fournit au minimum à</w:t>
      </w:r>
      <w:r w:rsidR="00422E8A" w:rsidRPr="00332FCD">
        <w:rPr>
          <w:rFonts w:ascii="Andes" w:hAnsi="Andes" w:cs="Arial"/>
          <w:sz w:val="22"/>
          <w:szCs w:val="22"/>
        </w:rPr>
        <w:t xml:space="preserve"> chacun de ses destinataires </w:t>
      </w:r>
      <w:r w:rsidRPr="00332FCD">
        <w:rPr>
          <w:rFonts w:ascii="Andes" w:hAnsi="Andes" w:cs="Arial"/>
          <w:sz w:val="22"/>
          <w:szCs w:val="22"/>
        </w:rPr>
        <w:t>les informations suivantes en fonction de la méthode de sélection utilisée et dans les conditions prévues par le dossier applicable d’</w:t>
      </w:r>
      <w:r w:rsidR="00C51DF5">
        <w:rPr>
          <w:rFonts w:ascii="Andes" w:hAnsi="Andes" w:cs="Arial"/>
          <w:sz w:val="22"/>
          <w:szCs w:val="22"/>
        </w:rPr>
        <w:t>A</w:t>
      </w:r>
      <w:r w:rsidRPr="00332FCD">
        <w:rPr>
          <w:rFonts w:ascii="Andes" w:hAnsi="Andes" w:cs="Arial"/>
          <w:sz w:val="22"/>
          <w:szCs w:val="22"/>
        </w:rPr>
        <w:t>ppel d’</w:t>
      </w:r>
      <w:r w:rsidR="00C51DF5">
        <w:rPr>
          <w:rFonts w:ascii="Andes" w:hAnsi="Andes" w:cs="Arial"/>
          <w:sz w:val="22"/>
          <w:szCs w:val="22"/>
        </w:rPr>
        <w:t>O</w:t>
      </w:r>
      <w:r w:rsidRPr="00332FCD">
        <w:rPr>
          <w:rFonts w:ascii="Andes" w:hAnsi="Andes" w:cs="Arial"/>
          <w:sz w:val="22"/>
          <w:szCs w:val="22"/>
        </w:rPr>
        <w:t xml:space="preserve">ffres/à </w:t>
      </w:r>
      <w:r w:rsidR="00C51DF5">
        <w:rPr>
          <w:rFonts w:ascii="Andes" w:hAnsi="Andes" w:cs="Arial"/>
          <w:sz w:val="22"/>
          <w:szCs w:val="22"/>
        </w:rPr>
        <w:t>P</w:t>
      </w:r>
      <w:r w:rsidRPr="00332FCD">
        <w:rPr>
          <w:rFonts w:ascii="Andes" w:hAnsi="Andes" w:cs="Arial"/>
          <w:sz w:val="22"/>
          <w:szCs w:val="22"/>
        </w:rPr>
        <w:t>ropositions</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w:t>
      </w:r>
    </w:p>
    <w:p w14:paraId="707B2108" w14:textId="03EFF290" w:rsidR="005858D6" w:rsidRPr="00332FCD" w:rsidRDefault="00B0462F" w:rsidP="00AE04B1">
      <w:pPr>
        <w:pStyle w:val="Paragraphedeliste"/>
        <w:numPr>
          <w:ilvl w:val="0"/>
          <w:numId w:val="167"/>
        </w:numPr>
        <w:spacing w:before="0" w:line="240" w:lineRule="auto"/>
        <w:contextualSpacing w:val="0"/>
        <w:rPr>
          <w:rFonts w:ascii="Andes" w:eastAsia="Calibri" w:hAnsi="Andes" w:cs="Arial"/>
          <w:color w:val="000000"/>
          <w:sz w:val="22"/>
          <w:szCs w:val="22"/>
        </w:rPr>
      </w:pPr>
      <w:r w:rsidRPr="00332FCD">
        <w:rPr>
          <w:rFonts w:ascii="Andes" w:eastAsia="Calibri" w:hAnsi="Andes" w:cs="Arial"/>
          <w:color w:val="000000"/>
          <w:sz w:val="22"/>
          <w:szCs w:val="22"/>
        </w:rPr>
        <w:t>le nom et l’adresse du/des Soumissionnaire(s)/Proposant(s) ayant remis l’Offre/la Proposition retenue</w:t>
      </w:r>
      <w:r w:rsidR="00730BDF" w:rsidRPr="00332FCD">
        <w:rPr>
          <w:rFonts w:ascii="Calibri" w:eastAsia="Calibri" w:hAnsi="Calibri" w:cs="Calibri"/>
          <w:color w:val="000000"/>
          <w:sz w:val="22"/>
          <w:szCs w:val="22"/>
        </w:rPr>
        <w:t> </w:t>
      </w:r>
      <w:r w:rsidR="00730BDF" w:rsidRPr="00332FCD">
        <w:rPr>
          <w:rFonts w:ascii="Andes" w:eastAsia="Calibri" w:hAnsi="Andes" w:cs="Arial"/>
          <w:color w:val="000000"/>
          <w:sz w:val="22"/>
          <w:szCs w:val="22"/>
        </w:rPr>
        <w:t>;</w:t>
      </w:r>
    </w:p>
    <w:p w14:paraId="1FE67BF8" w14:textId="29F09902" w:rsidR="0087003D" w:rsidRPr="00EF1C04" w:rsidRDefault="00B0462F" w:rsidP="00882278">
      <w:pPr>
        <w:pStyle w:val="Paragraphedeliste"/>
        <w:numPr>
          <w:ilvl w:val="0"/>
          <w:numId w:val="167"/>
        </w:numPr>
        <w:spacing w:before="0" w:line="240" w:lineRule="auto"/>
        <w:contextualSpacing w:val="0"/>
      </w:pPr>
      <w:r w:rsidRPr="00332FCD">
        <w:rPr>
          <w:rFonts w:ascii="Andes" w:eastAsia="Calibri" w:hAnsi="Andes" w:cs="Arial"/>
          <w:color w:val="000000"/>
          <w:sz w:val="22"/>
          <w:szCs w:val="22"/>
        </w:rPr>
        <w:t>le prix du marché ou,</w:t>
      </w:r>
      <w:r w:rsidR="00821EC0" w:rsidRPr="00332FCD">
        <w:rPr>
          <w:rFonts w:ascii="Andes" w:eastAsia="Calibri" w:hAnsi="Andes" w:cs="Arial"/>
          <w:color w:val="000000"/>
          <w:sz w:val="22"/>
          <w:szCs w:val="22"/>
        </w:rPr>
        <w:t xml:space="preserve"> lorsque l’Offre </w:t>
      </w:r>
      <w:r w:rsidRPr="00332FCD">
        <w:rPr>
          <w:rFonts w:ascii="Andes" w:eastAsia="Calibri" w:hAnsi="Andes" w:cs="Arial"/>
          <w:color w:val="000000"/>
          <w:sz w:val="22"/>
          <w:szCs w:val="22"/>
        </w:rPr>
        <w:t>ou la Proposition retenue a été sélectionnée</w:t>
      </w:r>
      <w:r w:rsidR="00821EC0" w:rsidRPr="00332FCD">
        <w:rPr>
          <w:rFonts w:ascii="Andes" w:eastAsia="Calibri" w:hAnsi="Andes" w:cs="Arial"/>
          <w:color w:val="000000"/>
          <w:sz w:val="22"/>
          <w:szCs w:val="22"/>
        </w:rPr>
        <w:t xml:space="preserve"> à partir </w:t>
      </w:r>
      <w:r w:rsidRPr="00332FCD">
        <w:rPr>
          <w:rFonts w:ascii="Andes" w:eastAsia="Calibri" w:hAnsi="Andes" w:cs="Arial"/>
          <w:color w:val="000000"/>
          <w:sz w:val="22"/>
          <w:szCs w:val="22"/>
        </w:rPr>
        <w:t xml:space="preserve">de </w:t>
      </w:r>
      <w:r w:rsidR="00233496">
        <w:rPr>
          <w:rFonts w:ascii="Andes" w:eastAsia="Calibri" w:hAnsi="Andes" w:cs="Arial"/>
          <w:color w:val="000000"/>
          <w:sz w:val="22"/>
          <w:szCs w:val="22"/>
        </w:rPr>
        <w:t>C</w:t>
      </w:r>
      <w:r w:rsidRPr="00332FCD">
        <w:rPr>
          <w:rFonts w:ascii="Andes" w:eastAsia="Calibri" w:hAnsi="Andes" w:cs="Arial"/>
          <w:color w:val="000000"/>
          <w:sz w:val="22"/>
          <w:szCs w:val="22"/>
        </w:rPr>
        <w:t xml:space="preserve">ritères </w:t>
      </w:r>
      <w:r w:rsidR="00233496">
        <w:rPr>
          <w:rFonts w:ascii="Andes" w:eastAsia="Calibri" w:hAnsi="Andes" w:cs="Arial"/>
          <w:color w:val="000000"/>
          <w:sz w:val="22"/>
          <w:szCs w:val="22"/>
        </w:rPr>
        <w:t>N</w:t>
      </w:r>
      <w:r w:rsidRPr="00332FCD">
        <w:rPr>
          <w:rFonts w:ascii="Andes" w:eastAsia="Calibri" w:hAnsi="Andes" w:cs="Arial"/>
          <w:color w:val="000000"/>
          <w:sz w:val="22"/>
          <w:szCs w:val="22"/>
        </w:rPr>
        <w:t>otés</w:t>
      </w:r>
      <w:r w:rsidR="001D24E6">
        <w:rPr>
          <w:rFonts w:ascii="Calibri" w:eastAsia="Calibri" w:hAnsi="Calibri" w:cs="Calibri"/>
          <w:color w:val="000000"/>
          <w:sz w:val="22"/>
          <w:szCs w:val="22"/>
        </w:rPr>
        <w:t xml:space="preserve"> </w:t>
      </w:r>
      <w:r w:rsidR="0087003D" w:rsidRPr="00EF1C04">
        <w:t>également :</w:t>
      </w:r>
    </w:p>
    <w:p w14:paraId="682E9615" w14:textId="053FA1E6" w:rsidR="0087003D" w:rsidRPr="00882278" w:rsidRDefault="0087003D" w:rsidP="00882278">
      <w:pPr>
        <w:pStyle w:val="Paragraphedeliste"/>
        <w:widowControl w:val="0"/>
        <w:numPr>
          <w:ilvl w:val="0"/>
          <w:numId w:val="293"/>
        </w:numPr>
        <w:tabs>
          <w:tab w:val="left" w:pos="2706"/>
        </w:tabs>
        <w:autoSpaceDE w:val="0"/>
        <w:autoSpaceDN w:val="0"/>
        <w:spacing w:before="121" w:after="0" w:line="240" w:lineRule="auto"/>
        <w:ind w:left="1891" w:right="510"/>
        <w:contextualSpacing w:val="0"/>
        <w:rPr>
          <w:rFonts w:ascii="Andes" w:eastAsia="Calibri" w:hAnsi="Andes" w:cs="Arial"/>
          <w:color w:val="000000"/>
          <w:sz w:val="22"/>
          <w:szCs w:val="22"/>
        </w:rPr>
      </w:pPr>
      <w:r w:rsidRPr="00882278">
        <w:rPr>
          <w:rFonts w:ascii="Andes" w:eastAsia="Calibri" w:hAnsi="Andes" w:cs="Arial"/>
          <w:color w:val="000000"/>
          <w:sz w:val="22"/>
          <w:szCs w:val="22"/>
        </w:rPr>
        <w:t xml:space="preserve">les notes techniques globales chaque </w:t>
      </w:r>
      <w:r w:rsidR="005C2CCE" w:rsidRPr="00882278">
        <w:rPr>
          <w:rFonts w:ascii="Andes" w:eastAsia="Calibri" w:hAnsi="Andes" w:cs="Arial"/>
          <w:color w:val="000000"/>
          <w:sz w:val="22"/>
          <w:szCs w:val="22"/>
        </w:rPr>
        <w:t>S</w:t>
      </w:r>
      <w:r w:rsidRPr="00882278">
        <w:rPr>
          <w:rFonts w:ascii="Andes" w:eastAsia="Calibri" w:hAnsi="Andes" w:cs="Arial"/>
          <w:color w:val="000000"/>
          <w:sz w:val="22"/>
          <w:szCs w:val="22"/>
        </w:rPr>
        <w:t>oumissionnaire/</w:t>
      </w:r>
      <w:r w:rsidR="005C2CCE" w:rsidRPr="00882278">
        <w:rPr>
          <w:rFonts w:ascii="Andes" w:eastAsia="Calibri" w:hAnsi="Andes" w:cs="Arial"/>
          <w:color w:val="000000"/>
          <w:sz w:val="22"/>
          <w:szCs w:val="22"/>
        </w:rPr>
        <w:t>P</w:t>
      </w:r>
      <w:r w:rsidRPr="00882278">
        <w:rPr>
          <w:rFonts w:ascii="Andes" w:eastAsia="Calibri" w:hAnsi="Andes" w:cs="Arial"/>
          <w:color w:val="000000"/>
          <w:sz w:val="22"/>
          <w:szCs w:val="22"/>
        </w:rPr>
        <w:t>roposant ;</w:t>
      </w:r>
    </w:p>
    <w:p w14:paraId="5E409E49" w14:textId="0C62A77D" w:rsidR="0087003D" w:rsidRPr="00882278" w:rsidRDefault="0087003D" w:rsidP="00882278">
      <w:pPr>
        <w:pStyle w:val="Paragraphedeliste"/>
        <w:widowControl w:val="0"/>
        <w:numPr>
          <w:ilvl w:val="0"/>
          <w:numId w:val="293"/>
        </w:numPr>
        <w:tabs>
          <w:tab w:val="left" w:pos="2706"/>
        </w:tabs>
        <w:autoSpaceDE w:val="0"/>
        <w:autoSpaceDN w:val="0"/>
        <w:spacing w:before="121" w:after="0" w:line="240" w:lineRule="auto"/>
        <w:ind w:left="1891" w:right="510"/>
        <w:contextualSpacing w:val="0"/>
        <w:rPr>
          <w:rFonts w:ascii="Andes" w:eastAsia="Calibri" w:hAnsi="Andes" w:cs="Arial"/>
          <w:color w:val="000000"/>
          <w:sz w:val="22"/>
          <w:szCs w:val="22"/>
        </w:rPr>
      </w:pPr>
      <w:r w:rsidRPr="00882278">
        <w:rPr>
          <w:rFonts w:ascii="Andes" w:eastAsia="Calibri" w:hAnsi="Andes" w:cs="Arial"/>
          <w:color w:val="000000"/>
          <w:sz w:val="22"/>
          <w:szCs w:val="22"/>
        </w:rPr>
        <w:t xml:space="preserve">les notes finales combinées et le classement final du/des </w:t>
      </w:r>
      <w:r w:rsidR="005C2CCE" w:rsidRPr="00882278">
        <w:rPr>
          <w:rFonts w:ascii="Andes" w:eastAsia="Calibri" w:hAnsi="Andes" w:cs="Arial"/>
          <w:color w:val="000000"/>
          <w:sz w:val="22"/>
          <w:szCs w:val="22"/>
        </w:rPr>
        <w:t>S</w:t>
      </w:r>
      <w:r w:rsidRPr="00882278">
        <w:rPr>
          <w:rFonts w:ascii="Andes" w:eastAsia="Calibri" w:hAnsi="Andes" w:cs="Arial"/>
          <w:color w:val="000000"/>
          <w:sz w:val="22"/>
          <w:szCs w:val="22"/>
        </w:rPr>
        <w:t>oumissionnaire(s)/</w:t>
      </w:r>
      <w:r w:rsidR="005C2CCE" w:rsidRPr="00882278">
        <w:rPr>
          <w:rFonts w:ascii="Andes" w:eastAsia="Calibri" w:hAnsi="Andes" w:cs="Arial"/>
          <w:color w:val="000000"/>
          <w:sz w:val="22"/>
          <w:szCs w:val="22"/>
        </w:rPr>
        <w:t>P</w:t>
      </w:r>
      <w:r w:rsidRPr="00882278">
        <w:rPr>
          <w:rFonts w:ascii="Andes" w:eastAsia="Calibri" w:hAnsi="Andes" w:cs="Arial"/>
          <w:color w:val="000000"/>
          <w:sz w:val="22"/>
          <w:szCs w:val="22"/>
        </w:rPr>
        <w:t>roposant(s) ;</w:t>
      </w:r>
    </w:p>
    <w:p w14:paraId="3EAF295E" w14:textId="2686937D" w:rsidR="005858D6" w:rsidRPr="00882278" w:rsidRDefault="0087003D" w:rsidP="00882278">
      <w:pPr>
        <w:pStyle w:val="Paragraphedeliste"/>
        <w:widowControl w:val="0"/>
        <w:numPr>
          <w:ilvl w:val="0"/>
          <w:numId w:val="293"/>
        </w:numPr>
        <w:tabs>
          <w:tab w:val="left" w:pos="2706"/>
        </w:tabs>
        <w:autoSpaceDE w:val="0"/>
        <w:autoSpaceDN w:val="0"/>
        <w:spacing w:before="121" w:after="0" w:line="240" w:lineRule="auto"/>
        <w:ind w:left="1891" w:right="510"/>
        <w:contextualSpacing w:val="0"/>
        <w:rPr>
          <w:rFonts w:ascii="Andes" w:eastAsia="Calibri" w:hAnsi="Andes" w:cs="Arial"/>
          <w:color w:val="000000"/>
          <w:sz w:val="22"/>
          <w:szCs w:val="22"/>
        </w:rPr>
      </w:pPr>
      <w:r w:rsidRPr="00882278">
        <w:rPr>
          <w:rFonts w:ascii="Andes" w:eastAsia="Calibri" w:hAnsi="Andes" w:cs="Arial"/>
          <w:color w:val="000000"/>
          <w:sz w:val="22"/>
          <w:szCs w:val="22"/>
        </w:rPr>
        <w:t>un exposé des raisons pour lesquelles la Proposition du destinataire n'a pas été retenue, à moins que note combinée visée au paragraphe 5.</w:t>
      </w:r>
      <w:r w:rsidR="005255EC" w:rsidRPr="00882278">
        <w:rPr>
          <w:rFonts w:ascii="Andes" w:eastAsia="Calibri" w:hAnsi="Andes" w:cs="Arial"/>
          <w:color w:val="000000"/>
          <w:sz w:val="22"/>
          <w:szCs w:val="22"/>
        </w:rPr>
        <w:t>75</w:t>
      </w:r>
      <w:r w:rsidR="00CA5137" w:rsidRPr="00882278">
        <w:rPr>
          <w:rFonts w:ascii="Andes" w:eastAsia="Calibri" w:hAnsi="Andes" w:cs="Arial"/>
          <w:color w:val="000000"/>
          <w:sz w:val="22"/>
          <w:szCs w:val="22"/>
        </w:rPr>
        <w:t xml:space="preserve"> b (ii) </w:t>
      </w:r>
      <w:r w:rsidRPr="00882278">
        <w:rPr>
          <w:rFonts w:ascii="Andes" w:eastAsia="Calibri" w:hAnsi="Andes" w:cs="Arial"/>
          <w:color w:val="000000"/>
          <w:sz w:val="22"/>
          <w:szCs w:val="22"/>
        </w:rPr>
        <w:t xml:space="preserve">ne révèle déjà </w:t>
      </w:r>
      <w:r w:rsidR="00CA5137" w:rsidRPr="00882278">
        <w:rPr>
          <w:rFonts w:ascii="Andes" w:eastAsia="Calibri" w:hAnsi="Andes" w:cs="Arial"/>
          <w:color w:val="000000"/>
          <w:sz w:val="22"/>
          <w:szCs w:val="22"/>
        </w:rPr>
        <w:t>le motif</w:t>
      </w:r>
      <w:r w:rsidRPr="00882278">
        <w:rPr>
          <w:rFonts w:ascii="Andes" w:eastAsia="Calibri" w:hAnsi="Andes" w:cs="Arial"/>
          <w:color w:val="000000"/>
          <w:sz w:val="22"/>
          <w:szCs w:val="22"/>
        </w:rPr>
        <w:t>. L'Emprunteur ne divulguera pas les informations confidentielles ou exclusives d'</w:t>
      </w:r>
      <w:r w:rsidR="000026ED" w:rsidRPr="00882278">
        <w:rPr>
          <w:rFonts w:ascii="Andes" w:eastAsia="Calibri" w:hAnsi="Andes" w:cs="Arial"/>
          <w:color w:val="000000"/>
          <w:sz w:val="22"/>
          <w:szCs w:val="22"/>
        </w:rPr>
        <w:t>un autre Soumissionnaire/Proposant</w:t>
      </w:r>
      <w:r w:rsidRPr="00882278">
        <w:rPr>
          <w:rFonts w:ascii="Andes" w:eastAsia="Calibri" w:hAnsi="Andes" w:cs="Arial"/>
          <w:color w:val="000000"/>
          <w:sz w:val="22"/>
          <w:szCs w:val="22"/>
        </w:rPr>
        <w:t>, telles que la ventilation des coûts, les secrets commerciaux, la méthodologie ou d'autres informations commerciales ou financières confidentielles</w:t>
      </w:r>
      <w:r w:rsidR="00730BDF" w:rsidRPr="00882278">
        <w:rPr>
          <w:rFonts w:ascii="Andes" w:eastAsia="Calibri" w:hAnsi="Andes" w:cs="Arial"/>
          <w:color w:val="000000"/>
          <w:sz w:val="22"/>
          <w:szCs w:val="22"/>
        </w:rPr>
        <w:t>;</w:t>
      </w:r>
      <w:r w:rsidR="00821EC0" w:rsidRPr="00882278">
        <w:rPr>
          <w:rFonts w:ascii="Andes" w:eastAsia="Calibri" w:hAnsi="Andes" w:cs="Arial"/>
          <w:color w:val="000000"/>
          <w:sz w:val="22"/>
          <w:szCs w:val="22"/>
        </w:rPr>
        <w:t xml:space="preserve"> </w:t>
      </w:r>
    </w:p>
    <w:p w14:paraId="60D2BF8E" w14:textId="094AFEA0" w:rsidR="005858D6" w:rsidRPr="00332FCD" w:rsidRDefault="00821EC0" w:rsidP="00AE04B1">
      <w:pPr>
        <w:pStyle w:val="Paragraphedeliste"/>
        <w:numPr>
          <w:ilvl w:val="0"/>
          <w:numId w:val="167"/>
        </w:numPr>
        <w:spacing w:before="0" w:line="240" w:lineRule="auto"/>
        <w:contextualSpacing w:val="0"/>
        <w:rPr>
          <w:rFonts w:ascii="Andes" w:eastAsia="Calibri" w:hAnsi="Andes" w:cs="Arial"/>
          <w:color w:val="000000"/>
          <w:sz w:val="22"/>
          <w:szCs w:val="22"/>
        </w:rPr>
      </w:pPr>
      <w:r w:rsidRPr="00332FCD">
        <w:rPr>
          <w:rFonts w:ascii="Andes" w:eastAsia="Calibri" w:hAnsi="Andes" w:cs="Arial"/>
          <w:color w:val="000000"/>
          <w:sz w:val="22"/>
          <w:szCs w:val="22"/>
        </w:rPr>
        <w:t>le nom de tous les Soumissionnaires/Proposants ayant soumis</w:t>
      </w:r>
      <w:r w:rsidR="00422E8A" w:rsidRPr="00332FCD">
        <w:rPr>
          <w:rFonts w:ascii="Andes" w:eastAsia="Calibri" w:hAnsi="Andes" w:cs="Arial"/>
          <w:color w:val="000000"/>
          <w:sz w:val="22"/>
          <w:szCs w:val="22"/>
        </w:rPr>
        <w:t xml:space="preserve"> une </w:t>
      </w:r>
      <w:r w:rsidRPr="00332FCD">
        <w:rPr>
          <w:rFonts w:ascii="Andes" w:eastAsia="Calibri" w:hAnsi="Andes" w:cs="Arial"/>
          <w:color w:val="000000"/>
          <w:sz w:val="22"/>
          <w:szCs w:val="22"/>
        </w:rPr>
        <w:t>Offre/Proposition et le prix de</w:t>
      </w:r>
      <w:r w:rsidR="00422E8A" w:rsidRPr="00332FCD">
        <w:rPr>
          <w:rFonts w:ascii="Andes" w:eastAsia="Calibri" w:hAnsi="Andes" w:cs="Arial"/>
          <w:color w:val="000000"/>
          <w:sz w:val="22"/>
          <w:szCs w:val="22"/>
        </w:rPr>
        <w:t xml:space="preserve"> cette Offre/Proposition</w:t>
      </w:r>
      <w:r w:rsidRPr="00332FCD">
        <w:rPr>
          <w:rFonts w:ascii="Andes" w:eastAsia="Calibri" w:hAnsi="Andes" w:cs="Arial"/>
          <w:color w:val="000000"/>
          <w:sz w:val="22"/>
          <w:szCs w:val="22"/>
        </w:rPr>
        <w:t>, tel qu’il a été lu à haute voix et évalué</w:t>
      </w:r>
      <w:r w:rsidR="00730BDF" w:rsidRPr="00332FCD">
        <w:rPr>
          <w:rFonts w:ascii="Calibri" w:eastAsia="Calibri" w:hAnsi="Calibri" w:cs="Calibri"/>
          <w:color w:val="000000"/>
          <w:sz w:val="22"/>
          <w:szCs w:val="22"/>
        </w:rPr>
        <w:t> </w:t>
      </w:r>
      <w:r w:rsidR="00730BDF" w:rsidRPr="00332FCD">
        <w:rPr>
          <w:rFonts w:ascii="Andes" w:eastAsia="Calibri" w:hAnsi="Andes" w:cs="Arial"/>
          <w:color w:val="000000"/>
          <w:sz w:val="22"/>
          <w:szCs w:val="22"/>
        </w:rPr>
        <w:t>;</w:t>
      </w:r>
      <w:r w:rsidR="005858D6" w:rsidRPr="00332FCD">
        <w:rPr>
          <w:rFonts w:ascii="Andes" w:eastAsia="Calibri" w:hAnsi="Andes" w:cs="Arial"/>
          <w:color w:val="000000"/>
          <w:sz w:val="22"/>
          <w:szCs w:val="22"/>
        </w:rPr>
        <w:t xml:space="preserve"> </w:t>
      </w:r>
    </w:p>
    <w:p w14:paraId="100BA493" w14:textId="0E2ABCEB" w:rsidR="005858D6" w:rsidRPr="00332FCD" w:rsidRDefault="00955CE9" w:rsidP="00AE04B1">
      <w:pPr>
        <w:pStyle w:val="Paragraphedeliste"/>
        <w:numPr>
          <w:ilvl w:val="0"/>
          <w:numId w:val="167"/>
        </w:numPr>
        <w:spacing w:before="0" w:line="240" w:lineRule="auto"/>
        <w:contextualSpacing w:val="0"/>
        <w:rPr>
          <w:rFonts w:ascii="Andes" w:eastAsia="Calibri" w:hAnsi="Andes" w:cs="Arial"/>
          <w:color w:val="000000"/>
          <w:sz w:val="22"/>
          <w:szCs w:val="22"/>
        </w:rPr>
      </w:pPr>
      <w:r w:rsidRPr="00332FCD">
        <w:rPr>
          <w:rFonts w:ascii="Andes" w:eastAsia="Calibri" w:hAnsi="Andes" w:cs="Arial"/>
          <w:color w:val="000000"/>
          <w:sz w:val="22"/>
          <w:szCs w:val="22"/>
        </w:rPr>
        <w:t xml:space="preserve">l’énoncé </w:t>
      </w:r>
      <w:r w:rsidR="00422E8A" w:rsidRPr="00332FCD">
        <w:rPr>
          <w:rFonts w:ascii="Andes" w:eastAsia="Calibri" w:hAnsi="Andes" w:cs="Arial"/>
          <w:color w:val="000000"/>
          <w:sz w:val="22"/>
          <w:szCs w:val="22"/>
        </w:rPr>
        <w:t>du/des motif(s) du rejet des Offres/Propositions non retenues</w:t>
      </w:r>
      <w:r w:rsidRPr="00332FCD">
        <w:rPr>
          <w:rFonts w:ascii="Andes" w:eastAsia="Calibri" w:hAnsi="Andes" w:cs="Arial"/>
          <w:color w:val="000000"/>
          <w:sz w:val="22"/>
          <w:szCs w:val="22"/>
        </w:rPr>
        <w:t xml:space="preserve">, sauf si l’information sur le prix visé au </w:t>
      </w:r>
      <w:r w:rsidR="00F43E5A" w:rsidRPr="00332FCD">
        <w:rPr>
          <w:rFonts w:ascii="Andes" w:eastAsia="Calibri" w:hAnsi="Andes" w:cs="Arial"/>
          <w:color w:val="000000"/>
          <w:sz w:val="22"/>
          <w:szCs w:val="22"/>
        </w:rPr>
        <w:t>paragraphe</w:t>
      </w:r>
      <w:r w:rsidR="00F43E5A" w:rsidRPr="00332FCD">
        <w:rPr>
          <w:rFonts w:ascii="Calibri" w:eastAsia="Calibri" w:hAnsi="Calibri" w:cs="Calibri"/>
          <w:color w:val="000000"/>
          <w:sz w:val="22"/>
          <w:szCs w:val="22"/>
        </w:rPr>
        <w:t> </w:t>
      </w:r>
      <w:r w:rsidR="005D79B1" w:rsidRPr="00332FCD">
        <w:rPr>
          <w:rFonts w:ascii="Andes" w:eastAsia="Calibri" w:hAnsi="Andes" w:cs="Arial"/>
          <w:color w:val="000000"/>
          <w:sz w:val="22"/>
          <w:szCs w:val="22"/>
        </w:rPr>
        <w:t>5.7</w:t>
      </w:r>
      <w:r w:rsidR="00083D15">
        <w:rPr>
          <w:rFonts w:ascii="Andes" w:eastAsia="Calibri" w:hAnsi="Andes" w:cs="Arial"/>
          <w:color w:val="000000"/>
          <w:sz w:val="22"/>
          <w:szCs w:val="22"/>
        </w:rPr>
        <w:t>5</w:t>
      </w:r>
      <w:r w:rsidR="005858D6" w:rsidRPr="00332FCD">
        <w:rPr>
          <w:rFonts w:ascii="Andes" w:eastAsia="Calibri" w:hAnsi="Andes" w:cs="Arial"/>
          <w:color w:val="000000"/>
          <w:sz w:val="22"/>
          <w:szCs w:val="22"/>
        </w:rPr>
        <w:t xml:space="preserve"> </w:t>
      </w:r>
      <w:r w:rsidR="004D499C" w:rsidRPr="00332FCD">
        <w:rPr>
          <w:rFonts w:ascii="Andes" w:eastAsia="Calibri" w:hAnsi="Andes" w:cs="Arial"/>
          <w:color w:val="000000"/>
          <w:sz w:val="22"/>
          <w:szCs w:val="22"/>
        </w:rPr>
        <w:t>c</w:t>
      </w:r>
      <w:r w:rsidR="00687669" w:rsidRPr="00332FCD">
        <w:rPr>
          <w:rFonts w:ascii="Andes" w:eastAsia="Calibri" w:hAnsi="Andes" w:cs="Arial"/>
          <w:color w:val="000000"/>
          <w:sz w:val="22"/>
          <w:szCs w:val="22"/>
        </w:rPr>
        <w:t xml:space="preserve">. </w:t>
      </w:r>
      <w:r w:rsidRPr="00332FCD">
        <w:rPr>
          <w:rFonts w:ascii="Andes" w:eastAsia="Calibri" w:hAnsi="Andes" w:cs="Arial"/>
          <w:color w:val="000000"/>
          <w:sz w:val="22"/>
          <w:szCs w:val="22"/>
        </w:rPr>
        <w:t>en tient déjà lieu</w:t>
      </w:r>
      <w:r w:rsidR="00687669" w:rsidRPr="00332FCD">
        <w:rPr>
          <w:rFonts w:ascii="Andes" w:eastAsia="Calibri" w:hAnsi="Andes" w:cs="Arial"/>
          <w:color w:val="000000"/>
          <w:sz w:val="22"/>
          <w:szCs w:val="22"/>
        </w:rPr>
        <w:t xml:space="preserve">. </w:t>
      </w:r>
      <w:r w:rsidRPr="00332FCD">
        <w:rPr>
          <w:rFonts w:ascii="Andes" w:eastAsia="Calibri" w:hAnsi="Andes" w:cs="Arial"/>
          <w:color w:val="000000"/>
          <w:sz w:val="22"/>
          <w:szCs w:val="22"/>
        </w:rPr>
        <w:t>L’</w:t>
      </w:r>
      <w:r w:rsidR="00DE1AA7" w:rsidRPr="00332FCD">
        <w:rPr>
          <w:rFonts w:ascii="Andes" w:eastAsia="Calibri" w:hAnsi="Andes" w:cs="Arial"/>
          <w:color w:val="000000"/>
          <w:sz w:val="22"/>
          <w:szCs w:val="22"/>
        </w:rPr>
        <w:t xml:space="preserve">Emprunteur ne </w:t>
      </w:r>
      <w:r w:rsidR="00DE1AA7" w:rsidRPr="00332FCD">
        <w:rPr>
          <w:rFonts w:ascii="Andes" w:eastAsia="Calibri" w:hAnsi="Andes" w:cs="Arial"/>
          <w:color w:val="000000"/>
          <w:sz w:val="22"/>
          <w:szCs w:val="22"/>
        </w:rPr>
        <w:lastRenderedPageBreak/>
        <w:t>communique pas d’informations confidentielles ou protégées relatives à tout autre Soumissionnaire/Proposant, notamment celles</w:t>
      </w:r>
      <w:r w:rsidR="00687669" w:rsidRPr="00332FCD">
        <w:rPr>
          <w:rFonts w:ascii="Andes" w:eastAsia="Calibri" w:hAnsi="Andes" w:cs="Arial"/>
          <w:color w:val="000000"/>
          <w:sz w:val="22"/>
          <w:szCs w:val="22"/>
        </w:rPr>
        <w:t xml:space="preserve"> </w:t>
      </w:r>
      <w:r w:rsidR="00DE1AA7" w:rsidRPr="00332FCD">
        <w:rPr>
          <w:rFonts w:ascii="Andes" w:eastAsia="Calibri" w:hAnsi="Andes" w:cs="Arial"/>
          <w:color w:val="000000"/>
          <w:sz w:val="22"/>
          <w:szCs w:val="22"/>
        </w:rPr>
        <w:t xml:space="preserve">concernant la ventilation des coûts, les secrets </w:t>
      </w:r>
      <w:r w:rsidR="00375562" w:rsidRPr="00332FCD">
        <w:rPr>
          <w:rFonts w:ascii="Andes" w:eastAsia="Calibri" w:hAnsi="Andes" w:cs="Arial"/>
          <w:color w:val="000000"/>
          <w:sz w:val="22"/>
          <w:szCs w:val="22"/>
        </w:rPr>
        <w:t>de fabrique</w:t>
      </w:r>
      <w:r w:rsidR="00DE1AA7" w:rsidRPr="00332FCD">
        <w:rPr>
          <w:rFonts w:ascii="Andes" w:eastAsia="Calibri" w:hAnsi="Andes" w:cs="Arial"/>
          <w:color w:val="000000"/>
          <w:sz w:val="22"/>
          <w:szCs w:val="22"/>
        </w:rPr>
        <w:t xml:space="preserve">, les procédés et techniques de </w:t>
      </w:r>
      <w:r w:rsidR="00375562" w:rsidRPr="00332FCD">
        <w:rPr>
          <w:rFonts w:ascii="Andes" w:eastAsia="Calibri" w:hAnsi="Andes" w:cs="Arial"/>
          <w:color w:val="000000"/>
          <w:sz w:val="22"/>
          <w:szCs w:val="22"/>
        </w:rPr>
        <w:t>transformation</w:t>
      </w:r>
      <w:r w:rsidR="00DE1AA7" w:rsidRPr="00332FCD">
        <w:rPr>
          <w:rFonts w:ascii="Andes" w:eastAsia="Calibri" w:hAnsi="Andes" w:cs="Arial"/>
          <w:color w:val="000000"/>
          <w:sz w:val="22"/>
          <w:szCs w:val="22"/>
        </w:rPr>
        <w:t xml:space="preserve"> ou d’autres</w:t>
      </w:r>
      <w:r w:rsidR="00422E8A" w:rsidRPr="00332FCD">
        <w:rPr>
          <w:rFonts w:ascii="Andes" w:eastAsia="Calibri" w:hAnsi="Andes" w:cs="Arial"/>
          <w:color w:val="000000"/>
          <w:sz w:val="22"/>
          <w:szCs w:val="22"/>
        </w:rPr>
        <w:t xml:space="preserve"> éléments confidentiels à caractère commercial ou financier</w:t>
      </w:r>
      <w:r w:rsidR="00730BDF" w:rsidRPr="00332FCD">
        <w:rPr>
          <w:rFonts w:ascii="Calibri" w:eastAsia="Calibri" w:hAnsi="Calibri" w:cs="Calibri"/>
          <w:color w:val="000000"/>
          <w:sz w:val="22"/>
          <w:szCs w:val="22"/>
        </w:rPr>
        <w:t> </w:t>
      </w:r>
      <w:r w:rsidR="00730BDF" w:rsidRPr="00332FCD">
        <w:rPr>
          <w:rFonts w:ascii="Andes" w:eastAsia="Calibri" w:hAnsi="Andes" w:cs="Arial"/>
          <w:color w:val="000000"/>
          <w:sz w:val="22"/>
          <w:szCs w:val="22"/>
        </w:rPr>
        <w:t>;</w:t>
      </w:r>
      <w:r w:rsidR="00DE1AA7" w:rsidRPr="00332FCD">
        <w:rPr>
          <w:rFonts w:ascii="Andes" w:eastAsia="Calibri" w:hAnsi="Andes" w:cs="Arial"/>
          <w:color w:val="000000"/>
          <w:sz w:val="22"/>
          <w:szCs w:val="22"/>
        </w:rPr>
        <w:t xml:space="preserve"> </w:t>
      </w:r>
    </w:p>
    <w:p w14:paraId="29B543CA" w14:textId="3A29E7C6" w:rsidR="000372EC" w:rsidRPr="00332FCD" w:rsidRDefault="00DE1AA7" w:rsidP="00AE04B1">
      <w:pPr>
        <w:pStyle w:val="Paragraphedeliste"/>
        <w:numPr>
          <w:ilvl w:val="0"/>
          <w:numId w:val="167"/>
        </w:numPr>
        <w:spacing w:before="0" w:line="240" w:lineRule="auto"/>
        <w:contextualSpacing w:val="0"/>
        <w:rPr>
          <w:rFonts w:ascii="Andes" w:eastAsia="Calibri" w:hAnsi="Andes" w:cs="Arial"/>
          <w:color w:val="000000"/>
          <w:sz w:val="22"/>
          <w:szCs w:val="22"/>
        </w:rPr>
      </w:pPr>
      <w:r w:rsidRPr="00332FCD">
        <w:rPr>
          <w:rFonts w:ascii="Andes" w:eastAsia="Calibri" w:hAnsi="Andes" w:cs="Arial"/>
          <w:color w:val="000000"/>
          <w:sz w:val="22"/>
          <w:szCs w:val="22"/>
        </w:rPr>
        <w:t>les instructions nécessaires</w:t>
      </w:r>
      <w:r w:rsidR="00422E8A" w:rsidRPr="00332FCD">
        <w:rPr>
          <w:rFonts w:ascii="Andes" w:eastAsia="Calibri" w:hAnsi="Andes" w:cs="Arial"/>
          <w:color w:val="000000"/>
          <w:sz w:val="22"/>
          <w:szCs w:val="22"/>
        </w:rPr>
        <w:t xml:space="preserve"> pour </w:t>
      </w:r>
      <w:r w:rsidRPr="00332FCD">
        <w:rPr>
          <w:rFonts w:ascii="Andes" w:eastAsia="Calibri" w:hAnsi="Andes" w:cs="Arial"/>
          <w:color w:val="000000"/>
          <w:sz w:val="22"/>
          <w:szCs w:val="22"/>
        </w:rPr>
        <w:t>demander un débriefing et/ou déposer une plainte pendant</w:t>
      </w:r>
      <w:r w:rsidR="003B6509" w:rsidRPr="00332FCD">
        <w:rPr>
          <w:rFonts w:ascii="Andes" w:eastAsia="Calibri" w:hAnsi="Andes" w:cs="Arial"/>
          <w:color w:val="000000"/>
          <w:sz w:val="22"/>
          <w:szCs w:val="22"/>
        </w:rPr>
        <w:t xml:space="preserve"> le Délai </w:t>
      </w:r>
      <w:r w:rsidR="006A3AC5" w:rsidRPr="00332FCD">
        <w:rPr>
          <w:rFonts w:ascii="Andes" w:eastAsia="Calibri" w:hAnsi="Andes" w:cs="Arial"/>
          <w:color w:val="000000"/>
          <w:sz w:val="22"/>
          <w:szCs w:val="22"/>
        </w:rPr>
        <w:t>d’Attente</w:t>
      </w:r>
      <w:r w:rsidRPr="00332FCD">
        <w:rPr>
          <w:rFonts w:ascii="Andes" w:eastAsia="Calibri" w:hAnsi="Andes" w:cs="Arial"/>
          <w:color w:val="000000"/>
          <w:sz w:val="22"/>
          <w:szCs w:val="22"/>
        </w:rPr>
        <w:t>, dans les conditions prévues par le dossier d’</w:t>
      </w:r>
      <w:r w:rsidR="00C51DF5">
        <w:rPr>
          <w:rFonts w:ascii="Andes" w:eastAsia="Calibri" w:hAnsi="Andes" w:cs="Arial"/>
          <w:color w:val="000000"/>
          <w:sz w:val="22"/>
          <w:szCs w:val="22"/>
        </w:rPr>
        <w:t>Appel d’Offres/ à Propositions</w:t>
      </w:r>
      <w:r w:rsidRPr="00332FCD">
        <w:rPr>
          <w:rFonts w:ascii="Andes" w:eastAsia="Calibri" w:hAnsi="Andes" w:cs="Arial"/>
          <w:color w:val="000000"/>
          <w:sz w:val="22"/>
          <w:szCs w:val="22"/>
        </w:rPr>
        <w:t xml:space="preserve"> et conformément aux dispositions de l’annexe</w:t>
      </w:r>
      <w:r w:rsidRPr="00332FCD">
        <w:rPr>
          <w:rFonts w:ascii="Calibri" w:eastAsia="Calibri" w:hAnsi="Calibri" w:cs="Arial"/>
          <w:color w:val="000000"/>
          <w:sz w:val="22"/>
          <w:szCs w:val="22"/>
        </w:rPr>
        <w:t> </w:t>
      </w:r>
      <w:r w:rsidR="005858D6" w:rsidRPr="00332FCD">
        <w:rPr>
          <w:rFonts w:ascii="Andes" w:eastAsia="Calibri" w:hAnsi="Andes" w:cs="Arial"/>
          <w:color w:val="000000"/>
          <w:sz w:val="22"/>
          <w:szCs w:val="22"/>
        </w:rPr>
        <w:t>III</w:t>
      </w:r>
      <w:r w:rsidR="009F7892" w:rsidRPr="00332FCD">
        <w:rPr>
          <w:rFonts w:ascii="Andes" w:eastAsia="Calibri" w:hAnsi="Andes" w:cs="Arial"/>
          <w:color w:val="000000"/>
          <w:sz w:val="22"/>
          <w:szCs w:val="22"/>
        </w:rPr>
        <w:t xml:space="preserve">, </w:t>
      </w:r>
      <w:r w:rsidR="003B6509" w:rsidRPr="00332FCD">
        <w:rPr>
          <w:rFonts w:ascii="Andes" w:eastAsia="Calibri" w:hAnsi="Andes" w:cs="Arial"/>
          <w:color w:val="000000"/>
          <w:sz w:val="22"/>
          <w:szCs w:val="22"/>
        </w:rPr>
        <w:t>Plaintes relatives à la passation des marchés</w:t>
      </w:r>
      <w:r w:rsidR="00730BDF" w:rsidRPr="00332FCD">
        <w:rPr>
          <w:rFonts w:ascii="Calibri" w:eastAsia="Calibri" w:hAnsi="Calibri" w:cs="Calibri"/>
          <w:color w:val="000000"/>
          <w:sz w:val="22"/>
          <w:szCs w:val="22"/>
        </w:rPr>
        <w:t> </w:t>
      </w:r>
      <w:r w:rsidR="00730BDF" w:rsidRPr="00332FCD">
        <w:rPr>
          <w:rFonts w:ascii="Andes" w:eastAsia="Calibri" w:hAnsi="Andes" w:cs="Arial"/>
          <w:color w:val="000000"/>
          <w:sz w:val="22"/>
          <w:szCs w:val="22"/>
        </w:rPr>
        <w:t>;</w:t>
      </w:r>
      <w:r w:rsidR="003B6509" w:rsidRPr="00332FCD">
        <w:rPr>
          <w:rFonts w:ascii="Andes" w:eastAsia="Calibri" w:hAnsi="Andes" w:cs="Arial"/>
          <w:color w:val="000000"/>
          <w:sz w:val="22"/>
          <w:szCs w:val="22"/>
        </w:rPr>
        <w:t xml:space="preserve"> et</w:t>
      </w:r>
    </w:p>
    <w:p w14:paraId="29F6728D" w14:textId="14D5E93E" w:rsidR="005858D6" w:rsidRDefault="003B6509" w:rsidP="00AE04B1">
      <w:pPr>
        <w:pStyle w:val="Paragraphedeliste"/>
        <w:numPr>
          <w:ilvl w:val="0"/>
          <w:numId w:val="167"/>
        </w:numPr>
        <w:spacing w:before="0" w:line="240" w:lineRule="auto"/>
        <w:contextualSpacing w:val="0"/>
        <w:rPr>
          <w:rFonts w:ascii="Andes" w:eastAsia="Calibri" w:hAnsi="Andes" w:cs="Arial"/>
          <w:color w:val="000000"/>
          <w:sz w:val="22"/>
          <w:szCs w:val="22"/>
        </w:rPr>
      </w:pPr>
      <w:r w:rsidRPr="00332FCD">
        <w:rPr>
          <w:rFonts w:ascii="Andes" w:eastAsia="Calibri" w:hAnsi="Andes" w:cs="Arial"/>
          <w:color w:val="000000"/>
          <w:sz w:val="22"/>
          <w:szCs w:val="22"/>
        </w:rPr>
        <w:t xml:space="preserve">la date à laquelle le Délai </w:t>
      </w:r>
      <w:r w:rsidR="006A3AC5" w:rsidRPr="00332FCD">
        <w:rPr>
          <w:rFonts w:ascii="Andes" w:eastAsia="Calibri" w:hAnsi="Andes" w:cs="Arial"/>
          <w:color w:val="000000"/>
          <w:sz w:val="22"/>
          <w:szCs w:val="22"/>
        </w:rPr>
        <w:t>d’Attente</w:t>
      </w:r>
      <w:r w:rsidRPr="00332FCD">
        <w:rPr>
          <w:rFonts w:ascii="Andes" w:eastAsia="Calibri" w:hAnsi="Andes" w:cs="Arial"/>
          <w:color w:val="000000"/>
          <w:sz w:val="22"/>
          <w:szCs w:val="22"/>
        </w:rPr>
        <w:t xml:space="preserve"> doit </w:t>
      </w:r>
      <w:r w:rsidR="00422E8A" w:rsidRPr="00332FCD">
        <w:rPr>
          <w:rFonts w:ascii="Andes" w:eastAsia="Calibri" w:hAnsi="Andes" w:cs="Arial"/>
          <w:color w:val="000000"/>
          <w:sz w:val="22"/>
          <w:szCs w:val="22"/>
        </w:rPr>
        <w:t>prendre fin</w:t>
      </w:r>
      <w:r w:rsidR="00687669" w:rsidRPr="00332FCD">
        <w:rPr>
          <w:rFonts w:ascii="Andes" w:eastAsia="Calibri" w:hAnsi="Andes" w:cs="Arial"/>
          <w:color w:val="000000"/>
          <w:sz w:val="22"/>
          <w:szCs w:val="22"/>
        </w:rPr>
        <w:t xml:space="preserve">.  </w:t>
      </w:r>
    </w:p>
    <w:p w14:paraId="6E9560B7" w14:textId="30411826" w:rsidR="005858D6" w:rsidRPr="00332FCD" w:rsidRDefault="00292F4E" w:rsidP="00AE04B1">
      <w:pPr>
        <w:spacing w:before="240" w:line="240" w:lineRule="auto"/>
        <w:ind w:left="-90"/>
        <w:contextualSpacing w:val="0"/>
        <w:rPr>
          <w:rFonts w:ascii="Andes" w:hAnsi="Andes" w:cs="Arial"/>
          <w:b/>
          <w:sz w:val="28"/>
          <w:szCs w:val="28"/>
        </w:rPr>
      </w:pPr>
      <w:r w:rsidRPr="00332FCD">
        <w:rPr>
          <w:rFonts w:ascii="Andes" w:hAnsi="Andes" w:cs="Arial"/>
          <w:b/>
          <w:sz w:val="28"/>
          <w:szCs w:val="28"/>
        </w:rPr>
        <w:t>Services de Consultants</w:t>
      </w:r>
    </w:p>
    <w:p w14:paraId="73AC2FFB" w14:textId="6D61AA31" w:rsidR="0089635C" w:rsidRPr="00332FCD" w:rsidRDefault="003B6509" w:rsidP="00882278">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Une fois le projet de contrat négocié paraphé par le Consultant retenu, l’</w:t>
      </w:r>
      <w:r w:rsidR="003C0C34" w:rsidRPr="00332FCD">
        <w:rPr>
          <w:rFonts w:ascii="Andes" w:hAnsi="Andes" w:cs="Arial"/>
          <w:sz w:val="22"/>
          <w:szCs w:val="22"/>
        </w:rPr>
        <w:t xml:space="preserve">Emprunteur </w:t>
      </w:r>
      <w:r w:rsidRPr="00332FCD">
        <w:rPr>
          <w:rFonts w:ascii="Andes" w:hAnsi="Andes" w:cs="Arial"/>
          <w:sz w:val="22"/>
          <w:szCs w:val="22"/>
        </w:rPr>
        <w:t xml:space="preserve">adresse sans tarder et au même moment </w:t>
      </w:r>
      <w:r w:rsidR="003C0C34" w:rsidRPr="00332FCD">
        <w:rPr>
          <w:rFonts w:ascii="Andes" w:hAnsi="Andes" w:cs="Arial"/>
          <w:sz w:val="22"/>
          <w:szCs w:val="22"/>
        </w:rPr>
        <w:t>à chaque Consultant dont la Proposition financière a été ouverte,</w:t>
      </w:r>
      <w:r w:rsidR="00422E8A" w:rsidRPr="00332FCD">
        <w:rPr>
          <w:rFonts w:ascii="Andes" w:hAnsi="Andes" w:cs="Arial"/>
          <w:sz w:val="22"/>
          <w:szCs w:val="22"/>
        </w:rPr>
        <w:t xml:space="preserve"> une </w:t>
      </w:r>
      <w:r w:rsidR="003C0C34" w:rsidRPr="00332FCD">
        <w:rPr>
          <w:rFonts w:ascii="Andes" w:hAnsi="Andes" w:cs="Arial"/>
          <w:sz w:val="22"/>
          <w:szCs w:val="22"/>
        </w:rPr>
        <w:t>Notification</w:t>
      </w:r>
      <w:r w:rsidR="00422E8A" w:rsidRPr="00332FCD">
        <w:rPr>
          <w:rFonts w:ascii="Andes" w:hAnsi="Andes" w:cs="Arial"/>
          <w:sz w:val="22"/>
          <w:szCs w:val="22"/>
        </w:rPr>
        <w:t xml:space="preserve"> de son </w:t>
      </w:r>
      <w:r w:rsidR="003C0C34" w:rsidRPr="00332FCD">
        <w:rPr>
          <w:rFonts w:ascii="Andes" w:hAnsi="Andes" w:cs="Arial"/>
          <w:sz w:val="22"/>
          <w:szCs w:val="22"/>
        </w:rPr>
        <w:t>Intention</w:t>
      </w:r>
      <w:r w:rsidR="00422E8A" w:rsidRPr="00332FCD">
        <w:rPr>
          <w:rFonts w:ascii="Andes" w:hAnsi="Andes" w:cs="Arial"/>
          <w:sz w:val="22"/>
          <w:szCs w:val="22"/>
        </w:rPr>
        <w:t xml:space="preserve"> d’Attribuer le </w:t>
      </w:r>
      <w:r w:rsidR="003C0C34" w:rsidRPr="00332FCD">
        <w:rPr>
          <w:rFonts w:ascii="Andes" w:hAnsi="Andes" w:cs="Arial"/>
          <w:sz w:val="22"/>
          <w:szCs w:val="22"/>
        </w:rPr>
        <w:t xml:space="preserve">Contrat au Consultant </w:t>
      </w:r>
      <w:r w:rsidR="00422E8A" w:rsidRPr="00332FCD">
        <w:rPr>
          <w:rFonts w:ascii="Andes" w:hAnsi="Andes" w:cs="Arial"/>
          <w:sz w:val="22"/>
          <w:szCs w:val="22"/>
        </w:rPr>
        <w:t xml:space="preserve">qu’il a </w:t>
      </w:r>
      <w:r w:rsidR="003C0C34" w:rsidRPr="00332FCD">
        <w:rPr>
          <w:rFonts w:ascii="Andes" w:hAnsi="Andes" w:cs="Arial"/>
          <w:sz w:val="22"/>
          <w:szCs w:val="22"/>
        </w:rPr>
        <w:t xml:space="preserve">retenu </w:t>
      </w:r>
      <w:r w:rsidR="00422E8A" w:rsidRPr="00332FCD">
        <w:rPr>
          <w:rFonts w:ascii="Andes" w:hAnsi="Andes" w:cs="Arial"/>
          <w:sz w:val="22"/>
          <w:szCs w:val="22"/>
        </w:rPr>
        <w:t>et avec qui ledit contrat a été négocié avec succès</w:t>
      </w:r>
      <w:r w:rsidR="003C0C34" w:rsidRPr="00332FCD">
        <w:rPr>
          <w:rFonts w:ascii="Andes" w:hAnsi="Andes" w:cs="Arial"/>
          <w:sz w:val="22"/>
          <w:szCs w:val="22"/>
        </w:rPr>
        <w:t xml:space="preserve">. Dans le cas des </w:t>
      </w:r>
      <w:r w:rsidR="00422E8A" w:rsidRPr="00332FCD">
        <w:rPr>
          <w:rFonts w:ascii="Andes" w:hAnsi="Andes" w:cs="Arial"/>
          <w:sz w:val="22"/>
          <w:szCs w:val="22"/>
        </w:rPr>
        <w:t>Accords</w:t>
      </w:r>
      <w:r w:rsidR="006A3AC5" w:rsidRPr="00332FCD">
        <w:rPr>
          <w:rFonts w:ascii="Andes" w:hAnsi="Andes" w:cs="Arial"/>
          <w:sz w:val="22"/>
          <w:szCs w:val="22"/>
        </w:rPr>
        <w:t>-</w:t>
      </w:r>
      <w:r w:rsidR="00422E8A" w:rsidRPr="00332FCD">
        <w:rPr>
          <w:rFonts w:ascii="Andes" w:hAnsi="Andes" w:cs="Arial"/>
          <w:sz w:val="22"/>
          <w:szCs w:val="22"/>
        </w:rPr>
        <w:t>Cadres</w:t>
      </w:r>
      <w:r w:rsidR="003C0C34" w:rsidRPr="00332FCD">
        <w:rPr>
          <w:rFonts w:ascii="Andes" w:hAnsi="Andes" w:cs="Arial"/>
          <w:sz w:val="22"/>
          <w:szCs w:val="22"/>
        </w:rPr>
        <w:t>, la notification écrite d’intention de conclure un AC est adressée aux Consultants immédiatement après</w:t>
      </w:r>
      <w:r w:rsidR="00422E8A" w:rsidRPr="00332FCD">
        <w:rPr>
          <w:rFonts w:ascii="Andes" w:hAnsi="Andes" w:cs="Arial"/>
          <w:sz w:val="22"/>
          <w:szCs w:val="22"/>
        </w:rPr>
        <w:t xml:space="preserve"> cette </w:t>
      </w:r>
      <w:r w:rsidR="003C0C34" w:rsidRPr="00332FCD">
        <w:rPr>
          <w:rFonts w:ascii="Andes" w:hAnsi="Andes" w:cs="Arial"/>
          <w:sz w:val="22"/>
          <w:szCs w:val="22"/>
        </w:rPr>
        <w:t xml:space="preserve">décision prise. </w:t>
      </w:r>
    </w:p>
    <w:p w14:paraId="2FB9B8C7" w14:textId="56CAFC41" w:rsidR="005858D6" w:rsidRPr="00332FCD" w:rsidRDefault="00973464" w:rsidP="00882278">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 xml:space="preserve">Dans le cas des contrats soumis </w:t>
      </w:r>
      <w:r w:rsidR="00651C55" w:rsidRPr="00332FCD">
        <w:rPr>
          <w:rFonts w:ascii="Andes" w:hAnsi="Andes" w:cs="Arial"/>
          <w:sz w:val="22"/>
          <w:szCs w:val="22"/>
        </w:rPr>
        <w:t xml:space="preserve">à </w:t>
      </w:r>
      <w:r w:rsidRPr="00332FCD">
        <w:rPr>
          <w:rFonts w:ascii="Andes" w:hAnsi="Andes" w:cs="Arial"/>
          <w:sz w:val="22"/>
          <w:szCs w:val="22"/>
        </w:rPr>
        <w:t>examen préalable, la Notification d’Intention d’Attribution de Contrat (ou notification d’intention de conclure un AC) est adressée immédiatement après réception de l’avis de non-objection de la Banque au projet de contrat négocié paraphé par le Consultant retenu ou, dans le cas des Accords</w:t>
      </w:r>
      <w:r w:rsidR="006A3AC5" w:rsidRPr="00332FCD">
        <w:rPr>
          <w:rFonts w:ascii="Andes" w:hAnsi="Andes" w:cs="Arial"/>
          <w:sz w:val="22"/>
          <w:szCs w:val="22"/>
        </w:rPr>
        <w:t>-</w:t>
      </w:r>
      <w:r w:rsidRPr="00332FCD">
        <w:rPr>
          <w:rFonts w:ascii="Andes" w:hAnsi="Andes" w:cs="Arial"/>
          <w:sz w:val="22"/>
          <w:szCs w:val="22"/>
        </w:rPr>
        <w:t xml:space="preserve">Cadres, de l’avis de non-objection de la Banque au rapport d’évaluation. </w:t>
      </w:r>
    </w:p>
    <w:p w14:paraId="02F2893B" w14:textId="33B46EF9" w:rsidR="005858D6" w:rsidRPr="00332FCD" w:rsidRDefault="00973464" w:rsidP="00882278">
      <w:pPr>
        <w:pStyle w:val="Paragraphedeliste"/>
        <w:numPr>
          <w:ilvl w:val="0"/>
          <w:numId w:val="78"/>
        </w:numPr>
        <w:spacing w:before="0" w:line="240" w:lineRule="auto"/>
        <w:ind w:left="634" w:hanging="634"/>
        <w:contextualSpacing w:val="0"/>
        <w:rPr>
          <w:rFonts w:ascii="Andes" w:hAnsi="Andes" w:cs="Arial"/>
          <w:sz w:val="22"/>
          <w:szCs w:val="22"/>
        </w:rPr>
      </w:pPr>
      <w:r w:rsidRPr="00332FCD">
        <w:rPr>
          <w:rFonts w:ascii="Andes" w:hAnsi="Andes" w:cs="Arial"/>
          <w:sz w:val="22"/>
          <w:szCs w:val="22"/>
        </w:rPr>
        <w:t>La Notification d’Intention d’Attribution de Contrat émise par l’Emprunteur fournit au minimum à chacun de ses destinataires les informations suivantes en fonction de la méthode de sélection utilisée et dans les conditions prévues par le dossier d’appel à propositions</w:t>
      </w:r>
      <w:r w:rsidR="00730BDF" w:rsidRPr="00332FCD">
        <w:rPr>
          <w:rFonts w:ascii="Calibri" w:hAnsi="Calibri" w:cs="Calibri"/>
          <w:sz w:val="22"/>
          <w:szCs w:val="22"/>
        </w:rPr>
        <w:t> </w:t>
      </w:r>
      <w:r w:rsidR="00730BDF" w:rsidRPr="00332FCD">
        <w:rPr>
          <w:rFonts w:ascii="Andes" w:hAnsi="Andes" w:cs="Arial"/>
          <w:sz w:val="22"/>
          <w:szCs w:val="22"/>
        </w:rPr>
        <w:t>:</w:t>
      </w:r>
      <w:r w:rsidRPr="00332FCD">
        <w:rPr>
          <w:rFonts w:ascii="Andes" w:hAnsi="Andes" w:cs="Arial"/>
          <w:sz w:val="22"/>
          <w:szCs w:val="22"/>
        </w:rPr>
        <w:t xml:space="preserve"> </w:t>
      </w:r>
    </w:p>
    <w:p w14:paraId="2D87553B" w14:textId="558BC2D5" w:rsidR="005858D6" w:rsidRPr="00332FCD" w:rsidRDefault="00973464" w:rsidP="00165C7E">
      <w:pPr>
        <w:pStyle w:val="Paragraphedeliste"/>
        <w:numPr>
          <w:ilvl w:val="0"/>
          <w:numId w:val="168"/>
        </w:numPr>
        <w:spacing w:before="0" w:line="240" w:lineRule="auto"/>
        <w:contextualSpacing w:val="0"/>
        <w:rPr>
          <w:rFonts w:ascii="Andes" w:eastAsia="Calibri" w:hAnsi="Andes" w:cs="Arial"/>
          <w:color w:val="000000"/>
          <w:sz w:val="22"/>
          <w:szCs w:val="22"/>
        </w:rPr>
      </w:pPr>
      <w:r w:rsidRPr="00332FCD">
        <w:rPr>
          <w:rFonts w:ascii="Andes" w:eastAsia="Calibri" w:hAnsi="Andes" w:cs="Arial"/>
          <w:color w:val="000000"/>
          <w:sz w:val="22"/>
          <w:szCs w:val="22"/>
        </w:rPr>
        <w:t>le nom et l’adresse du Consultant avec lequel l’Emprunteur a négocié le contrat avec succès, et le prix du contrat</w:t>
      </w:r>
      <w:r w:rsidR="00730BDF" w:rsidRPr="00332FCD">
        <w:rPr>
          <w:rFonts w:ascii="Calibri" w:eastAsia="Calibri" w:hAnsi="Calibri" w:cs="Calibri"/>
          <w:color w:val="000000"/>
          <w:sz w:val="22"/>
          <w:szCs w:val="22"/>
        </w:rPr>
        <w:t> </w:t>
      </w:r>
      <w:r w:rsidR="00730BDF" w:rsidRPr="00332FCD">
        <w:rPr>
          <w:rFonts w:ascii="Andes" w:eastAsia="Calibri" w:hAnsi="Andes" w:cs="Arial"/>
          <w:color w:val="000000"/>
          <w:sz w:val="22"/>
          <w:szCs w:val="22"/>
        </w:rPr>
        <w:t>;</w:t>
      </w:r>
    </w:p>
    <w:p w14:paraId="3BDD8623" w14:textId="27D9FAD7" w:rsidR="005858D6" w:rsidRPr="00332FCD" w:rsidRDefault="00C16F91" w:rsidP="00165C7E">
      <w:pPr>
        <w:pStyle w:val="Paragraphedeliste"/>
        <w:numPr>
          <w:ilvl w:val="0"/>
          <w:numId w:val="168"/>
        </w:numPr>
        <w:spacing w:before="0" w:line="240" w:lineRule="auto"/>
        <w:contextualSpacing w:val="0"/>
        <w:rPr>
          <w:rFonts w:ascii="Andes" w:eastAsia="Calibri" w:hAnsi="Andes" w:cs="Arial"/>
          <w:color w:val="000000"/>
          <w:sz w:val="22"/>
          <w:szCs w:val="22"/>
        </w:rPr>
      </w:pPr>
      <w:r w:rsidRPr="00332FCD">
        <w:rPr>
          <w:rFonts w:ascii="Andes" w:eastAsia="Calibri" w:hAnsi="Andes" w:cs="Arial"/>
          <w:color w:val="000000"/>
          <w:sz w:val="22"/>
          <w:szCs w:val="22"/>
        </w:rPr>
        <w:t xml:space="preserve">le nom de tous les Consultants </w:t>
      </w:r>
      <w:r w:rsidR="004544CB" w:rsidRPr="00332FCD">
        <w:rPr>
          <w:rFonts w:ascii="Andes" w:eastAsia="Calibri" w:hAnsi="Andes" w:cs="Arial"/>
          <w:color w:val="000000"/>
          <w:sz w:val="22"/>
          <w:szCs w:val="22"/>
        </w:rPr>
        <w:t>P</w:t>
      </w:r>
      <w:r w:rsidRPr="00332FCD">
        <w:rPr>
          <w:rFonts w:ascii="Andes" w:eastAsia="Calibri" w:hAnsi="Andes" w:cs="Arial"/>
          <w:color w:val="000000"/>
          <w:sz w:val="22"/>
          <w:szCs w:val="22"/>
        </w:rPr>
        <w:t>résélectionnés, avec mention de ceux qui ont remis des Propositions</w:t>
      </w:r>
      <w:r w:rsidR="00730BDF" w:rsidRPr="00332FCD">
        <w:rPr>
          <w:rFonts w:ascii="Calibri" w:eastAsia="Calibri" w:hAnsi="Calibri" w:cs="Calibri"/>
          <w:color w:val="000000"/>
          <w:sz w:val="22"/>
          <w:szCs w:val="22"/>
        </w:rPr>
        <w:t> </w:t>
      </w:r>
      <w:r w:rsidR="00730BDF" w:rsidRPr="00332FCD">
        <w:rPr>
          <w:rFonts w:ascii="Andes" w:eastAsia="Calibri" w:hAnsi="Andes" w:cs="Arial"/>
          <w:color w:val="000000"/>
          <w:sz w:val="22"/>
          <w:szCs w:val="22"/>
        </w:rPr>
        <w:t>;</w:t>
      </w:r>
      <w:r w:rsidR="005858D6" w:rsidRPr="00332FCD">
        <w:rPr>
          <w:rFonts w:ascii="Andes" w:eastAsia="Calibri" w:hAnsi="Andes" w:cs="Arial"/>
          <w:color w:val="000000"/>
          <w:sz w:val="22"/>
          <w:szCs w:val="22"/>
        </w:rPr>
        <w:t xml:space="preserve"> </w:t>
      </w:r>
    </w:p>
    <w:p w14:paraId="3C6FC50E" w14:textId="240F475C" w:rsidR="005858D6" w:rsidRPr="00332FCD" w:rsidRDefault="00C16F91" w:rsidP="00165C7E">
      <w:pPr>
        <w:pStyle w:val="Paragraphedeliste"/>
        <w:numPr>
          <w:ilvl w:val="0"/>
          <w:numId w:val="168"/>
        </w:numPr>
        <w:spacing w:before="0" w:line="240" w:lineRule="auto"/>
        <w:contextualSpacing w:val="0"/>
        <w:rPr>
          <w:rFonts w:ascii="Andes" w:eastAsia="Calibri" w:hAnsi="Andes" w:cs="Arial"/>
          <w:color w:val="000000"/>
          <w:sz w:val="22"/>
          <w:szCs w:val="22"/>
        </w:rPr>
      </w:pPr>
      <w:r w:rsidRPr="00332FCD">
        <w:rPr>
          <w:rFonts w:ascii="Andes" w:eastAsia="Calibri" w:hAnsi="Andes" w:cs="Arial"/>
          <w:color w:val="000000"/>
          <w:sz w:val="22"/>
          <w:szCs w:val="22"/>
        </w:rPr>
        <w:t>lorsque la méthode de sélection le prescrit, le prix proposé par chaque Consultant, tel qu’il a été lu à haute voix et évalué</w:t>
      </w:r>
      <w:r w:rsidR="00730BDF" w:rsidRPr="00332FCD">
        <w:rPr>
          <w:rFonts w:ascii="Calibri" w:eastAsia="Calibri" w:hAnsi="Calibri" w:cs="Calibri"/>
          <w:color w:val="000000"/>
          <w:sz w:val="22"/>
          <w:szCs w:val="22"/>
        </w:rPr>
        <w:t> </w:t>
      </w:r>
      <w:r w:rsidR="00730BDF" w:rsidRPr="00332FCD">
        <w:rPr>
          <w:rFonts w:ascii="Andes" w:eastAsia="Calibri" w:hAnsi="Andes" w:cs="Arial"/>
          <w:color w:val="000000"/>
          <w:sz w:val="22"/>
          <w:szCs w:val="22"/>
        </w:rPr>
        <w:t>;</w:t>
      </w:r>
      <w:r w:rsidRPr="00332FCD">
        <w:rPr>
          <w:rFonts w:ascii="Andes" w:eastAsia="Calibri" w:hAnsi="Andes" w:cs="Arial"/>
          <w:color w:val="000000"/>
          <w:sz w:val="22"/>
          <w:szCs w:val="22"/>
        </w:rPr>
        <w:t xml:space="preserve"> </w:t>
      </w:r>
    </w:p>
    <w:p w14:paraId="26E789D9" w14:textId="7551F52F" w:rsidR="005858D6" w:rsidRPr="00332FCD" w:rsidRDefault="00C16F91" w:rsidP="00165C7E">
      <w:pPr>
        <w:pStyle w:val="Paragraphedeliste"/>
        <w:numPr>
          <w:ilvl w:val="0"/>
          <w:numId w:val="168"/>
        </w:numPr>
        <w:spacing w:before="0" w:line="240" w:lineRule="auto"/>
        <w:contextualSpacing w:val="0"/>
        <w:rPr>
          <w:rFonts w:ascii="Andes" w:eastAsia="Calibri" w:hAnsi="Andes" w:cs="Arial"/>
          <w:color w:val="000000"/>
          <w:sz w:val="22"/>
          <w:szCs w:val="22"/>
        </w:rPr>
      </w:pPr>
      <w:r w:rsidRPr="00332FCD">
        <w:rPr>
          <w:rFonts w:ascii="Andes" w:eastAsia="Calibri" w:hAnsi="Andes" w:cs="Arial"/>
          <w:color w:val="000000"/>
          <w:sz w:val="22"/>
          <w:szCs w:val="22"/>
        </w:rPr>
        <w:t>les</w:t>
      </w:r>
      <w:r w:rsidR="00A74256" w:rsidRPr="00332FCD">
        <w:rPr>
          <w:rFonts w:ascii="Andes" w:eastAsia="Calibri" w:hAnsi="Andes" w:cs="Arial"/>
          <w:color w:val="000000"/>
          <w:sz w:val="22"/>
          <w:szCs w:val="22"/>
        </w:rPr>
        <w:t xml:space="preserve"> notes </w:t>
      </w:r>
      <w:r w:rsidRPr="00332FCD">
        <w:rPr>
          <w:rFonts w:ascii="Andes" w:eastAsia="Calibri" w:hAnsi="Andes" w:cs="Arial"/>
          <w:color w:val="000000"/>
          <w:sz w:val="22"/>
          <w:szCs w:val="22"/>
        </w:rPr>
        <w:t>techniques</w:t>
      </w:r>
      <w:r w:rsidR="00A74256" w:rsidRPr="00332FCD">
        <w:rPr>
          <w:rFonts w:ascii="Andes" w:eastAsia="Calibri" w:hAnsi="Andes" w:cs="Arial"/>
          <w:color w:val="000000"/>
          <w:sz w:val="22"/>
          <w:szCs w:val="22"/>
        </w:rPr>
        <w:t xml:space="preserve"> globales </w:t>
      </w:r>
      <w:r w:rsidRPr="00332FCD">
        <w:rPr>
          <w:rFonts w:ascii="Andes" w:eastAsia="Calibri" w:hAnsi="Andes" w:cs="Arial"/>
          <w:color w:val="000000"/>
          <w:sz w:val="22"/>
          <w:szCs w:val="22"/>
        </w:rPr>
        <w:t>et les</w:t>
      </w:r>
      <w:r w:rsidR="00A74256" w:rsidRPr="00332FCD">
        <w:rPr>
          <w:rFonts w:ascii="Andes" w:eastAsia="Calibri" w:hAnsi="Andes" w:cs="Arial"/>
          <w:color w:val="000000"/>
          <w:sz w:val="22"/>
          <w:szCs w:val="22"/>
        </w:rPr>
        <w:t xml:space="preserve"> notes attribuées </w:t>
      </w:r>
      <w:r w:rsidRPr="00332FCD">
        <w:rPr>
          <w:rFonts w:ascii="Andes" w:eastAsia="Calibri" w:hAnsi="Andes" w:cs="Arial"/>
          <w:color w:val="000000"/>
          <w:sz w:val="22"/>
          <w:szCs w:val="22"/>
        </w:rPr>
        <w:t>à chaque Consultant pour chaque critère et sous-critère</w:t>
      </w:r>
      <w:r w:rsidR="00730BDF" w:rsidRPr="00332FCD">
        <w:rPr>
          <w:rFonts w:ascii="Calibri" w:eastAsia="Calibri" w:hAnsi="Calibri" w:cs="Calibri"/>
          <w:color w:val="000000"/>
          <w:sz w:val="22"/>
          <w:szCs w:val="22"/>
        </w:rPr>
        <w:t> </w:t>
      </w:r>
      <w:r w:rsidR="00730BDF" w:rsidRPr="00332FCD">
        <w:rPr>
          <w:rFonts w:ascii="Andes" w:eastAsia="Calibri" w:hAnsi="Andes" w:cs="Arial"/>
          <w:color w:val="000000"/>
          <w:sz w:val="22"/>
          <w:szCs w:val="22"/>
        </w:rPr>
        <w:t>;</w:t>
      </w:r>
      <w:r w:rsidRPr="00332FCD">
        <w:rPr>
          <w:rFonts w:ascii="Andes" w:eastAsia="Calibri" w:hAnsi="Andes" w:cs="Arial"/>
          <w:color w:val="000000"/>
          <w:sz w:val="22"/>
          <w:szCs w:val="22"/>
        </w:rPr>
        <w:t xml:space="preserve"> </w:t>
      </w:r>
    </w:p>
    <w:p w14:paraId="1BA0028E" w14:textId="56724392" w:rsidR="004D499C" w:rsidRPr="00332FCD" w:rsidRDefault="00C16F91" w:rsidP="00165C7E">
      <w:pPr>
        <w:pStyle w:val="Paragraphedeliste"/>
        <w:numPr>
          <w:ilvl w:val="0"/>
          <w:numId w:val="168"/>
        </w:numPr>
        <w:spacing w:before="0" w:line="240" w:lineRule="auto"/>
        <w:contextualSpacing w:val="0"/>
        <w:rPr>
          <w:rFonts w:ascii="Andes" w:eastAsia="Calibri" w:hAnsi="Andes" w:cs="Arial"/>
          <w:color w:val="000000"/>
          <w:sz w:val="22"/>
          <w:szCs w:val="22"/>
        </w:rPr>
      </w:pPr>
      <w:r w:rsidRPr="00332FCD">
        <w:rPr>
          <w:rFonts w:ascii="Andes" w:eastAsia="Calibri" w:hAnsi="Andes" w:cs="Arial"/>
          <w:color w:val="000000"/>
          <w:sz w:val="22"/>
          <w:szCs w:val="22"/>
        </w:rPr>
        <w:t>les scores combinés finaux et le classement final des Consultants</w:t>
      </w:r>
      <w:r w:rsidR="00730BDF" w:rsidRPr="00332FCD">
        <w:rPr>
          <w:rFonts w:ascii="Calibri" w:eastAsia="Calibri" w:hAnsi="Calibri" w:cs="Calibri"/>
          <w:color w:val="000000"/>
          <w:sz w:val="22"/>
          <w:szCs w:val="22"/>
        </w:rPr>
        <w:t> </w:t>
      </w:r>
      <w:r w:rsidR="00730BDF" w:rsidRPr="00332FCD">
        <w:rPr>
          <w:rFonts w:ascii="Andes" w:eastAsia="Calibri" w:hAnsi="Andes" w:cs="Arial"/>
          <w:color w:val="000000"/>
          <w:sz w:val="22"/>
          <w:szCs w:val="22"/>
        </w:rPr>
        <w:t>;</w:t>
      </w:r>
      <w:r w:rsidRPr="00332FCD">
        <w:rPr>
          <w:rFonts w:ascii="Andes" w:eastAsia="Calibri" w:hAnsi="Andes" w:cs="Arial"/>
          <w:color w:val="000000"/>
          <w:sz w:val="22"/>
          <w:szCs w:val="22"/>
        </w:rPr>
        <w:t xml:space="preserve"> </w:t>
      </w:r>
    </w:p>
    <w:p w14:paraId="648EC851" w14:textId="5A4670F5" w:rsidR="005858D6" w:rsidRPr="00332FCD" w:rsidRDefault="00C16F91" w:rsidP="00165C7E">
      <w:pPr>
        <w:pStyle w:val="Paragraphedeliste"/>
        <w:numPr>
          <w:ilvl w:val="0"/>
          <w:numId w:val="168"/>
        </w:numPr>
        <w:spacing w:before="0" w:line="240" w:lineRule="auto"/>
        <w:contextualSpacing w:val="0"/>
        <w:rPr>
          <w:rFonts w:ascii="Andes" w:eastAsia="Calibri" w:hAnsi="Andes" w:cs="Arial"/>
          <w:color w:val="000000"/>
          <w:sz w:val="22"/>
          <w:szCs w:val="22"/>
        </w:rPr>
      </w:pPr>
      <w:r w:rsidRPr="00332FCD">
        <w:rPr>
          <w:rFonts w:ascii="Andes" w:eastAsia="Calibri" w:hAnsi="Andes" w:cs="Arial"/>
          <w:color w:val="000000"/>
          <w:sz w:val="22"/>
          <w:szCs w:val="22"/>
        </w:rPr>
        <w:t>l’énoncé du/des motifs du rejet des Propositions non retenues, sauf si le sc</w:t>
      </w:r>
      <w:r w:rsidR="006C6BCF" w:rsidRPr="00332FCD">
        <w:rPr>
          <w:rFonts w:ascii="Andes" w:eastAsia="Calibri" w:hAnsi="Andes" w:cs="Arial"/>
          <w:color w:val="000000"/>
          <w:sz w:val="22"/>
          <w:szCs w:val="22"/>
        </w:rPr>
        <w:t xml:space="preserve">ore combiné visé au </w:t>
      </w:r>
      <w:r w:rsidR="00F43E5A" w:rsidRPr="00332FCD">
        <w:rPr>
          <w:rFonts w:ascii="Andes" w:eastAsia="Calibri" w:hAnsi="Andes" w:cs="Arial"/>
          <w:color w:val="000000"/>
          <w:sz w:val="22"/>
          <w:szCs w:val="22"/>
        </w:rPr>
        <w:t>paragraphe</w:t>
      </w:r>
      <w:r w:rsidR="00F43E5A" w:rsidRPr="00332FCD">
        <w:rPr>
          <w:rFonts w:ascii="Calibri" w:eastAsia="Calibri" w:hAnsi="Calibri" w:cs="Calibri"/>
          <w:color w:val="000000"/>
          <w:sz w:val="22"/>
          <w:szCs w:val="22"/>
        </w:rPr>
        <w:t> </w:t>
      </w:r>
      <w:r w:rsidR="003519C4" w:rsidRPr="00332FCD">
        <w:rPr>
          <w:rFonts w:ascii="Andes" w:eastAsia="Calibri" w:hAnsi="Andes" w:cs="Arial"/>
          <w:color w:val="000000"/>
          <w:sz w:val="22"/>
          <w:szCs w:val="22"/>
        </w:rPr>
        <w:t>5.</w:t>
      </w:r>
      <w:r w:rsidR="00594C00" w:rsidRPr="00332FCD">
        <w:rPr>
          <w:rFonts w:ascii="Andes" w:eastAsia="Calibri" w:hAnsi="Andes" w:cs="Arial"/>
          <w:color w:val="000000"/>
          <w:sz w:val="22"/>
          <w:szCs w:val="22"/>
        </w:rPr>
        <w:t>7</w:t>
      </w:r>
      <w:r w:rsidR="002B5581" w:rsidRPr="00332FCD">
        <w:rPr>
          <w:rFonts w:ascii="Andes" w:eastAsia="Calibri" w:hAnsi="Andes" w:cs="Arial"/>
          <w:color w:val="000000"/>
          <w:sz w:val="22"/>
          <w:szCs w:val="22"/>
        </w:rPr>
        <w:t>7</w:t>
      </w:r>
      <w:r w:rsidR="00594C00" w:rsidRPr="00332FCD">
        <w:rPr>
          <w:rFonts w:ascii="Andes" w:eastAsia="Calibri" w:hAnsi="Andes" w:cs="Arial"/>
          <w:color w:val="000000"/>
          <w:sz w:val="22"/>
          <w:szCs w:val="22"/>
        </w:rPr>
        <w:t xml:space="preserve"> </w:t>
      </w:r>
      <w:r w:rsidR="003519C4" w:rsidRPr="00332FCD">
        <w:rPr>
          <w:rFonts w:ascii="Andes" w:eastAsia="Calibri" w:hAnsi="Andes" w:cs="Arial"/>
          <w:color w:val="000000"/>
          <w:sz w:val="22"/>
          <w:szCs w:val="22"/>
        </w:rPr>
        <w:t>e</w:t>
      </w:r>
      <w:r w:rsidR="00687669" w:rsidRPr="00332FCD">
        <w:rPr>
          <w:rFonts w:ascii="Andes" w:eastAsia="Calibri" w:hAnsi="Andes" w:cs="Arial"/>
          <w:color w:val="000000"/>
          <w:sz w:val="22"/>
          <w:szCs w:val="22"/>
        </w:rPr>
        <w:t xml:space="preserve">. </w:t>
      </w:r>
      <w:r w:rsidR="006C6BCF" w:rsidRPr="00332FCD">
        <w:rPr>
          <w:rFonts w:ascii="Andes" w:eastAsia="Calibri" w:hAnsi="Andes" w:cs="Arial"/>
          <w:color w:val="000000"/>
          <w:sz w:val="22"/>
          <w:szCs w:val="22"/>
        </w:rPr>
        <w:t xml:space="preserve">en tient déjà lieu. L’Emprunteur ne communique pas d’informations confidentielles ou protégées relatives à tout autre Consultant, notamment celles concernant la ventilation des coûts, les secrets </w:t>
      </w:r>
      <w:r w:rsidR="00375562" w:rsidRPr="00332FCD">
        <w:rPr>
          <w:rFonts w:ascii="Andes" w:eastAsia="Calibri" w:hAnsi="Andes" w:cs="Arial"/>
          <w:color w:val="000000"/>
          <w:sz w:val="22"/>
          <w:szCs w:val="22"/>
        </w:rPr>
        <w:t>de fabrique</w:t>
      </w:r>
      <w:r w:rsidR="006C6BCF" w:rsidRPr="00332FCD">
        <w:rPr>
          <w:rFonts w:ascii="Andes" w:eastAsia="Calibri" w:hAnsi="Andes" w:cs="Arial"/>
          <w:color w:val="000000"/>
          <w:sz w:val="22"/>
          <w:szCs w:val="22"/>
        </w:rPr>
        <w:t>, les méthodes</w:t>
      </w:r>
      <w:r w:rsidR="00DB1099" w:rsidRPr="00332FCD">
        <w:rPr>
          <w:rFonts w:ascii="Andes" w:eastAsia="Calibri" w:hAnsi="Andes" w:cs="Arial"/>
          <w:color w:val="000000"/>
          <w:sz w:val="22"/>
          <w:szCs w:val="22"/>
        </w:rPr>
        <w:t xml:space="preserve"> utilisées</w:t>
      </w:r>
      <w:r w:rsidR="006C6BCF" w:rsidRPr="00332FCD">
        <w:rPr>
          <w:rFonts w:ascii="Andes" w:eastAsia="Calibri" w:hAnsi="Andes" w:cs="Arial"/>
          <w:color w:val="000000"/>
          <w:sz w:val="22"/>
          <w:szCs w:val="22"/>
        </w:rPr>
        <w:t xml:space="preserve"> ou d’autres éléments confidentiels à caractère commercial ou financier.</w:t>
      </w:r>
    </w:p>
    <w:p w14:paraId="54A7B73F" w14:textId="59DA30C6" w:rsidR="005858D6" w:rsidRPr="006C6BCF" w:rsidRDefault="006C6BCF" w:rsidP="00165C7E">
      <w:pPr>
        <w:pStyle w:val="Paragraphedeliste"/>
        <w:numPr>
          <w:ilvl w:val="0"/>
          <w:numId w:val="168"/>
        </w:numPr>
        <w:spacing w:before="0" w:line="240" w:lineRule="auto"/>
        <w:contextualSpacing w:val="0"/>
        <w:rPr>
          <w:rFonts w:ascii="Andes" w:eastAsia="Calibri" w:hAnsi="Andes" w:cs="Arial"/>
          <w:color w:val="000000"/>
          <w:sz w:val="22"/>
          <w:szCs w:val="22"/>
        </w:rPr>
      </w:pPr>
      <w:r w:rsidRPr="00DE1AA7">
        <w:rPr>
          <w:rFonts w:ascii="Andes" w:eastAsia="Calibri" w:hAnsi="Andes" w:cs="Arial"/>
          <w:color w:val="000000"/>
          <w:sz w:val="22"/>
          <w:szCs w:val="22"/>
        </w:rPr>
        <w:t>les instructions nécessaires</w:t>
      </w:r>
      <w:r>
        <w:rPr>
          <w:rFonts w:ascii="Andes" w:eastAsia="Calibri" w:hAnsi="Andes" w:cs="Arial"/>
          <w:color w:val="000000"/>
          <w:sz w:val="22"/>
          <w:szCs w:val="22"/>
        </w:rPr>
        <w:t xml:space="preserve"> pour </w:t>
      </w:r>
      <w:r w:rsidRPr="00DE1AA7">
        <w:rPr>
          <w:rFonts w:ascii="Andes" w:eastAsia="Calibri" w:hAnsi="Andes" w:cs="Arial"/>
          <w:color w:val="000000"/>
          <w:sz w:val="22"/>
          <w:szCs w:val="22"/>
        </w:rPr>
        <w:t>demander un débriefing et/ou déposer une plainte pendant</w:t>
      </w:r>
      <w:r>
        <w:rPr>
          <w:rFonts w:ascii="Andes" w:eastAsia="Calibri" w:hAnsi="Andes" w:cs="Arial"/>
          <w:color w:val="000000"/>
          <w:sz w:val="22"/>
          <w:szCs w:val="22"/>
        </w:rPr>
        <w:t xml:space="preserve"> le Délai de Suspension, dans les conditions prévues par le dossier d’appel à </w:t>
      </w:r>
      <w:r>
        <w:rPr>
          <w:rFonts w:ascii="Andes" w:eastAsia="Calibri" w:hAnsi="Andes" w:cs="Arial"/>
          <w:color w:val="000000"/>
          <w:sz w:val="22"/>
          <w:szCs w:val="22"/>
        </w:rPr>
        <w:lastRenderedPageBreak/>
        <w:t>propositions et conformément aux dispositions de l’annexe</w:t>
      </w:r>
      <w:r>
        <w:rPr>
          <w:rFonts w:ascii="Calibri" w:eastAsia="Calibri" w:hAnsi="Calibri" w:cs="Arial"/>
          <w:color w:val="000000"/>
          <w:sz w:val="22"/>
          <w:szCs w:val="22"/>
        </w:rPr>
        <w:t> </w:t>
      </w:r>
      <w:r w:rsidRPr="00DE1AA7">
        <w:rPr>
          <w:rFonts w:ascii="Andes" w:eastAsia="Calibri" w:hAnsi="Andes" w:cs="Arial"/>
          <w:color w:val="000000"/>
          <w:sz w:val="22"/>
          <w:szCs w:val="22"/>
        </w:rPr>
        <w:t xml:space="preserve">III, </w:t>
      </w:r>
      <w:r>
        <w:rPr>
          <w:rFonts w:ascii="Andes" w:eastAsia="Calibri" w:hAnsi="Andes" w:cs="Arial"/>
          <w:color w:val="000000"/>
          <w:sz w:val="22"/>
          <w:szCs w:val="22"/>
        </w:rPr>
        <w:t>Plaintes relatives à la passation des marchés</w:t>
      </w:r>
      <w:r w:rsidR="00730BDF">
        <w:rPr>
          <w:rFonts w:ascii="Calibri" w:eastAsia="Calibri" w:hAnsi="Calibri" w:cs="Calibri"/>
          <w:color w:val="000000"/>
          <w:sz w:val="22"/>
          <w:szCs w:val="22"/>
        </w:rPr>
        <w:t> </w:t>
      </w:r>
      <w:r w:rsidR="00730BDF">
        <w:rPr>
          <w:rFonts w:ascii="Andes" w:eastAsia="Calibri" w:hAnsi="Andes" w:cs="Arial"/>
          <w:color w:val="000000"/>
          <w:sz w:val="22"/>
          <w:szCs w:val="22"/>
        </w:rPr>
        <w:t>;</w:t>
      </w:r>
      <w:r>
        <w:rPr>
          <w:rFonts w:ascii="Andes" w:eastAsia="Calibri" w:hAnsi="Andes" w:cs="Arial"/>
          <w:color w:val="000000"/>
          <w:sz w:val="22"/>
          <w:szCs w:val="22"/>
        </w:rPr>
        <w:t xml:space="preserve"> et</w:t>
      </w:r>
    </w:p>
    <w:p w14:paraId="412DD456" w14:textId="443C3D87" w:rsidR="005858D6" w:rsidRPr="006C6BCF" w:rsidRDefault="006C6BCF" w:rsidP="00165C7E">
      <w:pPr>
        <w:pStyle w:val="Paragraphedeliste"/>
        <w:numPr>
          <w:ilvl w:val="0"/>
          <w:numId w:val="168"/>
        </w:numPr>
        <w:spacing w:before="0" w:line="240" w:lineRule="auto"/>
        <w:contextualSpacing w:val="0"/>
        <w:rPr>
          <w:rFonts w:ascii="Andes" w:eastAsia="Calibri" w:hAnsi="Andes" w:cs="Arial"/>
          <w:color w:val="000000"/>
          <w:sz w:val="22"/>
          <w:szCs w:val="22"/>
        </w:rPr>
      </w:pPr>
      <w:r w:rsidRPr="003B6509">
        <w:rPr>
          <w:rFonts w:ascii="Andes" w:eastAsia="Calibri" w:hAnsi="Andes" w:cs="Arial"/>
          <w:color w:val="000000"/>
          <w:sz w:val="22"/>
          <w:szCs w:val="22"/>
        </w:rPr>
        <w:t xml:space="preserve">la date à laquelle le Délai </w:t>
      </w:r>
      <w:r w:rsidR="006A3AC5">
        <w:rPr>
          <w:rFonts w:ascii="Andes" w:eastAsia="Calibri" w:hAnsi="Andes" w:cs="Arial"/>
          <w:color w:val="000000"/>
          <w:sz w:val="22"/>
          <w:szCs w:val="22"/>
        </w:rPr>
        <w:t>d’Attente</w:t>
      </w:r>
      <w:r w:rsidRPr="003B6509">
        <w:rPr>
          <w:rFonts w:ascii="Andes" w:eastAsia="Calibri" w:hAnsi="Andes" w:cs="Arial"/>
          <w:color w:val="000000"/>
          <w:sz w:val="22"/>
          <w:szCs w:val="22"/>
        </w:rPr>
        <w:t xml:space="preserve"> doit </w:t>
      </w:r>
      <w:r>
        <w:rPr>
          <w:rFonts w:ascii="Andes" w:eastAsia="Calibri" w:hAnsi="Andes" w:cs="Arial"/>
          <w:color w:val="000000"/>
          <w:sz w:val="22"/>
          <w:szCs w:val="22"/>
        </w:rPr>
        <w:t>prendre fin</w:t>
      </w:r>
      <w:r w:rsidRPr="003B6509">
        <w:rPr>
          <w:rFonts w:ascii="Andes" w:eastAsia="Calibri" w:hAnsi="Andes" w:cs="Arial"/>
          <w:color w:val="000000"/>
          <w:sz w:val="22"/>
          <w:szCs w:val="22"/>
        </w:rPr>
        <w:t>.</w:t>
      </w:r>
    </w:p>
    <w:p w14:paraId="1637C907" w14:textId="66A6F683" w:rsidR="005858D6" w:rsidRPr="00B11DEF" w:rsidRDefault="006F3DC2" w:rsidP="00165C7E">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iCs/>
          <w:smallCaps/>
          <w:color w:val="C45911"/>
          <w:sz w:val="32"/>
          <w:szCs w:val="32"/>
        </w:rPr>
      </w:pPr>
      <w:r w:rsidRPr="00B11DEF">
        <w:rPr>
          <w:rFonts w:ascii="Andes" w:eastAsiaTheme="majorEastAsia" w:hAnsi="Andes" w:cstheme="majorBidi"/>
          <w:bCs w:val="0"/>
          <w:color w:val="C45911"/>
          <w:sz w:val="32"/>
          <w:szCs w:val="32"/>
        </w:rPr>
        <w:t>Période d’attente</w:t>
      </w:r>
    </w:p>
    <w:p w14:paraId="7527C697" w14:textId="189E3906" w:rsidR="005858D6" w:rsidRPr="0014029A" w:rsidRDefault="0014029A" w:rsidP="00882278">
      <w:pPr>
        <w:pStyle w:val="Paragraphedeliste"/>
        <w:numPr>
          <w:ilvl w:val="0"/>
          <w:numId w:val="78"/>
        </w:numPr>
        <w:spacing w:before="0" w:line="240" w:lineRule="auto"/>
        <w:ind w:left="634" w:hanging="634"/>
        <w:contextualSpacing w:val="0"/>
        <w:rPr>
          <w:rFonts w:ascii="Andes" w:hAnsi="Andes" w:cs="Arial"/>
          <w:sz w:val="22"/>
          <w:szCs w:val="22"/>
        </w:rPr>
      </w:pPr>
      <w:r w:rsidRPr="0014029A">
        <w:rPr>
          <w:rFonts w:ascii="Andes" w:hAnsi="Andes" w:cs="Arial"/>
          <w:sz w:val="22"/>
          <w:szCs w:val="22"/>
        </w:rPr>
        <w:t>Pour donner aux Soumissionnaires/Proposants/Consultants le temps d’examiner la Notification d’Intention d’Attribution de Marché</w:t>
      </w:r>
      <w:r w:rsidR="00DB1099">
        <w:rPr>
          <w:rFonts w:ascii="Andes" w:hAnsi="Andes" w:cs="Arial"/>
          <w:sz w:val="22"/>
          <w:szCs w:val="22"/>
        </w:rPr>
        <w:t>/Contrat</w:t>
      </w:r>
      <w:r w:rsidRPr="0014029A">
        <w:rPr>
          <w:rFonts w:ascii="Andes" w:hAnsi="Andes" w:cs="Arial"/>
          <w:sz w:val="22"/>
          <w:szCs w:val="22"/>
        </w:rPr>
        <w:t xml:space="preserve"> et de déterminer s’il y a lieu de déposer une plainte, un Délai </w:t>
      </w:r>
      <w:r w:rsidR="006A3AC5">
        <w:rPr>
          <w:rFonts w:ascii="Andes" w:hAnsi="Andes" w:cs="Arial"/>
          <w:sz w:val="22"/>
          <w:szCs w:val="22"/>
        </w:rPr>
        <w:t>d</w:t>
      </w:r>
      <w:r w:rsidR="004E2994">
        <w:rPr>
          <w:rFonts w:ascii="Andes" w:hAnsi="Andes" w:cs="Arial"/>
          <w:sz w:val="22"/>
          <w:szCs w:val="22"/>
        </w:rPr>
        <w:t>’’</w:t>
      </w:r>
      <w:r w:rsidR="006A3AC5">
        <w:rPr>
          <w:rFonts w:ascii="Andes" w:hAnsi="Andes" w:cs="Arial"/>
          <w:sz w:val="22"/>
          <w:szCs w:val="22"/>
        </w:rPr>
        <w:t>Attente</w:t>
      </w:r>
      <w:r w:rsidRPr="0014029A">
        <w:rPr>
          <w:rFonts w:ascii="Andes" w:hAnsi="Andes" w:cs="Arial"/>
          <w:sz w:val="22"/>
          <w:szCs w:val="22"/>
        </w:rPr>
        <w:t xml:space="preserve"> s’applique, sauf dans les cas visés au </w:t>
      </w:r>
      <w:r w:rsidR="00F43E5A">
        <w:rPr>
          <w:rFonts w:ascii="Andes" w:hAnsi="Andes" w:cs="Arial"/>
          <w:sz w:val="22"/>
          <w:szCs w:val="22"/>
        </w:rPr>
        <w:t>paragraphe</w:t>
      </w:r>
      <w:r w:rsidR="00F43E5A">
        <w:rPr>
          <w:rFonts w:ascii="Calibri" w:hAnsi="Calibri" w:cs="Calibri"/>
          <w:sz w:val="22"/>
          <w:szCs w:val="22"/>
        </w:rPr>
        <w:t> </w:t>
      </w:r>
      <w:r w:rsidR="005D79B1" w:rsidRPr="0014029A">
        <w:rPr>
          <w:rFonts w:ascii="Andes" w:hAnsi="Andes" w:cs="Arial"/>
          <w:sz w:val="22"/>
          <w:szCs w:val="22"/>
        </w:rPr>
        <w:t>5.8</w:t>
      </w:r>
      <w:r w:rsidR="00C303C1">
        <w:rPr>
          <w:rFonts w:ascii="Andes" w:hAnsi="Andes" w:cs="Arial"/>
          <w:sz w:val="22"/>
          <w:szCs w:val="22"/>
        </w:rPr>
        <w:t>1</w:t>
      </w:r>
      <w:r w:rsidR="00687669" w:rsidRPr="0014029A">
        <w:rPr>
          <w:rFonts w:ascii="Andes" w:hAnsi="Andes" w:cs="Arial"/>
          <w:sz w:val="22"/>
          <w:szCs w:val="22"/>
        </w:rPr>
        <w:t xml:space="preserve">.  </w:t>
      </w:r>
      <w:r w:rsidR="005858D6" w:rsidRPr="0014029A">
        <w:rPr>
          <w:rFonts w:ascii="Andes" w:hAnsi="Andes" w:cs="Arial"/>
          <w:sz w:val="22"/>
          <w:szCs w:val="22"/>
        </w:rPr>
        <w:t xml:space="preserve">  </w:t>
      </w:r>
    </w:p>
    <w:p w14:paraId="11FA7FC7" w14:textId="08FE50C2" w:rsidR="005858D6" w:rsidRPr="002712EB" w:rsidRDefault="0014029A" w:rsidP="00882278">
      <w:pPr>
        <w:pStyle w:val="Paragraphedeliste"/>
        <w:numPr>
          <w:ilvl w:val="0"/>
          <w:numId w:val="78"/>
        </w:numPr>
        <w:spacing w:before="0" w:line="240" w:lineRule="auto"/>
        <w:ind w:left="634" w:hanging="634"/>
        <w:contextualSpacing w:val="0"/>
        <w:rPr>
          <w:rFonts w:ascii="Andes" w:hAnsi="Andes" w:cs="Arial"/>
          <w:sz w:val="22"/>
          <w:szCs w:val="22"/>
        </w:rPr>
      </w:pPr>
      <w:r w:rsidRPr="0014029A">
        <w:rPr>
          <w:rFonts w:ascii="Andes" w:hAnsi="Andes" w:cs="Arial"/>
          <w:sz w:val="22"/>
          <w:szCs w:val="22"/>
        </w:rPr>
        <w:t xml:space="preserve">La transmission de la Notification d’Intention d’Attribuer le </w:t>
      </w:r>
      <w:r w:rsidR="00DB1099">
        <w:rPr>
          <w:rFonts w:ascii="Andes" w:hAnsi="Andes" w:cs="Arial"/>
          <w:sz w:val="22"/>
          <w:szCs w:val="22"/>
        </w:rPr>
        <w:t xml:space="preserve">Marché/Contrat </w:t>
      </w:r>
      <w:r w:rsidRPr="0014029A">
        <w:rPr>
          <w:rFonts w:ascii="Andes" w:hAnsi="Andes" w:cs="Arial"/>
          <w:sz w:val="22"/>
          <w:szCs w:val="22"/>
        </w:rPr>
        <w:t>émise par l’Emprunteur (ou dans le cas</w:t>
      </w:r>
      <w:r>
        <w:rPr>
          <w:rFonts w:ascii="Andes" w:hAnsi="Andes" w:cs="Arial"/>
          <w:sz w:val="22"/>
          <w:szCs w:val="22"/>
        </w:rPr>
        <w:t xml:space="preserve"> d’un Accord Cadre</w:t>
      </w:r>
      <w:r w:rsidRPr="0014029A">
        <w:rPr>
          <w:rFonts w:ascii="Andes" w:hAnsi="Andes" w:cs="Arial"/>
          <w:sz w:val="22"/>
          <w:szCs w:val="22"/>
        </w:rPr>
        <w:t xml:space="preserve">, de la notification d’intention de conclure </w:t>
      </w:r>
      <w:r>
        <w:rPr>
          <w:rFonts w:ascii="Andes" w:hAnsi="Andes" w:cs="Arial"/>
          <w:sz w:val="22"/>
          <w:szCs w:val="22"/>
        </w:rPr>
        <w:t>l’AC) marque le</w:t>
      </w:r>
      <w:r w:rsidR="00C33D88">
        <w:rPr>
          <w:rFonts w:ascii="Andes" w:hAnsi="Andes" w:cs="Arial"/>
          <w:sz w:val="22"/>
          <w:szCs w:val="22"/>
        </w:rPr>
        <w:t xml:space="preserve"> début </w:t>
      </w:r>
      <w:r>
        <w:rPr>
          <w:rFonts w:ascii="Andes" w:hAnsi="Andes" w:cs="Arial"/>
          <w:sz w:val="22"/>
          <w:szCs w:val="22"/>
        </w:rPr>
        <w:t xml:space="preserve">du Délai </w:t>
      </w:r>
      <w:r w:rsidR="006A3AC5">
        <w:rPr>
          <w:rFonts w:ascii="Andes" w:hAnsi="Andes" w:cs="Arial"/>
          <w:sz w:val="22"/>
          <w:szCs w:val="22"/>
        </w:rPr>
        <w:t>d’Attente</w:t>
      </w:r>
      <w:r>
        <w:rPr>
          <w:rFonts w:ascii="Andes" w:hAnsi="Andes" w:cs="Arial"/>
          <w:sz w:val="22"/>
          <w:szCs w:val="22"/>
        </w:rPr>
        <w:t xml:space="preserve">, qui court au moins dix (10) </w:t>
      </w:r>
      <w:r w:rsidR="00DB1099">
        <w:rPr>
          <w:rFonts w:ascii="Andes" w:hAnsi="Andes" w:cs="Arial"/>
          <w:sz w:val="22"/>
          <w:szCs w:val="22"/>
        </w:rPr>
        <w:t xml:space="preserve">Jours Ouvrables </w:t>
      </w:r>
      <w:r>
        <w:rPr>
          <w:rFonts w:ascii="Andes" w:hAnsi="Andes" w:cs="Arial"/>
          <w:sz w:val="22"/>
          <w:szCs w:val="22"/>
        </w:rPr>
        <w:t>à compter de cette date</w:t>
      </w:r>
      <w:r w:rsidR="00C33D88">
        <w:rPr>
          <w:rFonts w:ascii="Andes" w:hAnsi="Andes" w:cs="Arial"/>
          <w:sz w:val="22"/>
          <w:szCs w:val="22"/>
        </w:rPr>
        <w:t xml:space="preserve">, sauf prolongation dans les conditions visées au </w:t>
      </w:r>
      <w:r w:rsidR="00F43E5A">
        <w:rPr>
          <w:rFonts w:ascii="Andes" w:hAnsi="Andes" w:cs="Arial"/>
          <w:sz w:val="22"/>
          <w:szCs w:val="22"/>
        </w:rPr>
        <w:t>paragraphe</w:t>
      </w:r>
      <w:r w:rsidR="00F43E5A">
        <w:rPr>
          <w:rFonts w:ascii="Calibri" w:hAnsi="Calibri" w:cs="Calibri"/>
          <w:sz w:val="22"/>
          <w:szCs w:val="22"/>
        </w:rPr>
        <w:t> </w:t>
      </w:r>
      <w:r w:rsidR="005D79B1" w:rsidRPr="00C33D88">
        <w:rPr>
          <w:rFonts w:ascii="Andes" w:hAnsi="Andes" w:cs="Arial"/>
          <w:sz w:val="22"/>
          <w:szCs w:val="22"/>
        </w:rPr>
        <w:t>5.8</w:t>
      </w:r>
      <w:r w:rsidR="000D6A42">
        <w:rPr>
          <w:rFonts w:ascii="Andes" w:hAnsi="Andes" w:cs="Arial"/>
          <w:sz w:val="22"/>
          <w:szCs w:val="22"/>
        </w:rPr>
        <w:t>3</w:t>
      </w:r>
      <w:r w:rsidR="00687669" w:rsidRPr="00C33D88">
        <w:rPr>
          <w:rFonts w:ascii="Andes" w:hAnsi="Andes" w:cs="Arial"/>
          <w:sz w:val="22"/>
          <w:szCs w:val="22"/>
        </w:rPr>
        <w:t xml:space="preserve">. </w:t>
      </w:r>
      <w:r w:rsidR="00C33D88">
        <w:rPr>
          <w:rFonts w:ascii="Andes" w:hAnsi="Andes" w:cs="Arial"/>
          <w:sz w:val="22"/>
          <w:szCs w:val="22"/>
        </w:rPr>
        <w:t>Le marché ou le contrat ne peut être attribué avant ou pendant le Délai d</w:t>
      </w:r>
      <w:r w:rsidR="004E2994">
        <w:rPr>
          <w:rFonts w:ascii="Andes" w:hAnsi="Andes" w:cs="Arial"/>
          <w:sz w:val="22"/>
          <w:szCs w:val="22"/>
        </w:rPr>
        <w:t>’A</w:t>
      </w:r>
      <w:r w:rsidR="006A3AC5">
        <w:rPr>
          <w:rFonts w:ascii="Andes" w:hAnsi="Andes" w:cs="Arial"/>
          <w:sz w:val="22"/>
          <w:szCs w:val="22"/>
        </w:rPr>
        <w:t>ttente</w:t>
      </w:r>
      <w:r w:rsidR="00C33D88">
        <w:rPr>
          <w:rFonts w:ascii="Andes" w:hAnsi="Andes" w:cs="Arial"/>
          <w:sz w:val="22"/>
          <w:szCs w:val="22"/>
        </w:rPr>
        <w:t>.</w:t>
      </w:r>
      <w:r w:rsidR="00687669" w:rsidRPr="00C33D88">
        <w:rPr>
          <w:rFonts w:ascii="Andes" w:hAnsi="Andes" w:cs="Arial"/>
          <w:sz w:val="22"/>
          <w:szCs w:val="22"/>
        </w:rPr>
        <w:t xml:space="preserve"> </w:t>
      </w:r>
    </w:p>
    <w:p w14:paraId="52049E94" w14:textId="1F6CD116" w:rsidR="005858D6" w:rsidRPr="002712EB" w:rsidRDefault="00C33D88" w:rsidP="00882278">
      <w:pPr>
        <w:pStyle w:val="Paragraphedeliste"/>
        <w:numPr>
          <w:ilvl w:val="0"/>
          <w:numId w:val="78"/>
        </w:numPr>
        <w:spacing w:before="0" w:line="240" w:lineRule="auto"/>
        <w:ind w:left="634" w:hanging="634"/>
        <w:contextualSpacing w:val="0"/>
        <w:rPr>
          <w:rFonts w:ascii="Andes" w:hAnsi="Andes" w:cs="Arial"/>
          <w:sz w:val="22"/>
          <w:szCs w:val="22"/>
        </w:rPr>
      </w:pPr>
      <w:r w:rsidRPr="002712EB">
        <w:rPr>
          <w:rFonts w:ascii="Andes" w:hAnsi="Andes" w:cs="Arial"/>
          <w:sz w:val="22"/>
          <w:szCs w:val="22"/>
        </w:rPr>
        <w:t xml:space="preserve">Nonobstant les dispositions du </w:t>
      </w:r>
      <w:r w:rsidR="00F43E5A">
        <w:rPr>
          <w:rFonts w:ascii="Andes" w:hAnsi="Andes" w:cs="Arial"/>
          <w:sz w:val="22"/>
          <w:szCs w:val="22"/>
        </w:rPr>
        <w:t>paragraphe</w:t>
      </w:r>
      <w:r w:rsidR="00F43E5A">
        <w:rPr>
          <w:rFonts w:ascii="Calibri" w:hAnsi="Calibri" w:cs="Calibri"/>
          <w:sz w:val="22"/>
          <w:szCs w:val="22"/>
        </w:rPr>
        <w:t> </w:t>
      </w:r>
      <w:r w:rsidR="005D79B1" w:rsidRPr="002712EB">
        <w:rPr>
          <w:rFonts w:ascii="Andes" w:hAnsi="Andes" w:cs="Arial"/>
          <w:sz w:val="22"/>
          <w:szCs w:val="22"/>
        </w:rPr>
        <w:t>5.7</w:t>
      </w:r>
      <w:r w:rsidR="000D6A42">
        <w:rPr>
          <w:rFonts w:ascii="Andes" w:hAnsi="Andes" w:cs="Arial"/>
          <w:sz w:val="22"/>
          <w:szCs w:val="22"/>
        </w:rPr>
        <w:t>9</w:t>
      </w:r>
      <w:r w:rsidR="005858D6" w:rsidRPr="002712EB">
        <w:rPr>
          <w:rFonts w:ascii="Andes" w:hAnsi="Andes" w:cs="Arial"/>
          <w:sz w:val="22"/>
          <w:szCs w:val="22"/>
        </w:rPr>
        <w:t xml:space="preserve">, </w:t>
      </w:r>
      <w:r w:rsidRPr="002712EB">
        <w:rPr>
          <w:rFonts w:ascii="Andes" w:hAnsi="Andes" w:cs="Arial"/>
          <w:sz w:val="22"/>
          <w:szCs w:val="22"/>
        </w:rPr>
        <w:t xml:space="preserve">aucun Délai </w:t>
      </w:r>
      <w:r w:rsidR="006A3AC5">
        <w:rPr>
          <w:rFonts w:ascii="Andes" w:hAnsi="Andes" w:cs="Arial"/>
          <w:sz w:val="22"/>
          <w:szCs w:val="22"/>
        </w:rPr>
        <w:t>d’Attente</w:t>
      </w:r>
      <w:r w:rsidRPr="002712EB">
        <w:rPr>
          <w:rFonts w:ascii="Andes" w:hAnsi="Andes" w:cs="Arial"/>
          <w:sz w:val="22"/>
          <w:szCs w:val="22"/>
        </w:rPr>
        <w:t xml:space="preserve"> n’est applicable dans les cas suivants</w:t>
      </w:r>
      <w:r w:rsidR="00730BDF">
        <w:rPr>
          <w:rFonts w:ascii="Calibri" w:hAnsi="Calibri" w:cs="Calibri"/>
          <w:sz w:val="22"/>
          <w:szCs w:val="22"/>
        </w:rPr>
        <w:t> </w:t>
      </w:r>
      <w:r w:rsidR="00730BDF">
        <w:rPr>
          <w:rFonts w:ascii="Andes" w:hAnsi="Andes" w:cs="Arial"/>
          <w:sz w:val="22"/>
          <w:szCs w:val="22"/>
        </w:rPr>
        <w:t>:</w:t>
      </w:r>
      <w:r w:rsidRPr="002712EB">
        <w:rPr>
          <w:rFonts w:ascii="Andes" w:hAnsi="Andes" w:cs="Arial"/>
          <w:sz w:val="22"/>
          <w:szCs w:val="22"/>
        </w:rPr>
        <w:t xml:space="preserve"> </w:t>
      </w:r>
    </w:p>
    <w:p w14:paraId="164470D4" w14:textId="3F4D67DF" w:rsidR="005858D6" w:rsidRPr="00C33D88" w:rsidRDefault="00C33D88" w:rsidP="00165C7E">
      <w:pPr>
        <w:pStyle w:val="Paragraphedeliste"/>
        <w:numPr>
          <w:ilvl w:val="0"/>
          <w:numId w:val="169"/>
        </w:numPr>
        <w:spacing w:before="0" w:line="240" w:lineRule="auto"/>
        <w:contextualSpacing w:val="0"/>
        <w:rPr>
          <w:rFonts w:ascii="Andes" w:eastAsia="Calibri" w:hAnsi="Andes" w:cs="Arial"/>
          <w:color w:val="000000"/>
          <w:sz w:val="22"/>
          <w:szCs w:val="22"/>
        </w:rPr>
      </w:pPr>
      <w:r w:rsidRPr="00C33D88">
        <w:rPr>
          <w:rFonts w:ascii="Andes" w:eastAsia="Calibri" w:hAnsi="Andes" w:cs="Arial"/>
          <w:color w:val="000000"/>
          <w:sz w:val="22"/>
          <w:szCs w:val="22"/>
        </w:rPr>
        <w:t>une seule Offre/Proposition a été remise en réponse à un appel ouvert à la concurrence</w:t>
      </w:r>
      <w:r w:rsidR="00730BDF">
        <w:rPr>
          <w:rFonts w:ascii="Calibri" w:eastAsia="Calibri" w:hAnsi="Calibri" w:cs="Calibri"/>
          <w:color w:val="000000"/>
          <w:sz w:val="22"/>
          <w:szCs w:val="22"/>
        </w:rPr>
        <w:t> </w:t>
      </w:r>
      <w:r w:rsidR="00730BDF">
        <w:rPr>
          <w:rFonts w:ascii="Andes" w:eastAsia="Calibri" w:hAnsi="Andes" w:cs="Arial"/>
          <w:color w:val="000000"/>
          <w:sz w:val="22"/>
          <w:szCs w:val="22"/>
        </w:rPr>
        <w:t>;</w:t>
      </w:r>
      <w:r w:rsidR="005858D6" w:rsidRPr="00C33D88">
        <w:rPr>
          <w:rFonts w:ascii="Andes" w:eastAsia="Calibri" w:hAnsi="Andes" w:cs="Arial"/>
          <w:color w:val="000000"/>
          <w:sz w:val="22"/>
          <w:szCs w:val="22"/>
        </w:rPr>
        <w:t xml:space="preserve">  </w:t>
      </w:r>
    </w:p>
    <w:p w14:paraId="5AA93F6B" w14:textId="09D11C49" w:rsidR="005858D6" w:rsidRPr="000C3B06" w:rsidRDefault="000D3777" w:rsidP="00165C7E">
      <w:pPr>
        <w:pStyle w:val="Paragraphedeliste"/>
        <w:numPr>
          <w:ilvl w:val="0"/>
          <w:numId w:val="169"/>
        </w:numPr>
        <w:spacing w:before="0" w:line="240" w:lineRule="auto"/>
        <w:contextualSpacing w:val="0"/>
        <w:rPr>
          <w:rFonts w:ascii="Andes" w:eastAsia="Calibri" w:hAnsi="Andes" w:cs="Arial"/>
          <w:color w:val="000000"/>
          <w:sz w:val="22"/>
          <w:szCs w:val="22"/>
        </w:rPr>
      </w:pPr>
      <w:r>
        <w:rPr>
          <w:rFonts w:ascii="Andes" w:eastAsia="Calibri" w:hAnsi="Andes" w:cs="Arial"/>
          <w:color w:val="000000"/>
          <w:sz w:val="22"/>
          <w:szCs w:val="22"/>
        </w:rPr>
        <w:t>sélection directe</w:t>
      </w:r>
      <w:r w:rsidR="00730BDF">
        <w:rPr>
          <w:rFonts w:ascii="Calibri" w:eastAsia="Calibri" w:hAnsi="Calibri" w:cs="Calibri"/>
          <w:color w:val="000000"/>
          <w:sz w:val="22"/>
          <w:szCs w:val="22"/>
        </w:rPr>
        <w:t> </w:t>
      </w:r>
      <w:r w:rsidR="00730BDF">
        <w:rPr>
          <w:rFonts w:ascii="Andes" w:eastAsia="Calibri" w:hAnsi="Andes" w:cs="Arial"/>
          <w:color w:val="000000"/>
          <w:sz w:val="22"/>
          <w:szCs w:val="22"/>
        </w:rPr>
        <w:t>;</w:t>
      </w:r>
    </w:p>
    <w:p w14:paraId="29F2D3E0" w14:textId="7190E764" w:rsidR="005858D6" w:rsidRPr="003C3312" w:rsidRDefault="003C3312" w:rsidP="00165C7E">
      <w:pPr>
        <w:pStyle w:val="Paragraphedeliste"/>
        <w:numPr>
          <w:ilvl w:val="0"/>
          <w:numId w:val="169"/>
        </w:numPr>
        <w:spacing w:before="0" w:line="240" w:lineRule="auto"/>
        <w:contextualSpacing w:val="0"/>
        <w:rPr>
          <w:rFonts w:ascii="Andes" w:eastAsia="Calibri" w:hAnsi="Andes" w:cs="Arial"/>
          <w:color w:val="000000"/>
          <w:sz w:val="22"/>
          <w:szCs w:val="22"/>
        </w:rPr>
      </w:pPr>
      <w:r w:rsidRPr="003C3312">
        <w:rPr>
          <w:rFonts w:ascii="Andes" w:eastAsia="Calibri" w:hAnsi="Andes" w:cs="Arial"/>
          <w:color w:val="000000"/>
          <w:sz w:val="22"/>
          <w:szCs w:val="22"/>
        </w:rPr>
        <w:t>procédures de passation de marchés à commande</w:t>
      </w:r>
      <w:r w:rsidR="00DB1099">
        <w:rPr>
          <w:rFonts w:ascii="Andes" w:eastAsia="Calibri" w:hAnsi="Andes" w:cs="Arial"/>
          <w:color w:val="000000"/>
          <w:sz w:val="22"/>
          <w:szCs w:val="22"/>
        </w:rPr>
        <w:t>s</w:t>
      </w:r>
      <w:r w:rsidRPr="003C3312">
        <w:rPr>
          <w:rFonts w:ascii="Andes" w:eastAsia="Calibri" w:hAnsi="Andes" w:cs="Arial"/>
          <w:color w:val="000000"/>
          <w:sz w:val="22"/>
          <w:szCs w:val="22"/>
        </w:rPr>
        <w:t xml:space="preserve"> entre entreprises détentrices </w:t>
      </w:r>
      <w:r>
        <w:rPr>
          <w:rFonts w:ascii="Andes" w:eastAsia="Calibri" w:hAnsi="Andes" w:cs="Arial"/>
          <w:color w:val="000000"/>
          <w:sz w:val="22"/>
          <w:szCs w:val="22"/>
        </w:rPr>
        <w:t>d’AC</w:t>
      </w:r>
      <w:r w:rsidR="00730BDF">
        <w:rPr>
          <w:rFonts w:ascii="Calibri" w:eastAsia="Calibri" w:hAnsi="Calibri" w:cs="Calibri"/>
          <w:color w:val="000000"/>
          <w:sz w:val="22"/>
          <w:szCs w:val="22"/>
        </w:rPr>
        <w:t> </w:t>
      </w:r>
      <w:r w:rsidR="00730BDF">
        <w:rPr>
          <w:rFonts w:ascii="Andes" w:eastAsia="Calibri" w:hAnsi="Andes" w:cs="Arial"/>
          <w:color w:val="000000"/>
          <w:sz w:val="22"/>
          <w:szCs w:val="22"/>
        </w:rPr>
        <w:t>;</w:t>
      </w:r>
      <w:r>
        <w:rPr>
          <w:rFonts w:ascii="Andes" w:eastAsia="Calibri" w:hAnsi="Andes" w:cs="Arial"/>
          <w:color w:val="000000"/>
          <w:sz w:val="22"/>
          <w:szCs w:val="22"/>
        </w:rPr>
        <w:t xml:space="preserve"> et </w:t>
      </w:r>
    </w:p>
    <w:p w14:paraId="63B6F058" w14:textId="623272CB" w:rsidR="005858D6" w:rsidRPr="00452B18" w:rsidRDefault="00452B18" w:rsidP="00165C7E">
      <w:pPr>
        <w:pStyle w:val="Paragraphedeliste"/>
        <w:numPr>
          <w:ilvl w:val="0"/>
          <w:numId w:val="169"/>
        </w:numPr>
        <w:spacing w:before="0" w:line="240" w:lineRule="auto"/>
        <w:contextualSpacing w:val="0"/>
        <w:rPr>
          <w:rFonts w:ascii="Andes" w:eastAsia="Calibri" w:hAnsi="Andes" w:cs="Arial"/>
          <w:color w:val="000000"/>
          <w:sz w:val="22"/>
          <w:szCs w:val="22"/>
        </w:rPr>
      </w:pPr>
      <w:r w:rsidRPr="00452B18">
        <w:rPr>
          <w:rFonts w:ascii="Andes" w:eastAsia="Calibri" w:hAnsi="Andes" w:cs="Arial"/>
          <w:color w:val="000000"/>
          <w:sz w:val="22"/>
          <w:szCs w:val="22"/>
        </w:rPr>
        <w:t>Situations d’</w:t>
      </w:r>
      <w:r>
        <w:rPr>
          <w:rFonts w:ascii="Andes" w:eastAsia="Calibri" w:hAnsi="Andes" w:cs="Arial"/>
          <w:color w:val="000000"/>
          <w:sz w:val="22"/>
          <w:szCs w:val="22"/>
        </w:rPr>
        <w:t xml:space="preserve">Urgence </w:t>
      </w:r>
      <w:r w:rsidRPr="00452B18">
        <w:rPr>
          <w:rFonts w:ascii="Andes" w:eastAsia="Calibri" w:hAnsi="Andes" w:cs="Arial"/>
          <w:color w:val="000000"/>
          <w:sz w:val="22"/>
          <w:szCs w:val="22"/>
        </w:rPr>
        <w:t>reconnue</w:t>
      </w:r>
      <w:r>
        <w:rPr>
          <w:rFonts w:ascii="Andes" w:eastAsia="Calibri" w:hAnsi="Andes" w:cs="Arial"/>
          <w:color w:val="000000"/>
          <w:sz w:val="22"/>
          <w:szCs w:val="22"/>
        </w:rPr>
        <w:t>s</w:t>
      </w:r>
      <w:r w:rsidRPr="00452B18">
        <w:rPr>
          <w:rFonts w:ascii="Andes" w:eastAsia="Calibri" w:hAnsi="Andes" w:cs="Arial"/>
          <w:color w:val="000000"/>
          <w:sz w:val="22"/>
          <w:szCs w:val="22"/>
        </w:rPr>
        <w:t xml:space="preserve"> par la Banque</w:t>
      </w:r>
      <w:r w:rsidR="00687669" w:rsidRPr="00452B18">
        <w:rPr>
          <w:rFonts w:ascii="Andes" w:eastAsia="Calibri" w:hAnsi="Andes" w:cs="Arial"/>
          <w:color w:val="000000"/>
          <w:sz w:val="22"/>
          <w:szCs w:val="22"/>
        </w:rPr>
        <w:t xml:space="preserve">.  </w:t>
      </w:r>
      <w:r w:rsidR="005858D6" w:rsidRPr="00452B18">
        <w:rPr>
          <w:rFonts w:ascii="Andes" w:eastAsia="Calibri" w:hAnsi="Andes" w:cs="Arial"/>
          <w:color w:val="000000"/>
          <w:sz w:val="22"/>
          <w:szCs w:val="22"/>
        </w:rPr>
        <w:t xml:space="preserve"> </w:t>
      </w:r>
    </w:p>
    <w:p w14:paraId="7C2F541B" w14:textId="72C54501" w:rsidR="005858D6" w:rsidRPr="00B11DEF" w:rsidRDefault="00452B18" w:rsidP="00165C7E">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B11DEF">
        <w:rPr>
          <w:rFonts w:ascii="Andes" w:eastAsiaTheme="majorEastAsia" w:hAnsi="Andes" w:cstheme="majorBidi"/>
          <w:bCs w:val="0"/>
          <w:color w:val="C45911"/>
          <w:sz w:val="32"/>
          <w:szCs w:val="32"/>
        </w:rPr>
        <w:t>Débriefing par l’</w:t>
      </w:r>
      <w:r w:rsidR="00F77CA2" w:rsidRPr="00B11DEF">
        <w:rPr>
          <w:rFonts w:ascii="Andes" w:eastAsiaTheme="majorEastAsia" w:hAnsi="Andes" w:cstheme="majorBidi"/>
          <w:bCs w:val="0"/>
          <w:color w:val="C45911"/>
          <w:sz w:val="32"/>
          <w:szCs w:val="32"/>
        </w:rPr>
        <w:t>Emprunteur</w:t>
      </w:r>
    </w:p>
    <w:p w14:paraId="3EBA7E7A" w14:textId="7BED77EA" w:rsidR="005858D6" w:rsidRPr="00674168" w:rsidRDefault="002712EB" w:rsidP="00882278">
      <w:pPr>
        <w:pStyle w:val="Paragraphedeliste"/>
        <w:numPr>
          <w:ilvl w:val="0"/>
          <w:numId w:val="78"/>
        </w:numPr>
        <w:spacing w:before="0" w:line="240" w:lineRule="auto"/>
        <w:ind w:left="634" w:hanging="634"/>
        <w:contextualSpacing w:val="0"/>
        <w:rPr>
          <w:rFonts w:ascii="Andes" w:hAnsi="Andes" w:cs="Arial"/>
          <w:sz w:val="22"/>
          <w:szCs w:val="22"/>
        </w:rPr>
      </w:pPr>
      <w:r w:rsidRPr="002712EB">
        <w:rPr>
          <w:rFonts w:ascii="Andes" w:hAnsi="Andes" w:cs="Arial"/>
          <w:sz w:val="22"/>
          <w:szCs w:val="22"/>
        </w:rPr>
        <w:t>À la réception de la Notificat</w:t>
      </w:r>
      <w:r w:rsidR="001257C3">
        <w:rPr>
          <w:rFonts w:ascii="Andes" w:hAnsi="Andes" w:cs="Arial"/>
          <w:sz w:val="22"/>
          <w:szCs w:val="22"/>
        </w:rPr>
        <w:t>ion d’Intention d’Attribution de</w:t>
      </w:r>
      <w:r w:rsidRPr="002712EB">
        <w:rPr>
          <w:rFonts w:ascii="Andes" w:hAnsi="Andes" w:cs="Arial"/>
          <w:sz w:val="22"/>
          <w:szCs w:val="22"/>
        </w:rPr>
        <w:t xml:space="preserve"> Marché/Contrat émise par l’</w:t>
      </w:r>
      <w:r>
        <w:rPr>
          <w:rFonts w:ascii="Andes" w:hAnsi="Andes" w:cs="Arial"/>
          <w:sz w:val="22"/>
          <w:szCs w:val="22"/>
        </w:rPr>
        <w:t>Emprunteur e</w:t>
      </w:r>
      <w:r w:rsidRPr="002712EB">
        <w:rPr>
          <w:rFonts w:ascii="Andes" w:hAnsi="Andes" w:cs="Arial"/>
          <w:sz w:val="22"/>
          <w:szCs w:val="22"/>
        </w:rPr>
        <w:t>t visé</w:t>
      </w:r>
      <w:r>
        <w:rPr>
          <w:rFonts w:ascii="Andes" w:hAnsi="Andes" w:cs="Arial"/>
          <w:sz w:val="22"/>
          <w:szCs w:val="22"/>
        </w:rPr>
        <w:t>e</w:t>
      </w:r>
      <w:r w:rsidRPr="002712EB">
        <w:rPr>
          <w:rFonts w:ascii="Andes" w:hAnsi="Andes" w:cs="Arial"/>
          <w:sz w:val="22"/>
          <w:szCs w:val="22"/>
        </w:rPr>
        <w:t xml:space="preserve"> au</w:t>
      </w:r>
      <w:r w:rsidR="00DB1099">
        <w:rPr>
          <w:rFonts w:ascii="Andes" w:hAnsi="Andes" w:cs="Arial"/>
          <w:sz w:val="22"/>
          <w:szCs w:val="22"/>
        </w:rPr>
        <w:t>x</w:t>
      </w:r>
      <w:r w:rsidRPr="002712EB">
        <w:rPr>
          <w:rFonts w:ascii="Andes" w:hAnsi="Andes" w:cs="Arial"/>
          <w:sz w:val="22"/>
          <w:szCs w:val="22"/>
        </w:rPr>
        <w:t xml:space="preserve"> </w:t>
      </w:r>
      <w:r w:rsidR="00F43E5A">
        <w:rPr>
          <w:rFonts w:ascii="Andes" w:hAnsi="Andes" w:cs="Arial"/>
          <w:sz w:val="22"/>
          <w:szCs w:val="22"/>
        </w:rPr>
        <w:t>paragraphes</w:t>
      </w:r>
      <w:r w:rsidR="00F43E5A">
        <w:rPr>
          <w:rFonts w:ascii="Calibri" w:hAnsi="Calibri" w:cs="Calibri"/>
          <w:sz w:val="22"/>
          <w:szCs w:val="22"/>
        </w:rPr>
        <w:t> </w:t>
      </w:r>
      <w:r w:rsidR="005A76F3" w:rsidRPr="002712EB">
        <w:rPr>
          <w:rFonts w:ascii="Andes" w:hAnsi="Andes" w:cs="Arial"/>
          <w:sz w:val="22"/>
          <w:szCs w:val="22"/>
        </w:rPr>
        <w:t>5.7</w:t>
      </w:r>
      <w:r w:rsidR="00953761">
        <w:rPr>
          <w:rFonts w:ascii="Andes" w:hAnsi="Andes" w:cs="Arial"/>
          <w:sz w:val="22"/>
          <w:szCs w:val="22"/>
        </w:rPr>
        <w:t>3</w:t>
      </w:r>
      <w:r w:rsidRPr="002712EB">
        <w:rPr>
          <w:rFonts w:ascii="Andes" w:hAnsi="Andes" w:cs="Arial"/>
          <w:sz w:val="22"/>
          <w:szCs w:val="22"/>
        </w:rPr>
        <w:t xml:space="preserve"> </w:t>
      </w:r>
      <w:r w:rsidR="00255143">
        <w:rPr>
          <w:rFonts w:ascii="Andes" w:hAnsi="Andes" w:cs="Arial"/>
          <w:sz w:val="22"/>
          <w:szCs w:val="22"/>
        </w:rPr>
        <w:t>à</w:t>
      </w:r>
      <w:r w:rsidR="00255143" w:rsidRPr="002712EB">
        <w:rPr>
          <w:rFonts w:ascii="Andes" w:hAnsi="Andes" w:cs="Arial"/>
          <w:sz w:val="22"/>
          <w:szCs w:val="22"/>
        </w:rPr>
        <w:t xml:space="preserve"> </w:t>
      </w:r>
      <w:r w:rsidR="007752AC" w:rsidRPr="002712EB">
        <w:rPr>
          <w:rFonts w:ascii="Andes" w:hAnsi="Andes" w:cs="Arial"/>
          <w:sz w:val="22"/>
          <w:szCs w:val="22"/>
        </w:rPr>
        <w:t>5.7</w:t>
      </w:r>
      <w:r w:rsidR="00953761">
        <w:rPr>
          <w:rFonts w:ascii="Andes" w:hAnsi="Andes" w:cs="Arial"/>
          <w:sz w:val="22"/>
          <w:szCs w:val="22"/>
        </w:rPr>
        <w:t>5</w:t>
      </w:r>
      <w:r w:rsidR="00F466D3" w:rsidRPr="002712EB">
        <w:rPr>
          <w:rFonts w:ascii="Andes" w:hAnsi="Andes" w:cs="Arial"/>
          <w:sz w:val="22"/>
          <w:szCs w:val="22"/>
        </w:rPr>
        <w:t xml:space="preserve"> (</w:t>
      </w:r>
      <w:r w:rsidRPr="002712EB">
        <w:rPr>
          <w:rFonts w:ascii="Andes" w:hAnsi="Andes" w:cs="Arial"/>
          <w:sz w:val="22"/>
          <w:szCs w:val="22"/>
        </w:rPr>
        <w:t>Fournitures, Travaux et Services Autres que Services de Consultants</w:t>
      </w:r>
      <w:r w:rsidR="00F466D3" w:rsidRPr="002712EB">
        <w:rPr>
          <w:rFonts w:ascii="Andes" w:hAnsi="Andes" w:cs="Arial"/>
          <w:sz w:val="22"/>
          <w:szCs w:val="22"/>
        </w:rPr>
        <w:t>)</w:t>
      </w:r>
      <w:r w:rsidR="005858D6" w:rsidRPr="002712EB">
        <w:rPr>
          <w:rFonts w:ascii="Andes" w:hAnsi="Andes" w:cs="Arial"/>
          <w:sz w:val="22"/>
          <w:szCs w:val="22"/>
        </w:rPr>
        <w:t>,</w:t>
      </w:r>
      <w:r>
        <w:rPr>
          <w:rFonts w:ascii="Andes" w:hAnsi="Andes" w:cs="Arial"/>
          <w:sz w:val="22"/>
          <w:szCs w:val="22"/>
        </w:rPr>
        <w:t xml:space="preserve"> ou au</w:t>
      </w:r>
      <w:r w:rsidR="00DB1099">
        <w:rPr>
          <w:rFonts w:ascii="Andes" w:hAnsi="Andes" w:cs="Arial"/>
          <w:sz w:val="22"/>
          <w:szCs w:val="22"/>
        </w:rPr>
        <w:t>x</w:t>
      </w:r>
      <w:r>
        <w:rPr>
          <w:rFonts w:ascii="Andes" w:hAnsi="Andes" w:cs="Arial"/>
          <w:sz w:val="22"/>
          <w:szCs w:val="22"/>
        </w:rPr>
        <w:t xml:space="preserve"> </w:t>
      </w:r>
      <w:r w:rsidR="00F43E5A">
        <w:rPr>
          <w:rFonts w:ascii="Andes" w:hAnsi="Andes" w:cs="Arial"/>
          <w:sz w:val="22"/>
          <w:szCs w:val="22"/>
        </w:rPr>
        <w:t>paragraphes</w:t>
      </w:r>
      <w:r w:rsidR="00F43E5A">
        <w:rPr>
          <w:rFonts w:ascii="Calibri" w:hAnsi="Calibri" w:cs="Calibri"/>
          <w:sz w:val="22"/>
          <w:szCs w:val="22"/>
        </w:rPr>
        <w:t> </w:t>
      </w:r>
      <w:r w:rsidR="00F466D3" w:rsidRPr="002712EB">
        <w:rPr>
          <w:rFonts w:ascii="Andes" w:hAnsi="Andes" w:cs="Arial"/>
          <w:sz w:val="22"/>
          <w:szCs w:val="22"/>
        </w:rPr>
        <w:t>5.7</w:t>
      </w:r>
      <w:r w:rsidR="00953761">
        <w:rPr>
          <w:rFonts w:ascii="Andes" w:hAnsi="Andes" w:cs="Arial"/>
          <w:sz w:val="22"/>
          <w:szCs w:val="22"/>
        </w:rPr>
        <w:t>6</w:t>
      </w:r>
      <w:r>
        <w:rPr>
          <w:rFonts w:ascii="Andes" w:hAnsi="Andes" w:cs="Arial"/>
          <w:sz w:val="22"/>
          <w:szCs w:val="22"/>
        </w:rPr>
        <w:t xml:space="preserve"> </w:t>
      </w:r>
      <w:r w:rsidR="00255143">
        <w:rPr>
          <w:rFonts w:ascii="Andes" w:hAnsi="Andes" w:cs="Arial"/>
          <w:sz w:val="22"/>
          <w:szCs w:val="22"/>
        </w:rPr>
        <w:t xml:space="preserve">à </w:t>
      </w:r>
      <w:r w:rsidR="00F466D3" w:rsidRPr="002712EB">
        <w:rPr>
          <w:rFonts w:ascii="Andes" w:hAnsi="Andes" w:cs="Arial"/>
          <w:sz w:val="22"/>
          <w:szCs w:val="22"/>
        </w:rPr>
        <w:t>5.7</w:t>
      </w:r>
      <w:r w:rsidR="00953761">
        <w:rPr>
          <w:rFonts w:ascii="Andes" w:hAnsi="Andes" w:cs="Arial"/>
          <w:sz w:val="22"/>
          <w:szCs w:val="22"/>
        </w:rPr>
        <w:t>8</w:t>
      </w:r>
      <w:r w:rsidR="00F466D3" w:rsidRPr="002712EB">
        <w:rPr>
          <w:rFonts w:ascii="Andes" w:hAnsi="Andes" w:cs="Arial"/>
          <w:sz w:val="22"/>
          <w:szCs w:val="22"/>
        </w:rPr>
        <w:t xml:space="preserve"> (</w:t>
      </w:r>
      <w:r>
        <w:rPr>
          <w:rFonts w:ascii="Andes" w:hAnsi="Andes" w:cs="Arial"/>
          <w:sz w:val="22"/>
          <w:szCs w:val="22"/>
        </w:rPr>
        <w:t>Services de Consultants</w:t>
      </w:r>
      <w:r w:rsidR="00F466D3" w:rsidRPr="002712EB">
        <w:rPr>
          <w:rFonts w:ascii="Andes" w:hAnsi="Andes" w:cs="Arial"/>
          <w:sz w:val="22"/>
          <w:szCs w:val="22"/>
        </w:rPr>
        <w:t xml:space="preserve">), </w:t>
      </w:r>
      <w:r>
        <w:rPr>
          <w:rFonts w:ascii="Andes" w:hAnsi="Andes" w:cs="Arial"/>
          <w:sz w:val="22"/>
          <w:szCs w:val="22"/>
        </w:rPr>
        <w:t>tout Soumissionnaire/Proposant/Consultant non retenu</w:t>
      </w:r>
      <w:r w:rsidR="0047154C">
        <w:rPr>
          <w:rFonts w:ascii="Andes" w:hAnsi="Andes" w:cs="Arial"/>
          <w:sz w:val="22"/>
          <w:szCs w:val="22"/>
        </w:rPr>
        <w:t xml:space="preserve"> dispose de trois</w:t>
      </w:r>
      <w:r w:rsidR="00DB1099">
        <w:rPr>
          <w:rFonts w:ascii="Calibri" w:hAnsi="Calibri" w:cs="Arial"/>
          <w:sz w:val="22"/>
          <w:szCs w:val="22"/>
        </w:rPr>
        <w:t> </w:t>
      </w:r>
      <w:r w:rsidR="0047154C">
        <w:rPr>
          <w:rFonts w:ascii="Andes" w:hAnsi="Andes" w:cs="Arial"/>
          <w:sz w:val="22"/>
          <w:szCs w:val="22"/>
        </w:rPr>
        <w:t>(3)</w:t>
      </w:r>
      <w:r w:rsidR="00DB1099">
        <w:rPr>
          <w:rFonts w:ascii="Calibri" w:hAnsi="Calibri" w:cs="Arial"/>
          <w:sz w:val="22"/>
          <w:szCs w:val="22"/>
        </w:rPr>
        <w:t> </w:t>
      </w:r>
      <w:r w:rsidR="00DB1099">
        <w:rPr>
          <w:rFonts w:ascii="Andes" w:hAnsi="Andes" w:cs="Arial"/>
          <w:sz w:val="22"/>
          <w:szCs w:val="22"/>
        </w:rPr>
        <w:t xml:space="preserve">Jours Ouvrables </w:t>
      </w:r>
      <w:r w:rsidR="0047154C">
        <w:rPr>
          <w:rFonts w:ascii="Andes" w:hAnsi="Andes" w:cs="Arial"/>
          <w:sz w:val="22"/>
          <w:szCs w:val="22"/>
        </w:rPr>
        <w:t xml:space="preserve">pour présenter une demande écrite de débriefing à l’Emprunteur. </w:t>
      </w:r>
      <w:r w:rsidR="0047154C" w:rsidRPr="0047154C">
        <w:rPr>
          <w:rFonts w:ascii="Andes" w:hAnsi="Andes" w:cs="Arial"/>
          <w:sz w:val="22"/>
          <w:szCs w:val="22"/>
        </w:rPr>
        <w:t>L’</w:t>
      </w:r>
      <w:r w:rsidR="0047154C">
        <w:rPr>
          <w:rFonts w:ascii="Andes" w:hAnsi="Andes" w:cs="Arial"/>
          <w:sz w:val="22"/>
          <w:szCs w:val="22"/>
        </w:rPr>
        <w:t>Emprunteur</w:t>
      </w:r>
      <w:r w:rsidR="00DB1099">
        <w:rPr>
          <w:rFonts w:ascii="Andes" w:hAnsi="Andes" w:cs="Arial"/>
          <w:sz w:val="22"/>
          <w:szCs w:val="22"/>
        </w:rPr>
        <w:t xml:space="preserve"> est tenu de faire </w:t>
      </w:r>
      <w:r w:rsidR="009B699A">
        <w:rPr>
          <w:rFonts w:ascii="Andes" w:hAnsi="Andes" w:cs="Arial"/>
          <w:sz w:val="22"/>
          <w:szCs w:val="22"/>
        </w:rPr>
        <w:t>des débriefing</w:t>
      </w:r>
      <w:r w:rsidR="00DB1099">
        <w:rPr>
          <w:rFonts w:ascii="Andes" w:hAnsi="Andes" w:cs="Arial"/>
          <w:sz w:val="22"/>
          <w:szCs w:val="22"/>
        </w:rPr>
        <w:t>s</w:t>
      </w:r>
      <w:r w:rsidR="009B699A">
        <w:rPr>
          <w:rFonts w:ascii="Andes" w:hAnsi="Andes" w:cs="Arial"/>
          <w:sz w:val="22"/>
          <w:szCs w:val="22"/>
        </w:rPr>
        <w:t xml:space="preserve"> </w:t>
      </w:r>
      <w:r w:rsidR="0047154C" w:rsidRPr="0047154C">
        <w:rPr>
          <w:rFonts w:ascii="Andes" w:hAnsi="Andes" w:cs="Arial"/>
          <w:sz w:val="22"/>
          <w:szCs w:val="22"/>
        </w:rPr>
        <w:t>pour tous les Soumissionnaires/Proposant</w:t>
      </w:r>
      <w:r w:rsidR="0047154C">
        <w:rPr>
          <w:rFonts w:ascii="Andes" w:hAnsi="Andes" w:cs="Arial"/>
          <w:sz w:val="22"/>
          <w:szCs w:val="22"/>
        </w:rPr>
        <w:t>s</w:t>
      </w:r>
      <w:r w:rsidR="0047154C" w:rsidRPr="0047154C">
        <w:rPr>
          <w:rFonts w:ascii="Andes" w:hAnsi="Andes" w:cs="Arial"/>
          <w:sz w:val="22"/>
          <w:szCs w:val="22"/>
        </w:rPr>
        <w:t>/Consultant</w:t>
      </w:r>
      <w:r w:rsidR="0047154C">
        <w:rPr>
          <w:rFonts w:ascii="Andes" w:hAnsi="Andes" w:cs="Arial"/>
          <w:sz w:val="22"/>
          <w:szCs w:val="22"/>
        </w:rPr>
        <w:t>s</w:t>
      </w:r>
      <w:r w:rsidR="00674168">
        <w:rPr>
          <w:rFonts w:ascii="Andes" w:hAnsi="Andes" w:cs="Arial"/>
          <w:sz w:val="22"/>
          <w:szCs w:val="22"/>
        </w:rPr>
        <w:t xml:space="preserve"> non retenus</w:t>
      </w:r>
      <w:r w:rsidR="0047154C" w:rsidRPr="0047154C">
        <w:rPr>
          <w:rFonts w:ascii="Andes" w:hAnsi="Andes" w:cs="Arial"/>
          <w:sz w:val="22"/>
          <w:szCs w:val="22"/>
        </w:rPr>
        <w:t xml:space="preserve"> dont les demandes</w:t>
      </w:r>
      <w:r w:rsidR="00DB1099">
        <w:rPr>
          <w:rFonts w:ascii="Andes" w:hAnsi="Andes" w:cs="Arial"/>
          <w:sz w:val="22"/>
          <w:szCs w:val="22"/>
        </w:rPr>
        <w:t xml:space="preserve"> ont été </w:t>
      </w:r>
      <w:r w:rsidR="0047154C" w:rsidRPr="0047154C">
        <w:rPr>
          <w:rFonts w:ascii="Andes" w:hAnsi="Andes" w:cs="Arial"/>
          <w:sz w:val="22"/>
          <w:szCs w:val="22"/>
        </w:rPr>
        <w:t>reçues</w:t>
      </w:r>
      <w:r w:rsidR="0047154C">
        <w:rPr>
          <w:rFonts w:ascii="Andes" w:hAnsi="Andes" w:cs="Arial"/>
          <w:sz w:val="22"/>
          <w:szCs w:val="22"/>
        </w:rPr>
        <w:t xml:space="preserve"> avant l’expiration de ce délai</w:t>
      </w:r>
      <w:r w:rsidR="00687669" w:rsidRPr="0047154C">
        <w:rPr>
          <w:rFonts w:ascii="Andes" w:hAnsi="Andes" w:cs="Arial"/>
          <w:sz w:val="22"/>
          <w:szCs w:val="22"/>
        </w:rPr>
        <w:t xml:space="preserve">.  </w:t>
      </w:r>
    </w:p>
    <w:p w14:paraId="1392F31A" w14:textId="5DF9F453" w:rsidR="005858D6" w:rsidRPr="00674168" w:rsidRDefault="0047154C" w:rsidP="00882278">
      <w:pPr>
        <w:pStyle w:val="Paragraphedeliste"/>
        <w:numPr>
          <w:ilvl w:val="0"/>
          <w:numId w:val="78"/>
        </w:numPr>
        <w:spacing w:before="0" w:line="240" w:lineRule="auto"/>
        <w:ind w:left="634" w:hanging="634"/>
        <w:contextualSpacing w:val="0"/>
        <w:rPr>
          <w:rFonts w:ascii="Andes" w:hAnsi="Andes" w:cs="Arial"/>
          <w:sz w:val="22"/>
          <w:szCs w:val="22"/>
        </w:rPr>
      </w:pPr>
      <w:r w:rsidRPr="0047154C">
        <w:rPr>
          <w:rFonts w:ascii="Andes" w:hAnsi="Andes" w:cs="Arial"/>
          <w:sz w:val="22"/>
          <w:szCs w:val="22"/>
        </w:rPr>
        <w:t>Lorsqu’une demande est reçue dans les délais, l’Emprunteur doit faire</w:t>
      </w:r>
      <w:r w:rsidR="00674168">
        <w:rPr>
          <w:rFonts w:ascii="Andes" w:hAnsi="Andes" w:cs="Arial"/>
          <w:sz w:val="22"/>
          <w:szCs w:val="22"/>
        </w:rPr>
        <w:t xml:space="preserve"> le débriefing demandé </w:t>
      </w:r>
      <w:r w:rsidRPr="0047154C">
        <w:rPr>
          <w:rFonts w:ascii="Andes" w:hAnsi="Andes" w:cs="Arial"/>
          <w:sz w:val="22"/>
          <w:szCs w:val="22"/>
        </w:rPr>
        <w:t xml:space="preserve">dans les cinq (5) Jours Ouvrables qui suivent, sauf s’il décide, pour des raisons valables, de le </w:t>
      </w:r>
      <w:r w:rsidR="00674168">
        <w:rPr>
          <w:rFonts w:ascii="Andes" w:hAnsi="Andes" w:cs="Arial"/>
          <w:sz w:val="22"/>
          <w:szCs w:val="22"/>
        </w:rPr>
        <w:t>reporter</w:t>
      </w:r>
      <w:r w:rsidRPr="0047154C">
        <w:rPr>
          <w:rFonts w:ascii="Andes" w:hAnsi="Andes" w:cs="Arial"/>
          <w:sz w:val="22"/>
          <w:szCs w:val="22"/>
        </w:rPr>
        <w:t xml:space="preserve">. </w:t>
      </w:r>
      <w:r w:rsidRPr="00674168">
        <w:rPr>
          <w:rFonts w:ascii="Andes" w:hAnsi="Andes" w:cs="Arial"/>
          <w:sz w:val="22"/>
          <w:szCs w:val="22"/>
        </w:rPr>
        <w:t>Dans ce cas, le Délai de Suspension est automatiquement</w:t>
      </w:r>
      <w:r w:rsidR="00D84AC2">
        <w:rPr>
          <w:rFonts w:ascii="Andes" w:hAnsi="Andes" w:cs="Arial"/>
          <w:sz w:val="22"/>
          <w:szCs w:val="22"/>
        </w:rPr>
        <w:t xml:space="preserve"> prorogé </w:t>
      </w:r>
      <w:r w:rsidRPr="00674168">
        <w:rPr>
          <w:rFonts w:ascii="Andes" w:hAnsi="Andes" w:cs="Arial"/>
          <w:sz w:val="22"/>
          <w:szCs w:val="22"/>
        </w:rPr>
        <w:t>de cinq</w:t>
      </w:r>
      <w:r w:rsidR="00674168">
        <w:rPr>
          <w:rFonts w:ascii="Calibri" w:hAnsi="Calibri" w:cs="Arial"/>
          <w:sz w:val="22"/>
          <w:szCs w:val="22"/>
        </w:rPr>
        <w:t> </w:t>
      </w:r>
      <w:r w:rsidR="00674168">
        <w:rPr>
          <w:rFonts w:ascii="Andes" w:hAnsi="Andes" w:cs="Arial"/>
          <w:sz w:val="22"/>
          <w:szCs w:val="22"/>
        </w:rPr>
        <w:t>(5)</w:t>
      </w:r>
      <w:r w:rsidR="00674168">
        <w:rPr>
          <w:rFonts w:ascii="Calibri" w:hAnsi="Calibri" w:cs="Arial"/>
          <w:sz w:val="22"/>
          <w:szCs w:val="22"/>
        </w:rPr>
        <w:t> </w:t>
      </w:r>
      <w:r w:rsidR="00674168">
        <w:rPr>
          <w:rFonts w:ascii="Andes" w:hAnsi="Andes" w:cs="Arial"/>
          <w:sz w:val="22"/>
          <w:szCs w:val="22"/>
        </w:rPr>
        <w:t xml:space="preserve">Jours Ouvrables </w:t>
      </w:r>
      <w:r w:rsidRPr="00674168">
        <w:rPr>
          <w:rFonts w:ascii="Andes" w:hAnsi="Andes" w:cs="Arial"/>
          <w:sz w:val="22"/>
          <w:szCs w:val="22"/>
        </w:rPr>
        <w:t xml:space="preserve">à compter de la date </w:t>
      </w:r>
      <w:r w:rsidR="00674168" w:rsidRPr="00674168">
        <w:rPr>
          <w:rFonts w:ascii="Andes" w:hAnsi="Andes" w:cs="Arial"/>
          <w:sz w:val="22"/>
          <w:szCs w:val="22"/>
        </w:rPr>
        <w:t xml:space="preserve">du débriefing. Si plus d’un débriefing est ainsi retardé, le Délai </w:t>
      </w:r>
      <w:r w:rsidR="00946088">
        <w:rPr>
          <w:rFonts w:ascii="Andes" w:hAnsi="Andes" w:cs="Arial"/>
          <w:sz w:val="22"/>
          <w:szCs w:val="22"/>
        </w:rPr>
        <w:t>d’Attente</w:t>
      </w:r>
      <w:r w:rsidR="00674168" w:rsidRPr="00674168">
        <w:rPr>
          <w:rFonts w:ascii="Andes" w:hAnsi="Andes" w:cs="Arial"/>
          <w:sz w:val="22"/>
          <w:szCs w:val="22"/>
        </w:rPr>
        <w:t xml:space="preserve"> ne peut prendre fin moins de cinq</w:t>
      </w:r>
      <w:r w:rsidR="00674168">
        <w:rPr>
          <w:rFonts w:ascii="Calibri" w:hAnsi="Calibri" w:cs="Arial"/>
          <w:sz w:val="22"/>
          <w:szCs w:val="22"/>
        </w:rPr>
        <w:t> </w:t>
      </w:r>
      <w:r w:rsidR="00674168">
        <w:rPr>
          <w:rFonts w:ascii="Andes" w:hAnsi="Andes" w:cs="Arial"/>
          <w:sz w:val="22"/>
          <w:szCs w:val="22"/>
        </w:rPr>
        <w:t>(5)</w:t>
      </w:r>
      <w:r w:rsidR="00674168">
        <w:rPr>
          <w:rFonts w:ascii="Calibri" w:hAnsi="Calibri" w:cs="Arial"/>
          <w:sz w:val="22"/>
          <w:szCs w:val="22"/>
        </w:rPr>
        <w:t> </w:t>
      </w:r>
      <w:r w:rsidR="00674168">
        <w:rPr>
          <w:rFonts w:ascii="Andes" w:hAnsi="Andes" w:cs="Arial"/>
          <w:sz w:val="22"/>
          <w:szCs w:val="22"/>
        </w:rPr>
        <w:t xml:space="preserve">Jours Ouvrables après </w:t>
      </w:r>
      <w:r w:rsidR="00674168" w:rsidRPr="00674168">
        <w:rPr>
          <w:rFonts w:ascii="Andes" w:hAnsi="Andes" w:cs="Arial"/>
          <w:sz w:val="22"/>
          <w:szCs w:val="22"/>
        </w:rPr>
        <w:t>la date du dernier débriefing. L’</w:t>
      </w:r>
      <w:r w:rsidR="00674168">
        <w:rPr>
          <w:rFonts w:ascii="Andes" w:hAnsi="Andes" w:cs="Arial"/>
          <w:sz w:val="22"/>
          <w:szCs w:val="22"/>
        </w:rPr>
        <w:t xml:space="preserve">Emprunteur </w:t>
      </w:r>
      <w:r w:rsidR="00674168" w:rsidRPr="00674168">
        <w:rPr>
          <w:rFonts w:ascii="Andes" w:hAnsi="Andes" w:cs="Arial"/>
          <w:sz w:val="22"/>
          <w:szCs w:val="22"/>
        </w:rPr>
        <w:t>informe sans tarder, par les moyens les plus rapides, tous les Soumissionnaires/Proposant</w:t>
      </w:r>
      <w:r w:rsidR="00674168">
        <w:rPr>
          <w:rFonts w:ascii="Andes" w:hAnsi="Andes" w:cs="Arial"/>
          <w:sz w:val="22"/>
          <w:szCs w:val="22"/>
        </w:rPr>
        <w:t>s</w:t>
      </w:r>
      <w:r w:rsidR="00674168" w:rsidRPr="00674168">
        <w:rPr>
          <w:rFonts w:ascii="Andes" w:hAnsi="Andes" w:cs="Arial"/>
          <w:sz w:val="22"/>
          <w:szCs w:val="22"/>
        </w:rPr>
        <w:t>/Consultant</w:t>
      </w:r>
      <w:r w:rsidR="00674168">
        <w:rPr>
          <w:rFonts w:ascii="Andes" w:hAnsi="Andes" w:cs="Arial"/>
          <w:sz w:val="22"/>
          <w:szCs w:val="22"/>
        </w:rPr>
        <w:t>s</w:t>
      </w:r>
      <w:r w:rsidR="00674168" w:rsidRPr="00674168">
        <w:rPr>
          <w:rFonts w:ascii="Andes" w:hAnsi="Andes" w:cs="Arial"/>
          <w:sz w:val="22"/>
          <w:szCs w:val="22"/>
        </w:rPr>
        <w:t xml:space="preserve"> de la</w:t>
      </w:r>
      <w:r w:rsidR="00D84AC2">
        <w:rPr>
          <w:rFonts w:ascii="Andes" w:hAnsi="Andes" w:cs="Arial"/>
          <w:sz w:val="22"/>
          <w:szCs w:val="22"/>
        </w:rPr>
        <w:t xml:space="preserve"> prorogation </w:t>
      </w:r>
      <w:r w:rsidR="00674168" w:rsidRPr="00674168">
        <w:rPr>
          <w:rFonts w:ascii="Andes" w:hAnsi="Andes" w:cs="Arial"/>
          <w:sz w:val="22"/>
          <w:szCs w:val="22"/>
        </w:rPr>
        <w:t>du Délai d</w:t>
      </w:r>
      <w:r w:rsidR="00946088">
        <w:rPr>
          <w:rFonts w:ascii="Andes" w:hAnsi="Andes" w:cs="Arial"/>
          <w:sz w:val="22"/>
          <w:szCs w:val="22"/>
        </w:rPr>
        <w:t>’Attente</w:t>
      </w:r>
      <w:r w:rsidR="00674168" w:rsidRPr="00674168">
        <w:rPr>
          <w:rFonts w:ascii="Andes" w:hAnsi="Andes" w:cs="Arial"/>
          <w:sz w:val="22"/>
          <w:szCs w:val="22"/>
        </w:rPr>
        <w:t xml:space="preserve">. </w:t>
      </w:r>
    </w:p>
    <w:p w14:paraId="0784EBB0" w14:textId="591EF329" w:rsidR="005858D6" w:rsidRPr="00342303" w:rsidRDefault="00342303" w:rsidP="00882278">
      <w:pPr>
        <w:pStyle w:val="Paragraphedeliste"/>
        <w:numPr>
          <w:ilvl w:val="0"/>
          <w:numId w:val="78"/>
        </w:numPr>
        <w:spacing w:before="0" w:line="240" w:lineRule="auto"/>
        <w:ind w:left="634" w:hanging="634"/>
        <w:contextualSpacing w:val="0"/>
        <w:rPr>
          <w:rFonts w:ascii="Andes" w:hAnsi="Andes" w:cs="Arial"/>
          <w:sz w:val="22"/>
          <w:szCs w:val="22"/>
        </w:rPr>
      </w:pPr>
      <w:r w:rsidRPr="00342303">
        <w:rPr>
          <w:rFonts w:ascii="Andes" w:hAnsi="Andes" w:cs="Arial"/>
          <w:sz w:val="22"/>
          <w:szCs w:val="22"/>
        </w:rPr>
        <w:t>Pour les marchés soumis à examen préalable, l’</w:t>
      </w:r>
      <w:r>
        <w:rPr>
          <w:rFonts w:ascii="Andes" w:hAnsi="Andes" w:cs="Arial"/>
          <w:sz w:val="22"/>
          <w:szCs w:val="22"/>
        </w:rPr>
        <w:t xml:space="preserve">Emprunteur </w:t>
      </w:r>
      <w:r w:rsidRPr="00342303">
        <w:rPr>
          <w:rFonts w:ascii="Andes" w:hAnsi="Andes" w:cs="Arial"/>
          <w:sz w:val="22"/>
          <w:szCs w:val="22"/>
        </w:rPr>
        <w:t>informe simultanément la Banque de la</w:t>
      </w:r>
      <w:r w:rsidR="00D84AC2">
        <w:rPr>
          <w:rFonts w:ascii="Andes" w:hAnsi="Andes" w:cs="Arial"/>
          <w:sz w:val="22"/>
          <w:szCs w:val="22"/>
        </w:rPr>
        <w:t xml:space="preserve"> prorogation </w:t>
      </w:r>
      <w:r w:rsidRPr="00342303">
        <w:rPr>
          <w:rFonts w:ascii="Andes" w:hAnsi="Andes" w:cs="Arial"/>
          <w:sz w:val="22"/>
          <w:szCs w:val="22"/>
        </w:rPr>
        <w:t xml:space="preserve">du Délai </w:t>
      </w:r>
      <w:r w:rsidR="00946088">
        <w:rPr>
          <w:rFonts w:ascii="Andes" w:hAnsi="Andes" w:cs="Arial"/>
          <w:sz w:val="22"/>
          <w:szCs w:val="22"/>
        </w:rPr>
        <w:t>d’Attente</w:t>
      </w:r>
      <w:r w:rsidRPr="00342303">
        <w:rPr>
          <w:rFonts w:ascii="Andes" w:hAnsi="Andes" w:cs="Arial"/>
          <w:sz w:val="22"/>
          <w:szCs w:val="22"/>
        </w:rPr>
        <w:t xml:space="preserve">. </w:t>
      </w:r>
    </w:p>
    <w:p w14:paraId="11527E1B" w14:textId="02CF22DB" w:rsidR="005858D6" w:rsidRPr="00A74256" w:rsidRDefault="00342303" w:rsidP="00882278">
      <w:pPr>
        <w:pStyle w:val="Paragraphedeliste"/>
        <w:numPr>
          <w:ilvl w:val="0"/>
          <w:numId w:val="78"/>
        </w:numPr>
        <w:spacing w:before="0" w:line="240" w:lineRule="auto"/>
        <w:ind w:left="634" w:hanging="634"/>
        <w:contextualSpacing w:val="0"/>
        <w:rPr>
          <w:rFonts w:ascii="Andes" w:hAnsi="Andes" w:cs="Arial"/>
          <w:sz w:val="22"/>
          <w:szCs w:val="22"/>
        </w:rPr>
      </w:pPr>
      <w:r w:rsidRPr="00342303">
        <w:rPr>
          <w:rFonts w:ascii="Andes" w:hAnsi="Andes" w:cs="Arial"/>
          <w:sz w:val="22"/>
          <w:szCs w:val="22"/>
        </w:rPr>
        <w:t>Lorsque l’Emprunteur reçoit une demande de débriefing après l’expiration du délai de trois</w:t>
      </w:r>
      <w:r w:rsidRPr="00342303">
        <w:rPr>
          <w:rFonts w:ascii="Calibri" w:hAnsi="Calibri" w:cs="Arial"/>
          <w:sz w:val="22"/>
          <w:szCs w:val="22"/>
        </w:rPr>
        <w:t> </w:t>
      </w:r>
      <w:r w:rsidRPr="00342303">
        <w:rPr>
          <w:rFonts w:ascii="Andes" w:hAnsi="Andes" w:cs="Arial"/>
          <w:sz w:val="22"/>
          <w:szCs w:val="22"/>
        </w:rPr>
        <w:t xml:space="preserve">(3) Jours Ouvrables visé au </w:t>
      </w:r>
      <w:r w:rsidR="00953761">
        <w:rPr>
          <w:rFonts w:ascii="Andes" w:hAnsi="Andes" w:cs="Arial"/>
          <w:sz w:val="22"/>
          <w:szCs w:val="22"/>
        </w:rPr>
        <w:t>P</w:t>
      </w:r>
      <w:r w:rsidRPr="00342303">
        <w:rPr>
          <w:rFonts w:ascii="Andes" w:hAnsi="Andes" w:cs="Arial"/>
          <w:sz w:val="22"/>
          <w:szCs w:val="22"/>
        </w:rPr>
        <w:t xml:space="preserve">aragraphe </w:t>
      </w:r>
      <w:r w:rsidR="007752AC" w:rsidRPr="00342303">
        <w:rPr>
          <w:rFonts w:ascii="Andes" w:hAnsi="Andes" w:cs="Arial"/>
          <w:sz w:val="22"/>
          <w:szCs w:val="22"/>
        </w:rPr>
        <w:t>5</w:t>
      </w:r>
      <w:r w:rsidR="002B5581" w:rsidRPr="00342303">
        <w:rPr>
          <w:rFonts w:ascii="Andes" w:hAnsi="Andes" w:cs="Arial"/>
          <w:sz w:val="22"/>
          <w:szCs w:val="22"/>
        </w:rPr>
        <w:t>.8</w:t>
      </w:r>
      <w:r w:rsidR="00953761">
        <w:rPr>
          <w:rFonts w:ascii="Andes" w:hAnsi="Andes" w:cs="Arial"/>
          <w:sz w:val="22"/>
          <w:szCs w:val="22"/>
        </w:rPr>
        <w:t>2</w:t>
      </w:r>
      <w:r w:rsidR="005858D6" w:rsidRPr="00342303">
        <w:rPr>
          <w:rFonts w:ascii="Andes" w:hAnsi="Andes" w:cs="Arial"/>
          <w:sz w:val="22"/>
          <w:szCs w:val="22"/>
        </w:rPr>
        <w:t>,</w:t>
      </w:r>
      <w:r>
        <w:rPr>
          <w:rFonts w:ascii="Andes" w:hAnsi="Andes" w:cs="Arial"/>
          <w:sz w:val="22"/>
          <w:szCs w:val="22"/>
        </w:rPr>
        <w:t xml:space="preserve"> il </w:t>
      </w:r>
      <w:r w:rsidRPr="00342303">
        <w:rPr>
          <w:rFonts w:ascii="Andes" w:hAnsi="Andes" w:cs="Arial"/>
          <w:sz w:val="22"/>
          <w:szCs w:val="22"/>
        </w:rPr>
        <w:t>fait le débriefing sollicité dès que possible</w:t>
      </w:r>
      <w:r w:rsidR="00F77CA2">
        <w:rPr>
          <w:rFonts w:ascii="Andes" w:hAnsi="Andes" w:cs="Arial"/>
          <w:sz w:val="22"/>
          <w:szCs w:val="22"/>
        </w:rPr>
        <w:t xml:space="preserve">, et normalement quinze (15) Jours Ouvrables au plus tard après la date de publication de l’Avis </w:t>
      </w:r>
      <w:r w:rsidR="00F77CA2">
        <w:rPr>
          <w:rFonts w:ascii="Andes" w:hAnsi="Andes" w:cs="Arial"/>
          <w:sz w:val="22"/>
          <w:szCs w:val="22"/>
        </w:rPr>
        <w:lastRenderedPageBreak/>
        <w:t xml:space="preserve">d’Attribution du Marché/Contrat. </w:t>
      </w:r>
      <w:r w:rsidR="00F77CA2" w:rsidRPr="00F77CA2">
        <w:rPr>
          <w:rFonts w:ascii="Andes" w:hAnsi="Andes" w:cs="Arial"/>
          <w:sz w:val="22"/>
          <w:szCs w:val="22"/>
        </w:rPr>
        <w:t>Les demandes de débriefing</w:t>
      </w:r>
      <w:r w:rsidR="009B699A">
        <w:rPr>
          <w:rFonts w:ascii="Andes" w:hAnsi="Andes" w:cs="Arial"/>
          <w:sz w:val="22"/>
          <w:szCs w:val="22"/>
        </w:rPr>
        <w:t xml:space="preserve"> reçues </w:t>
      </w:r>
      <w:r w:rsidR="00F77CA2" w:rsidRPr="00F77CA2">
        <w:rPr>
          <w:rFonts w:ascii="Andes" w:hAnsi="Andes" w:cs="Arial"/>
          <w:sz w:val="22"/>
          <w:szCs w:val="22"/>
        </w:rPr>
        <w:t xml:space="preserve">après l’expiration du délai de trois </w:t>
      </w:r>
      <w:r w:rsidR="009B699A">
        <w:rPr>
          <w:rFonts w:ascii="Andes" w:hAnsi="Andes" w:cs="Arial"/>
          <w:sz w:val="22"/>
          <w:szCs w:val="22"/>
        </w:rPr>
        <w:t xml:space="preserve">(3) Jours Ouvrables </w:t>
      </w:r>
      <w:r w:rsidR="00F77CA2" w:rsidRPr="00F77CA2">
        <w:rPr>
          <w:rFonts w:ascii="Andes" w:hAnsi="Andes" w:cs="Arial"/>
          <w:sz w:val="22"/>
          <w:szCs w:val="22"/>
        </w:rPr>
        <w:t xml:space="preserve">ne </w:t>
      </w:r>
      <w:r w:rsidR="009B699A" w:rsidRPr="00F77CA2">
        <w:rPr>
          <w:rFonts w:ascii="Andes" w:hAnsi="Andes" w:cs="Arial"/>
          <w:sz w:val="22"/>
          <w:szCs w:val="22"/>
        </w:rPr>
        <w:t>donnent</w:t>
      </w:r>
      <w:r w:rsidR="00F77CA2" w:rsidRPr="00F77CA2">
        <w:rPr>
          <w:rFonts w:ascii="Andes" w:hAnsi="Andes" w:cs="Arial"/>
          <w:sz w:val="22"/>
          <w:szCs w:val="22"/>
        </w:rPr>
        <w:t xml:space="preserve"> pas lieu à une</w:t>
      </w:r>
      <w:r w:rsidR="00D84AC2">
        <w:rPr>
          <w:rFonts w:ascii="Andes" w:hAnsi="Andes" w:cs="Arial"/>
          <w:sz w:val="22"/>
          <w:szCs w:val="22"/>
        </w:rPr>
        <w:t xml:space="preserve"> prorogation </w:t>
      </w:r>
      <w:r w:rsidR="00F77CA2" w:rsidRPr="00F77CA2">
        <w:rPr>
          <w:rFonts w:ascii="Andes" w:hAnsi="Andes" w:cs="Arial"/>
          <w:sz w:val="22"/>
          <w:szCs w:val="22"/>
        </w:rPr>
        <w:t>du Délai d</w:t>
      </w:r>
      <w:r w:rsidR="00946088">
        <w:rPr>
          <w:rFonts w:ascii="Andes" w:hAnsi="Andes" w:cs="Arial"/>
          <w:sz w:val="22"/>
          <w:szCs w:val="22"/>
        </w:rPr>
        <w:t>’Attente</w:t>
      </w:r>
      <w:r w:rsidR="00F77CA2" w:rsidRPr="00F77CA2">
        <w:rPr>
          <w:rFonts w:ascii="Andes" w:hAnsi="Andes" w:cs="Arial"/>
          <w:sz w:val="22"/>
          <w:szCs w:val="22"/>
        </w:rPr>
        <w:t xml:space="preserve">. </w:t>
      </w:r>
    </w:p>
    <w:p w14:paraId="24BC8A02" w14:textId="5D470829" w:rsidR="005858D6" w:rsidRPr="00A74256" w:rsidRDefault="009B699A" w:rsidP="00882278">
      <w:pPr>
        <w:pStyle w:val="Paragraphedeliste"/>
        <w:numPr>
          <w:ilvl w:val="0"/>
          <w:numId w:val="78"/>
        </w:numPr>
        <w:spacing w:before="0" w:line="240" w:lineRule="auto"/>
        <w:ind w:left="634" w:hanging="634"/>
        <w:contextualSpacing w:val="0"/>
        <w:rPr>
          <w:rFonts w:ascii="Andes" w:hAnsi="Andes" w:cs="Arial"/>
          <w:sz w:val="22"/>
          <w:szCs w:val="22"/>
        </w:rPr>
      </w:pPr>
      <w:r w:rsidRPr="009B699A">
        <w:rPr>
          <w:rFonts w:ascii="Andes" w:hAnsi="Andes" w:cs="Arial"/>
          <w:sz w:val="22"/>
          <w:szCs w:val="22"/>
        </w:rPr>
        <w:t xml:space="preserve">Les </w:t>
      </w:r>
      <w:r w:rsidR="00DE5ABC" w:rsidRPr="009B699A">
        <w:rPr>
          <w:rFonts w:ascii="Andes" w:hAnsi="Andes" w:cs="Arial"/>
          <w:sz w:val="22"/>
          <w:szCs w:val="22"/>
        </w:rPr>
        <w:t>débriefings</w:t>
      </w:r>
      <w:r w:rsidRPr="009B699A">
        <w:rPr>
          <w:rFonts w:ascii="Andes" w:hAnsi="Andes" w:cs="Arial"/>
          <w:sz w:val="22"/>
          <w:szCs w:val="22"/>
        </w:rPr>
        <w:t xml:space="preserve"> pour les Soumissionnaires/Proposant</w:t>
      </w:r>
      <w:r w:rsidR="00DE5ABC">
        <w:rPr>
          <w:rFonts w:ascii="Andes" w:hAnsi="Andes" w:cs="Arial"/>
          <w:sz w:val="22"/>
          <w:szCs w:val="22"/>
        </w:rPr>
        <w:t>s</w:t>
      </w:r>
      <w:r w:rsidRPr="009B699A">
        <w:rPr>
          <w:rFonts w:ascii="Andes" w:hAnsi="Andes" w:cs="Arial"/>
          <w:sz w:val="22"/>
          <w:szCs w:val="22"/>
        </w:rPr>
        <w:t>/Consultant</w:t>
      </w:r>
      <w:r w:rsidR="00DE5ABC">
        <w:rPr>
          <w:rFonts w:ascii="Andes" w:hAnsi="Andes" w:cs="Arial"/>
          <w:sz w:val="22"/>
          <w:szCs w:val="22"/>
        </w:rPr>
        <w:t>s</w:t>
      </w:r>
      <w:r w:rsidRPr="009B699A">
        <w:rPr>
          <w:rFonts w:ascii="Andes" w:hAnsi="Andes" w:cs="Arial"/>
          <w:sz w:val="22"/>
          <w:szCs w:val="22"/>
        </w:rPr>
        <w:t xml:space="preserve"> non retenu</w:t>
      </w:r>
      <w:r w:rsidR="00DE5ABC">
        <w:rPr>
          <w:rFonts w:ascii="Andes" w:hAnsi="Andes" w:cs="Arial"/>
          <w:sz w:val="22"/>
          <w:szCs w:val="22"/>
        </w:rPr>
        <w:t>s</w:t>
      </w:r>
      <w:r w:rsidRPr="009B699A">
        <w:rPr>
          <w:rFonts w:ascii="Andes" w:hAnsi="Andes" w:cs="Arial"/>
          <w:sz w:val="22"/>
          <w:szCs w:val="22"/>
        </w:rPr>
        <w:t xml:space="preserve"> peuvent être faits Par Écrit ou oralement. </w:t>
      </w:r>
      <w:r>
        <w:rPr>
          <w:rFonts w:ascii="Andes" w:hAnsi="Andes" w:cs="Arial"/>
          <w:sz w:val="22"/>
          <w:szCs w:val="22"/>
        </w:rPr>
        <w:t>L’</w:t>
      </w:r>
      <w:r w:rsidR="00DE5ABC">
        <w:rPr>
          <w:rFonts w:ascii="Andes" w:hAnsi="Andes" w:cs="Arial"/>
          <w:sz w:val="22"/>
          <w:szCs w:val="22"/>
        </w:rPr>
        <w:t xml:space="preserve">Emprunteur </w:t>
      </w:r>
      <w:r>
        <w:rPr>
          <w:rFonts w:ascii="Andes" w:hAnsi="Andes" w:cs="Arial"/>
          <w:sz w:val="22"/>
          <w:szCs w:val="22"/>
        </w:rPr>
        <w:t>ne peut imposer des prescriptions de formes déraisonnables qui auraient pour effet de</w:t>
      </w:r>
      <w:r w:rsidR="00DE5ABC">
        <w:rPr>
          <w:rFonts w:ascii="Andes" w:hAnsi="Andes" w:cs="Arial"/>
          <w:sz w:val="22"/>
          <w:szCs w:val="22"/>
        </w:rPr>
        <w:t xml:space="preserve"> limiter l’aptitude du Soumissionnaire/Proposant/Consultant à avoir rapidement accès à un véritable débriefing. Les frais de participation aux séances de débriefing sont à la charge des Soumissionnaires/Proposants/Consultants concerné</w:t>
      </w:r>
      <w:r w:rsidR="00D84AC2">
        <w:rPr>
          <w:rFonts w:ascii="Andes" w:hAnsi="Andes" w:cs="Arial"/>
          <w:sz w:val="22"/>
          <w:szCs w:val="22"/>
        </w:rPr>
        <w:t>s</w:t>
      </w:r>
      <w:r w:rsidR="00DE5ABC">
        <w:rPr>
          <w:rFonts w:ascii="Andes" w:hAnsi="Andes" w:cs="Arial"/>
          <w:sz w:val="22"/>
          <w:szCs w:val="22"/>
        </w:rPr>
        <w:t xml:space="preserve">. </w:t>
      </w:r>
    </w:p>
    <w:p w14:paraId="70072B0B" w14:textId="3EB74116" w:rsidR="005858D6" w:rsidRPr="00371B06" w:rsidRDefault="00DE5ABC" w:rsidP="00882278">
      <w:pPr>
        <w:pStyle w:val="Paragraphedeliste"/>
        <w:numPr>
          <w:ilvl w:val="0"/>
          <w:numId w:val="78"/>
        </w:numPr>
        <w:spacing w:before="0" w:line="240" w:lineRule="auto"/>
        <w:ind w:left="634" w:hanging="634"/>
        <w:contextualSpacing w:val="0"/>
        <w:rPr>
          <w:rFonts w:ascii="Andes" w:hAnsi="Andes" w:cs="Arial"/>
          <w:sz w:val="22"/>
          <w:szCs w:val="22"/>
        </w:rPr>
      </w:pPr>
      <w:r w:rsidRPr="005F1AC3">
        <w:rPr>
          <w:rFonts w:ascii="Andes" w:hAnsi="Andes" w:cs="Arial"/>
          <w:sz w:val="22"/>
          <w:szCs w:val="22"/>
        </w:rPr>
        <w:t>Le débriefing reprend au moins l’information contenue dans la Notification d’Intention d’Attribution de Marché/Contrat et permet de répondre à toute question connexe</w:t>
      </w:r>
      <w:r w:rsidR="005F1AC3" w:rsidRPr="005F1AC3">
        <w:rPr>
          <w:rFonts w:ascii="Andes" w:hAnsi="Andes" w:cs="Arial"/>
          <w:sz w:val="22"/>
          <w:szCs w:val="22"/>
        </w:rPr>
        <w:t xml:space="preserve"> du Soumi</w:t>
      </w:r>
      <w:r w:rsidR="00371B06">
        <w:rPr>
          <w:rFonts w:ascii="Andes" w:hAnsi="Andes" w:cs="Arial"/>
          <w:sz w:val="22"/>
          <w:szCs w:val="22"/>
        </w:rPr>
        <w:t>ssionnaire/Proposant/Consultant</w:t>
      </w:r>
      <w:r w:rsidR="005F1AC3" w:rsidRPr="005F1AC3">
        <w:rPr>
          <w:rFonts w:ascii="Andes" w:hAnsi="Andes" w:cs="Arial"/>
          <w:sz w:val="22"/>
          <w:szCs w:val="22"/>
        </w:rPr>
        <w:t xml:space="preserve"> non retenu. </w:t>
      </w:r>
      <w:r w:rsidR="005F1AC3" w:rsidRPr="00371B06">
        <w:rPr>
          <w:rFonts w:ascii="Andes" w:hAnsi="Andes" w:cs="Arial"/>
          <w:sz w:val="22"/>
          <w:szCs w:val="22"/>
        </w:rPr>
        <w:t>Il ne donne pas lieu à</w:t>
      </w:r>
      <w:r w:rsidR="00730BDF">
        <w:rPr>
          <w:rFonts w:ascii="Calibri" w:hAnsi="Calibri" w:cs="Calibri"/>
          <w:sz w:val="22"/>
          <w:szCs w:val="22"/>
        </w:rPr>
        <w:t> </w:t>
      </w:r>
      <w:r w:rsidR="00730BDF">
        <w:rPr>
          <w:rFonts w:ascii="Andes" w:hAnsi="Andes" w:cs="Arial"/>
          <w:sz w:val="22"/>
          <w:szCs w:val="22"/>
        </w:rPr>
        <w:t>:</w:t>
      </w:r>
    </w:p>
    <w:p w14:paraId="5E0B274D" w14:textId="16D3C2E2" w:rsidR="005858D6" w:rsidRPr="005F1AC3" w:rsidRDefault="005F1AC3" w:rsidP="00165C7E">
      <w:pPr>
        <w:pStyle w:val="Paragraphedeliste"/>
        <w:numPr>
          <w:ilvl w:val="0"/>
          <w:numId w:val="204"/>
        </w:numPr>
        <w:spacing w:before="0" w:line="240" w:lineRule="auto"/>
        <w:contextualSpacing w:val="0"/>
        <w:rPr>
          <w:rFonts w:ascii="Andes" w:eastAsia="Calibri" w:hAnsi="Andes" w:cs="Arial"/>
          <w:color w:val="000000"/>
          <w:sz w:val="22"/>
          <w:szCs w:val="22"/>
        </w:rPr>
      </w:pPr>
      <w:r w:rsidRPr="005F1AC3">
        <w:rPr>
          <w:rFonts w:ascii="Andes" w:eastAsia="Calibri" w:hAnsi="Andes" w:cs="Arial"/>
          <w:color w:val="000000"/>
          <w:sz w:val="22"/>
          <w:szCs w:val="22"/>
        </w:rPr>
        <w:t>une comparaison point par point avec l’</w:t>
      </w:r>
      <w:r>
        <w:rPr>
          <w:rFonts w:ascii="Andes" w:eastAsia="Calibri" w:hAnsi="Andes" w:cs="Arial"/>
          <w:color w:val="000000"/>
          <w:sz w:val="22"/>
          <w:szCs w:val="22"/>
        </w:rPr>
        <w:t xml:space="preserve">Offre </w:t>
      </w:r>
      <w:r w:rsidRPr="005F1AC3">
        <w:rPr>
          <w:rFonts w:ascii="Andes" w:eastAsia="Calibri" w:hAnsi="Andes" w:cs="Arial"/>
          <w:color w:val="000000"/>
          <w:sz w:val="22"/>
          <w:szCs w:val="22"/>
        </w:rPr>
        <w:t>ou la Proposition de tout autre Soumissionnaire</w:t>
      </w:r>
      <w:r>
        <w:rPr>
          <w:rFonts w:ascii="Andes" w:eastAsia="Calibri" w:hAnsi="Andes" w:cs="Arial"/>
          <w:color w:val="000000"/>
          <w:sz w:val="22"/>
          <w:szCs w:val="22"/>
        </w:rPr>
        <w:t xml:space="preserve">, </w:t>
      </w:r>
      <w:r w:rsidRPr="005F1AC3">
        <w:rPr>
          <w:rFonts w:ascii="Andes" w:eastAsia="Calibri" w:hAnsi="Andes" w:cs="Arial"/>
          <w:color w:val="000000"/>
          <w:sz w:val="22"/>
          <w:szCs w:val="22"/>
        </w:rPr>
        <w:t>Proposant</w:t>
      </w:r>
      <w:r>
        <w:rPr>
          <w:rFonts w:ascii="Andes" w:eastAsia="Calibri" w:hAnsi="Andes" w:cs="Arial"/>
          <w:color w:val="000000"/>
          <w:sz w:val="22"/>
          <w:szCs w:val="22"/>
        </w:rPr>
        <w:t xml:space="preserve"> ou Consultant</w:t>
      </w:r>
      <w:r w:rsidR="00730BDF">
        <w:rPr>
          <w:rFonts w:ascii="Calibri" w:eastAsia="Calibri" w:hAnsi="Calibri" w:cs="Calibri"/>
          <w:color w:val="000000"/>
          <w:sz w:val="22"/>
          <w:szCs w:val="22"/>
        </w:rPr>
        <w:t> </w:t>
      </w:r>
      <w:r w:rsidR="00730BDF">
        <w:rPr>
          <w:rFonts w:ascii="Andes" w:eastAsia="Calibri" w:hAnsi="Andes" w:cs="Arial"/>
          <w:color w:val="000000"/>
          <w:sz w:val="22"/>
          <w:szCs w:val="22"/>
        </w:rPr>
        <w:t>;</w:t>
      </w:r>
    </w:p>
    <w:p w14:paraId="6CEF9ACC" w14:textId="2F3D8462" w:rsidR="005858D6" w:rsidRPr="005F1AC3" w:rsidRDefault="005F1AC3" w:rsidP="00165C7E">
      <w:pPr>
        <w:pStyle w:val="Paragraphedeliste"/>
        <w:numPr>
          <w:ilvl w:val="0"/>
          <w:numId w:val="204"/>
        </w:numPr>
        <w:spacing w:before="0" w:line="240" w:lineRule="auto"/>
        <w:contextualSpacing w:val="0"/>
        <w:rPr>
          <w:rFonts w:ascii="Andes" w:eastAsia="Calibri" w:hAnsi="Andes" w:cs="Arial"/>
          <w:color w:val="000000"/>
          <w:sz w:val="22"/>
          <w:szCs w:val="22"/>
        </w:rPr>
      </w:pPr>
      <w:r w:rsidRPr="005F1AC3">
        <w:rPr>
          <w:rFonts w:ascii="Andes" w:eastAsia="Calibri" w:hAnsi="Andes" w:cs="Arial"/>
          <w:color w:val="000000"/>
          <w:sz w:val="22"/>
          <w:szCs w:val="22"/>
        </w:rPr>
        <w:t xml:space="preserve">la communication d’informations confidentielles ou commercialement sensibles </w:t>
      </w:r>
      <w:r>
        <w:rPr>
          <w:rFonts w:ascii="Andes" w:eastAsia="Calibri" w:hAnsi="Andes" w:cs="Arial"/>
          <w:color w:val="000000"/>
          <w:sz w:val="22"/>
          <w:szCs w:val="22"/>
        </w:rPr>
        <w:t xml:space="preserve">pour d’autres Soumissionnaires/Proposants/Consultants </w:t>
      </w:r>
      <w:r w:rsidR="00371B06">
        <w:rPr>
          <w:rFonts w:ascii="Andes" w:eastAsia="Calibri" w:hAnsi="Andes" w:cs="Arial"/>
          <w:color w:val="000000"/>
          <w:sz w:val="22"/>
          <w:szCs w:val="22"/>
        </w:rPr>
        <w:t>(</w:t>
      </w:r>
      <w:r w:rsidR="00D84AC2">
        <w:rPr>
          <w:rFonts w:ascii="Andes" w:eastAsia="Calibri" w:hAnsi="Andes" w:cs="Arial"/>
          <w:color w:val="000000"/>
          <w:sz w:val="22"/>
          <w:szCs w:val="22"/>
        </w:rPr>
        <w:t xml:space="preserve">ainsi qu’il est dit au </w:t>
      </w:r>
      <w:r w:rsidR="00F43E5A">
        <w:rPr>
          <w:rFonts w:ascii="Andes" w:eastAsia="Calibri" w:hAnsi="Andes" w:cs="Arial"/>
          <w:color w:val="000000"/>
          <w:sz w:val="22"/>
          <w:szCs w:val="22"/>
        </w:rPr>
        <w:t>paragraphe</w:t>
      </w:r>
      <w:r w:rsidR="00F43E5A">
        <w:rPr>
          <w:rFonts w:ascii="Calibri" w:eastAsia="Calibri" w:hAnsi="Calibri" w:cs="Calibri"/>
          <w:color w:val="000000"/>
          <w:sz w:val="22"/>
          <w:szCs w:val="22"/>
        </w:rPr>
        <w:t> </w:t>
      </w:r>
      <w:r w:rsidR="007752AC" w:rsidRPr="005F1AC3">
        <w:rPr>
          <w:rFonts w:ascii="Andes" w:eastAsia="Calibri" w:hAnsi="Andes" w:cs="Arial"/>
          <w:color w:val="000000"/>
          <w:sz w:val="22"/>
          <w:szCs w:val="22"/>
        </w:rPr>
        <w:t>5.19)</w:t>
      </w:r>
      <w:r w:rsidR="005858D6" w:rsidRPr="005F1AC3">
        <w:rPr>
          <w:rFonts w:ascii="Andes" w:eastAsia="Calibri" w:hAnsi="Andes" w:cs="Arial"/>
          <w:color w:val="000000"/>
          <w:sz w:val="22"/>
          <w:szCs w:val="22"/>
        </w:rPr>
        <w:t>.</w:t>
      </w:r>
    </w:p>
    <w:p w14:paraId="3F127E8B" w14:textId="4D773EC9" w:rsidR="005858D6" w:rsidRPr="00371B06" w:rsidRDefault="00371B06" w:rsidP="00882278">
      <w:pPr>
        <w:pStyle w:val="Paragraphedeliste"/>
        <w:numPr>
          <w:ilvl w:val="0"/>
          <w:numId w:val="78"/>
        </w:numPr>
        <w:spacing w:before="0" w:line="240" w:lineRule="auto"/>
        <w:ind w:left="634" w:hanging="634"/>
        <w:contextualSpacing w:val="0"/>
        <w:rPr>
          <w:rFonts w:ascii="Andes" w:hAnsi="Andes" w:cs="Arial"/>
          <w:sz w:val="22"/>
          <w:szCs w:val="22"/>
        </w:rPr>
      </w:pPr>
      <w:r w:rsidRPr="00371B06">
        <w:rPr>
          <w:rFonts w:ascii="Andes" w:hAnsi="Andes" w:cs="Arial"/>
          <w:sz w:val="22"/>
          <w:szCs w:val="22"/>
        </w:rPr>
        <w:t>Un résumé écrit de chaque débriefing est versé au dossier officiel du marché considéré</w:t>
      </w:r>
      <w:r>
        <w:rPr>
          <w:rFonts w:ascii="Andes" w:hAnsi="Andes" w:cs="Arial"/>
          <w:sz w:val="22"/>
          <w:szCs w:val="22"/>
        </w:rPr>
        <w:t>,</w:t>
      </w:r>
      <w:r w:rsidRPr="00371B06">
        <w:rPr>
          <w:rFonts w:ascii="Andes" w:hAnsi="Andes" w:cs="Arial"/>
          <w:sz w:val="22"/>
          <w:szCs w:val="22"/>
        </w:rPr>
        <w:t xml:space="preserve"> </w:t>
      </w:r>
      <w:r>
        <w:rPr>
          <w:rFonts w:ascii="Andes" w:hAnsi="Andes" w:cs="Arial"/>
          <w:sz w:val="22"/>
          <w:szCs w:val="22"/>
        </w:rPr>
        <w:t>et est adressé</w:t>
      </w:r>
      <w:r w:rsidRPr="00371B06">
        <w:rPr>
          <w:rFonts w:ascii="Andes" w:hAnsi="Andes" w:cs="Arial"/>
          <w:sz w:val="22"/>
          <w:szCs w:val="22"/>
        </w:rPr>
        <w:t xml:space="preserve"> à la Banque </w:t>
      </w:r>
      <w:r>
        <w:rPr>
          <w:rFonts w:ascii="Andes" w:hAnsi="Andes" w:cs="Arial"/>
          <w:sz w:val="22"/>
          <w:szCs w:val="22"/>
        </w:rPr>
        <w:t>dans le cas des marchés soumis à examen préalable.</w:t>
      </w:r>
    </w:p>
    <w:p w14:paraId="438D6CD8" w14:textId="31A1EF8E" w:rsidR="005858D6" w:rsidRPr="00651C55" w:rsidRDefault="00651C55" w:rsidP="00165C7E">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iCs/>
          <w:smallCaps/>
          <w:color w:val="C45911"/>
          <w:sz w:val="32"/>
          <w:szCs w:val="32"/>
        </w:rPr>
      </w:pPr>
      <w:r w:rsidRPr="00651C55">
        <w:rPr>
          <w:rFonts w:ascii="Andes" w:eastAsiaTheme="majorEastAsia" w:hAnsi="Andes" w:cstheme="majorBidi"/>
          <w:bCs w:val="0"/>
          <w:color w:val="C45911"/>
          <w:sz w:val="32"/>
          <w:szCs w:val="32"/>
        </w:rPr>
        <w:t>Fin du Délai d</w:t>
      </w:r>
      <w:r w:rsidR="00DD3A24">
        <w:rPr>
          <w:rFonts w:ascii="Andes" w:eastAsiaTheme="majorEastAsia" w:hAnsi="Andes" w:cstheme="majorBidi"/>
          <w:bCs w:val="0"/>
          <w:color w:val="C45911"/>
          <w:sz w:val="32"/>
          <w:szCs w:val="32"/>
        </w:rPr>
        <w:t>’Attente</w:t>
      </w:r>
      <w:r w:rsidRPr="00651C55">
        <w:rPr>
          <w:rFonts w:ascii="Andes" w:eastAsiaTheme="majorEastAsia" w:hAnsi="Andes" w:cstheme="majorBidi"/>
          <w:bCs w:val="0"/>
          <w:color w:val="C45911"/>
          <w:sz w:val="32"/>
          <w:szCs w:val="32"/>
        </w:rPr>
        <w:t xml:space="preserve"> et attribution du </w:t>
      </w:r>
      <w:r>
        <w:rPr>
          <w:rFonts w:ascii="Andes" w:eastAsiaTheme="majorEastAsia" w:hAnsi="Andes" w:cstheme="majorBidi"/>
          <w:bCs w:val="0"/>
          <w:color w:val="C45911"/>
          <w:sz w:val="32"/>
          <w:szCs w:val="32"/>
        </w:rPr>
        <w:t>marché</w:t>
      </w:r>
    </w:p>
    <w:p w14:paraId="239565D9" w14:textId="2C6FD987" w:rsidR="002A606D" w:rsidRPr="00651C55" w:rsidRDefault="00651C55" w:rsidP="00882278">
      <w:pPr>
        <w:pStyle w:val="Paragraphedeliste"/>
        <w:numPr>
          <w:ilvl w:val="0"/>
          <w:numId w:val="78"/>
        </w:numPr>
        <w:spacing w:before="0" w:line="240" w:lineRule="auto"/>
        <w:ind w:left="634" w:hanging="634"/>
        <w:contextualSpacing w:val="0"/>
        <w:rPr>
          <w:rFonts w:ascii="Andes" w:hAnsi="Andes" w:cs="Arial"/>
          <w:sz w:val="22"/>
          <w:szCs w:val="22"/>
        </w:rPr>
      </w:pPr>
      <w:r w:rsidRPr="00651C55">
        <w:rPr>
          <w:rFonts w:ascii="Andes" w:hAnsi="Andes" w:cs="Arial"/>
          <w:sz w:val="22"/>
          <w:szCs w:val="22"/>
        </w:rPr>
        <w:t>À l’expiration du Délai d</w:t>
      </w:r>
      <w:r w:rsidR="00DD3A24">
        <w:rPr>
          <w:rFonts w:ascii="Andes" w:hAnsi="Andes" w:cs="Arial"/>
          <w:sz w:val="22"/>
          <w:szCs w:val="22"/>
        </w:rPr>
        <w:t>’Attente</w:t>
      </w:r>
      <w:r w:rsidRPr="00651C55">
        <w:rPr>
          <w:rFonts w:ascii="Andes" w:hAnsi="Andes" w:cs="Arial"/>
          <w:sz w:val="22"/>
          <w:szCs w:val="22"/>
        </w:rPr>
        <w:t>, si l’Emprunteur n’a reçu aucune plainte d’un Soumissionnaire/Proposant/Consultant non retenu, il procède à l’attribution du marché ou du contrat en application de</w:t>
      </w:r>
      <w:r>
        <w:rPr>
          <w:rFonts w:ascii="Andes" w:hAnsi="Andes" w:cs="Arial"/>
          <w:sz w:val="22"/>
          <w:szCs w:val="22"/>
        </w:rPr>
        <w:t xml:space="preserve"> sa décision </w:t>
      </w:r>
      <w:r w:rsidRPr="00651C55">
        <w:rPr>
          <w:rFonts w:ascii="Andes" w:hAnsi="Andes" w:cs="Arial"/>
          <w:sz w:val="22"/>
          <w:szCs w:val="22"/>
        </w:rPr>
        <w:t xml:space="preserve">d’attribution déjà communiquée au moyen de la Notification </w:t>
      </w:r>
      <w:r>
        <w:rPr>
          <w:rFonts w:ascii="Andes" w:hAnsi="Andes" w:cs="Arial"/>
          <w:sz w:val="22"/>
          <w:szCs w:val="22"/>
        </w:rPr>
        <w:t>d’Intention d’Attribution du Marché</w:t>
      </w:r>
      <w:r w:rsidR="004544CB">
        <w:rPr>
          <w:rFonts w:ascii="Andes" w:hAnsi="Andes" w:cs="Arial"/>
          <w:sz w:val="22"/>
          <w:szCs w:val="22"/>
        </w:rPr>
        <w:t>/</w:t>
      </w:r>
      <w:r>
        <w:rPr>
          <w:rFonts w:ascii="Andes" w:hAnsi="Andes" w:cs="Arial"/>
          <w:sz w:val="22"/>
          <w:szCs w:val="22"/>
        </w:rPr>
        <w:t>Contrat</w:t>
      </w:r>
      <w:r w:rsidR="00687669" w:rsidRPr="00651C55">
        <w:rPr>
          <w:rFonts w:ascii="Andes" w:hAnsi="Andes" w:cs="Arial"/>
          <w:sz w:val="22"/>
          <w:szCs w:val="22"/>
        </w:rPr>
        <w:t xml:space="preserve">.  </w:t>
      </w:r>
    </w:p>
    <w:p w14:paraId="35710555" w14:textId="59F8D9B2" w:rsidR="002A606D" w:rsidRPr="00A74256" w:rsidRDefault="00651C55" w:rsidP="00882278">
      <w:pPr>
        <w:pStyle w:val="Paragraphedeliste"/>
        <w:numPr>
          <w:ilvl w:val="0"/>
          <w:numId w:val="78"/>
        </w:numPr>
        <w:spacing w:before="0" w:line="240" w:lineRule="auto"/>
        <w:ind w:left="634" w:hanging="634"/>
        <w:contextualSpacing w:val="0"/>
        <w:rPr>
          <w:rFonts w:ascii="Andes" w:hAnsi="Andes" w:cs="Arial"/>
          <w:sz w:val="22"/>
          <w:szCs w:val="22"/>
        </w:rPr>
      </w:pPr>
      <w:r w:rsidRPr="00FF5E7D">
        <w:rPr>
          <w:rFonts w:ascii="Andes" w:hAnsi="Andes" w:cs="Arial"/>
          <w:sz w:val="22"/>
          <w:szCs w:val="22"/>
        </w:rPr>
        <w:t>Pour les marchés soumis à examen préalable, si l’</w:t>
      </w:r>
      <w:r w:rsidR="00FF5E7D" w:rsidRPr="00FF5E7D">
        <w:rPr>
          <w:rFonts w:ascii="Andes" w:hAnsi="Andes" w:cs="Arial"/>
          <w:sz w:val="22"/>
          <w:szCs w:val="22"/>
        </w:rPr>
        <w:t xml:space="preserve">Emprunteur </w:t>
      </w:r>
      <w:r w:rsidRPr="00FF5E7D">
        <w:rPr>
          <w:rFonts w:ascii="Andes" w:hAnsi="Andes" w:cs="Arial"/>
          <w:sz w:val="22"/>
          <w:szCs w:val="22"/>
        </w:rPr>
        <w:t>ne reçoit aucune plainte au cours</w:t>
      </w:r>
      <w:r w:rsidR="000931A7">
        <w:rPr>
          <w:rFonts w:ascii="Andes" w:hAnsi="Andes" w:cs="Arial"/>
          <w:sz w:val="22"/>
          <w:szCs w:val="22"/>
        </w:rPr>
        <w:t xml:space="preserve"> du </w:t>
      </w:r>
      <w:r w:rsidRPr="00FF5E7D">
        <w:rPr>
          <w:rFonts w:ascii="Andes" w:hAnsi="Andes" w:cs="Arial"/>
          <w:sz w:val="22"/>
          <w:szCs w:val="22"/>
        </w:rPr>
        <w:t>Délai d</w:t>
      </w:r>
      <w:r w:rsidR="00DD3A24">
        <w:rPr>
          <w:rFonts w:ascii="Andes" w:hAnsi="Andes" w:cs="Arial"/>
          <w:sz w:val="22"/>
          <w:szCs w:val="22"/>
        </w:rPr>
        <w:t>’Attente</w:t>
      </w:r>
      <w:r w:rsidRPr="00FF5E7D">
        <w:rPr>
          <w:rFonts w:ascii="Andes" w:hAnsi="Andes" w:cs="Arial"/>
          <w:sz w:val="22"/>
          <w:szCs w:val="22"/>
        </w:rPr>
        <w:t>, il procède à l’attribution du marché en application de la recommandation d’attribution</w:t>
      </w:r>
      <w:r w:rsidR="00FF5E7D" w:rsidRPr="00FF5E7D">
        <w:rPr>
          <w:rFonts w:ascii="Andes" w:hAnsi="Andes" w:cs="Arial"/>
          <w:sz w:val="22"/>
          <w:szCs w:val="22"/>
        </w:rPr>
        <w:t xml:space="preserve"> ayant déjà fait l’objet</w:t>
      </w:r>
      <w:r w:rsidR="00FF5E7D">
        <w:rPr>
          <w:rFonts w:ascii="Andes" w:hAnsi="Andes" w:cs="Arial"/>
          <w:sz w:val="22"/>
          <w:szCs w:val="22"/>
        </w:rPr>
        <w:t xml:space="preserve"> de l’avis de non-objection de la Banque. </w:t>
      </w:r>
      <w:r w:rsidR="00FF5E7D" w:rsidRPr="00FF5E7D">
        <w:rPr>
          <w:rFonts w:ascii="Andes" w:hAnsi="Andes" w:cs="Arial"/>
          <w:sz w:val="22"/>
          <w:szCs w:val="22"/>
        </w:rPr>
        <w:t>L’</w:t>
      </w:r>
      <w:r w:rsidR="00FF5E7D">
        <w:rPr>
          <w:rFonts w:ascii="Andes" w:hAnsi="Andes" w:cs="Arial"/>
          <w:sz w:val="22"/>
          <w:szCs w:val="22"/>
        </w:rPr>
        <w:t xml:space="preserve">Emprunteur </w:t>
      </w:r>
      <w:r w:rsidR="00FF5E7D" w:rsidRPr="00FF5E7D">
        <w:rPr>
          <w:rFonts w:ascii="Andes" w:hAnsi="Andes" w:cs="Arial"/>
          <w:sz w:val="22"/>
          <w:szCs w:val="22"/>
        </w:rPr>
        <w:t xml:space="preserve">informe la Banque de l’attribution du marché dans un délai de trois </w:t>
      </w:r>
      <w:r w:rsidR="00FF5E7D">
        <w:rPr>
          <w:rFonts w:ascii="Andes" w:hAnsi="Andes" w:cs="Arial"/>
          <w:sz w:val="22"/>
          <w:szCs w:val="22"/>
        </w:rPr>
        <w:t>(3) Jours Ouvrables</w:t>
      </w:r>
      <w:r w:rsidR="00FF5E7D" w:rsidRPr="00FF5E7D">
        <w:rPr>
          <w:rFonts w:ascii="Andes" w:hAnsi="Andes" w:cs="Arial"/>
          <w:sz w:val="22"/>
          <w:szCs w:val="22"/>
        </w:rPr>
        <w:t>.</w:t>
      </w:r>
      <w:r w:rsidRPr="00FF5E7D">
        <w:rPr>
          <w:rFonts w:ascii="Andes" w:hAnsi="Andes" w:cs="Arial"/>
          <w:sz w:val="22"/>
          <w:szCs w:val="22"/>
        </w:rPr>
        <w:t xml:space="preserve"> </w:t>
      </w:r>
    </w:p>
    <w:p w14:paraId="4BE65D01" w14:textId="74AD5857" w:rsidR="002A606D" w:rsidRPr="00A74256" w:rsidRDefault="00FF5E7D" w:rsidP="00882278">
      <w:pPr>
        <w:pStyle w:val="Paragraphedeliste"/>
        <w:numPr>
          <w:ilvl w:val="0"/>
          <w:numId w:val="78"/>
        </w:numPr>
        <w:spacing w:before="0" w:line="240" w:lineRule="auto"/>
        <w:ind w:left="634" w:hanging="634"/>
        <w:contextualSpacing w:val="0"/>
        <w:rPr>
          <w:rFonts w:ascii="Andes" w:hAnsi="Andes" w:cs="Arial"/>
          <w:sz w:val="22"/>
          <w:szCs w:val="22"/>
        </w:rPr>
      </w:pPr>
      <w:r w:rsidRPr="000931A7">
        <w:rPr>
          <w:rFonts w:ascii="Andes" w:hAnsi="Andes" w:cs="Arial"/>
          <w:sz w:val="22"/>
          <w:szCs w:val="22"/>
        </w:rPr>
        <w:t xml:space="preserve">L’Emprunteur transmet la notification d’attribution du marché/contrat au Soumissionnaire/Proposant/Consultant retenu ou, dans le cas d’un Accord Cadre, </w:t>
      </w:r>
      <w:r w:rsidR="00D84AC2">
        <w:rPr>
          <w:rFonts w:ascii="Andes" w:hAnsi="Andes" w:cs="Arial"/>
          <w:sz w:val="22"/>
          <w:szCs w:val="22"/>
        </w:rPr>
        <w:t xml:space="preserve">adresse </w:t>
      </w:r>
      <w:r w:rsidRPr="000931A7">
        <w:rPr>
          <w:rFonts w:ascii="Andes" w:hAnsi="Andes" w:cs="Arial"/>
          <w:sz w:val="22"/>
          <w:szCs w:val="22"/>
        </w:rPr>
        <w:t>la notification de conclusion de l’AC aux Soumissionnaires/Proposants/Consultants sélectionnés, en</w:t>
      </w:r>
      <w:r w:rsidR="00D84AC2">
        <w:rPr>
          <w:rFonts w:ascii="Andes" w:hAnsi="Andes" w:cs="Arial"/>
          <w:sz w:val="22"/>
          <w:szCs w:val="22"/>
        </w:rPr>
        <w:t xml:space="preserve"> accompagnant lesdites notifications </w:t>
      </w:r>
      <w:r w:rsidR="000931A7" w:rsidRPr="000931A7">
        <w:rPr>
          <w:rFonts w:ascii="Andes" w:hAnsi="Andes" w:cs="Arial"/>
          <w:sz w:val="22"/>
          <w:szCs w:val="22"/>
        </w:rPr>
        <w:t>des documents visés dans le dossier d’</w:t>
      </w:r>
      <w:r w:rsidR="00C51DF5">
        <w:rPr>
          <w:rFonts w:ascii="Andes" w:hAnsi="Andes" w:cs="Arial"/>
          <w:sz w:val="22"/>
          <w:szCs w:val="22"/>
        </w:rPr>
        <w:t>Appel d’Offres/ à Propositions</w:t>
      </w:r>
      <w:r w:rsidR="000931A7" w:rsidRPr="000931A7">
        <w:rPr>
          <w:rFonts w:ascii="Andes" w:hAnsi="Andes" w:cs="Arial"/>
          <w:sz w:val="22"/>
          <w:szCs w:val="22"/>
        </w:rPr>
        <w:t xml:space="preserve"> du marché/contrat considéré.</w:t>
      </w:r>
      <w:r w:rsidRPr="000931A7">
        <w:rPr>
          <w:rFonts w:ascii="Andes" w:hAnsi="Andes" w:cs="Arial"/>
          <w:sz w:val="22"/>
          <w:szCs w:val="22"/>
        </w:rPr>
        <w:t xml:space="preserve"> </w:t>
      </w:r>
    </w:p>
    <w:p w14:paraId="5F8AC202" w14:textId="5F78D212" w:rsidR="002A606D" w:rsidRPr="000931A7" w:rsidRDefault="000931A7" w:rsidP="00882278">
      <w:pPr>
        <w:pStyle w:val="Paragraphedeliste"/>
        <w:numPr>
          <w:ilvl w:val="0"/>
          <w:numId w:val="78"/>
        </w:numPr>
        <w:spacing w:before="0" w:line="240" w:lineRule="auto"/>
        <w:ind w:left="634" w:hanging="634"/>
        <w:contextualSpacing w:val="0"/>
        <w:rPr>
          <w:rFonts w:ascii="Andes" w:hAnsi="Andes" w:cs="Arial"/>
          <w:sz w:val="22"/>
          <w:szCs w:val="22"/>
        </w:rPr>
      </w:pPr>
      <w:r w:rsidRPr="000931A7">
        <w:rPr>
          <w:rFonts w:ascii="Andes" w:hAnsi="Andes" w:cs="Arial"/>
          <w:sz w:val="22"/>
          <w:szCs w:val="22"/>
        </w:rPr>
        <w:t>Si, au cours</w:t>
      </w:r>
      <w:r>
        <w:rPr>
          <w:rFonts w:ascii="Andes" w:hAnsi="Andes" w:cs="Arial"/>
          <w:sz w:val="22"/>
          <w:szCs w:val="22"/>
        </w:rPr>
        <w:t xml:space="preserve"> du </w:t>
      </w:r>
      <w:r w:rsidRPr="000931A7">
        <w:rPr>
          <w:rFonts w:ascii="Andes" w:hAnsi="Andes" w:cs="Arial"/>
          <w:sz w:val="22"/>
          <w:szCs w:val="22"/>
        </w:rPr>
        <w:t>Délai d</w:t>
      </w:r>
      <w:r w:rsidR="00DD3A24">
        <w:rPr>
          <w:rFonts w:ascii="Andes" w:hAnsi="Andes" w:cs="Arial"/>
          <w:sz w:val="22"/>
          <w:szCs w:val="22"/>
        </w:rPr>
        <w:t>’Attente</w:t>
      </w:r>
      <w:r w:rsidRPr="000931A7">
        <w:rPr>
          <w:rFonts w:ascii="Andes" w:hAnsi="Andes" w:cs="Arial"/>
          <w:sz w:val="22"/>
          <w:szCs w:val="22"/>
        </w:rPr>
        <w:t>, l’</w:t>
      </w:r>
      <w:r>
        <w:rPr>
          <w:rFonts w:ascii="Andes" w:hAnsi="Andes" w:cs="Arial"/>
          <w:sz w:val="22"/>
          <w:szCs w:val="22"/>
        </w:rPr>
        <w:t xml:space="preserve">Emprunteur </w:t>
      </w:r>
      <w:r w:rsidRPr="000931A7">
        <w:rPr>
          <w:rFonts w:ascii="Andes" w:hAnsi="Andes" w:cs="Arial"/>
          <w:sz w:val="22"/>
          <w:szCs w:val="22"/>
        </w:rPr>
        <w:t>reçoit une plainte d’un Soumissionnaire/Proposant/Consultant non retenu, il ne procède pas à l’attribution du marché/contrat (ou à la conclusion d’un AC)</w:t>
      </w:r>
      <w:r w:rsidR="00D84AC2">
        <w:rPr>
          <w:rFonts w:ascii="Andes" w:hAnsi="Andes" w:cs="Arial"/>
          <w:sz w:val="22"/>
          <w:szCs w:val="22"/>
        </w:rPr>
        <w:t xml:space="preserve"> tant que la plainte n’a pas été traitée </w:t>
      </w:r>
      <w:r w:rsidRPr="000931A7">
        <w:rPr>
          <w:rFonts w:ascii="Andes" w:hAnsi="Andes" w:cs="Arial"/>
          <w:sz w:val="22"/>
          <w:szCs w:val="22"/>
        </w:rPr>
        <w:t>dans les conditions prévues</w:t>
      </w:r>
      <w:r>
        <w:rPr>
          <w:rFonts w:ascii="Andes" w:hAnsi="Andes" w:cs="Arial"/>
          <w:sz w:val="22"/>
          <w:szCs w:val="22"/>
        </w:rPr>
        <w:t xml:space="preserve"> au </w:t>
      </w:r>
      <w:r w:rsidR="00EE6569">
        <w:rPr>
          <w:rFonts w:ascii="Andes" w:hAnsi="Andes" w:cs="Arial"/>
          <w:sz w:val="22"/>
          <w:szCs w:val="22"/>
        </w:rPr>
        <w:t>p</w:t>
      </w:r>
      <w:r w:rsidR="00F43E5A">
        <w:rPr>
          <w:rFonts w:ascii="Andes" w:hAnsi="Andes" w:cs="Arial"/>
          <w:sz w:val="22"/>
          <w:szCs w:val="22"/>
        </w:rPr>
        <w:t>aragraphe</w:t>
      </w:r>
      <w:r w:rsidR="00F43E5A">
        <w:rPr>
          <w:rFonts w:ascii="Calibri" w:hAnsi="Calibri" w:cs="Calibri"/>
          <w:sz w:val="22"/>
          <w:szCs w:val="22"/>
        </w:rPr>
        <w:t> </w:t>
      </w:r>
      <w:r w:rsidR="009F7892" w:rsidRPr="000931A7">
        <w:rPr>
          <w:rFonts w:ascii="Andes" w:hAnsi="Andes" w:cs="Arial"/>
          <w:sz w:val="22"/>
          <w:szCs w:val="22"/>
        </w:rPr>
        <w:t>3.6</w:t>
      </w:r>
      <w:r>
        <w:rPr>
          <w:rFonts w:ascii="Andes" w:hAnsi="Andes" w:cs="Arial"/>
          <w:sz w:val="22"/>
          <w:szCs w:val="22"/>
        </w:rPr>
        <w:t xml:space="preserve"> de l’</w:t>
      </w:r>
      <w:r w:rsidR="00CC076B">
        <w:rPr>
          <w:rFonts w:ascii="Andes" w:hAnsi="Andes" w:cs="Arial"/>
          <w:sz w:val="22"/>
          <w:szCs w:val="22"/>
        </w:rPr>
        <w:t>A</w:t>
      </w:r>
      <w:r>
        <w:rPr>
          <w:rFonts w:ascii="Andes" w:hAnsi="Andes" w:cs="Arial"/>
          <w:sz w:val="22"/>
          <w:szCs w:val="22"/>
        </w:rPr>
        <w:t xml:space="preserve">nnexe </w:t>
      </w:r>
      <w:r w:rsidR="002A606D" w:rsidRPr="000931A7">
        <w:rPr>
          <w:rFonts w:ascii="Andes" w:hAnsi="Andes" w:cs="Arial"/>
          <w:sz w:val="22"/>
          <w:szCs w:val="22"/>
        </w:rPr>
        <w:t xml:space="preserve">III, </w:t>
      </w:r>
      <w:r>
        <w:rPr>
          <w:rFonts w:ascii="Andes" w:hAnsi="Andes" w:cs="Arial"/>
          <w:sz w:val="22"/>
          <w:szCs w:val="22"/>
        </w:rPr>
        <w:t>Plaintes relatives à la passation des marchés</w:t>
      </w:r>
      <w:r w:rsidR="00687669" w:rsidRPr="000931A7">
        <w:rPr>
          <w:rFonts w:ascii="Andes" w:hAnsi="Andes" w:cs="Arial"/>
          <w:sz w:val="22"/>
          <w:szCs w:val="22"/>
        </w:rPr>
        <w:t xml:space="preserve">.  </w:t>
      </w:r>
    </w:p>
    <w:p w14:paraId="6941ADFA" w14:textId="3B85F423" w:rsidR="002A606D" w:rsidRPr="00165C7E" w:rsidRDefault="000931A7" w:rsidP="00882278">
      <w:pPr>
        <w:pStyle w:val="Paragraphedeliste"/>
        <w:numPr>
          <w:ilvl w:val="0"/>
          <w:numId w:val="78"/>
        </w:numPr>
        <w:spacing w:before="0" w:line="240" w:lineRule="auto"/>
        <w:ind w:left="634" w:hanging="634"/>
        <w:contextualSpacing w:val="0"/>
        <w:rPr>
          <w:rFonts w:ascii="Andes" w:hAnsi="Andes" w:cs="Arial"/>
          <w:sz w:val="22"/>
          <w:szCs w:val="22"/>
        </w:rPr>
      </w:pPr>
      <w:r w:rsidRPr="00165C7E">
        <w:rPr>
          <w:rFonts w:ascii="Andes" w:hAnsi="Andes" w:cs="Arial"/>
          <w:sz w:val="22"/>
          <w:szCs w:val="22"/>
        </w:rPr>
        <w:t>Pour les marchés soumis à examen préalable de la Banque, l’</w:t>
      </w:r>
      <w:r w:rsidR="00165C7E">
        <w:rPr>
          <w:rFonts w:ascii="Andes" w:hAnsi="Andes" w:cs="Arial"/>
          <w:sz w:val="22"/>
          <w:szCs w:val="22"/>
        </w:rPr>
        <w:t xml:space="preserve">Emprunteur </w:t>
      </w:r>
      <w:r w:rsidRPr="00165C7E">
        <w:rPr>
          <w:rFonts w:ascii="Andes" w:hAnsi="Andes" w:cs="Arial"/>
          <w:sz w:val="22"/>
          <w:szCs w:val="22"/>
        </w:rPr>
        <w:t xml:space="preserve">ne procède pas à l’attribution du marché </w:t>
      </w:r>
      <w:r w:rsidR="00165C7E" w:rsidRPr="00165C7E">
        <w:rPr>
          <w:rFonts w:ascii="Andes" w:hAnsi="Andes" w:cs="Arial"/>
          <w:sz w:val="22"/>
          <w:szCs w:val="22"/>
        </w:rPr>
        <w:t>sans avoir reçu confirmation de la Banque que la plainte a été réglée de façon satisfaisante</w:t>
      </w:r>
      <w:r w:rsidR="00687669" w:rsidRPr="00165C7E">
        <w:rPr>
          <w:rFonts w:ascii="Andes" w:hAnsi="Andes" w:cs="Arial"/>
          <w:sz w:val="22"/>
          <w:szCs w:val="22"/>
        </w:rPr>
        <w:t xml:space="preserve">.  </w:t>
      </w:r>
    </w:p>
    <w:p w14:paraId="17BC3533" w14:textId="6F026B8B" w:rsidR="005858D6" w:rsidRPr="001B31F9" w:rsidRDefault="001B31F9" w:rsidP="003518FE">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iCs/>
          <w:smallCaps/>
          <w:color w:val="C45911"/>
          <w:sz w:val="32"/>
          <w:szCs w:val="32"/>
        </w:rPr>
      </w:pPr>
      <w:r w:rsidRPr="001B31F9">
        <w:rPr>
          <w:rFonts w:ascii="Andes" w:eastAsiaTheme="majorEastAsia" w:hAnsi="Andes" w:cstheme="majorBidi"/>
          <w:bCs w:val="0"/>
          <w:color w:val="C45911"/>
          <w:sz w:val="32"/>
          <w:szCs w:val="32"/>
        </w:rPr>
        <w:lastRenderedPageBreak/>
        <w:t>Avis d’</w:t>
      </w:r>
      <w:r>
        <w:rPr>
          <w:rFonts w:ascii="Andes" w:eastAsiaTheme="majorEastAsia" w:hAnsi="Andes" w:cstheme="majorBidi"/>
          <w:bCs w:val="0"/>
          <w:color w:val="C45911"/>
          <w:sz w:val="32"/>
          <w:szCs w:val="32"/>
        </w:rPr>
        <w:t xml:space="preserve">Attribution </w:t>
      </w:r>
      <w:r w:rsidRPr="001B31F9">
        <w:rPr>
          <w:rFonts w:ascii="Andes" w:eastAsiaTheme="majorEastAsia" w:hAnsi="Andes" w:cstheme="majorBidi"/>
          <w:bCs w:val="0"/>
          <w:color w:val="C45911"/>
          <w:sz w:val="32"/>
          <w:szCs w:val="32"/>
        </w:rPr>
        <w:t>de Marché/</w:t>
      </w:r>
      <w:r>
        <w:rPr>
          <w:rFonts w:ascii="Andes" w:eastAsiaTheme="majorEastAsia" w:hAnsi="Andes" w:cstheme="majorBidi"/>
          <w:bCs w:val="0"/>
          <w:color w:val="C45911"/>
          <w:sz w:val="32"/>
          <w:szCs w:val="32"/>
        </w:rPr>
        <w:t>Contrat</w:t>
      </w:r>
    </w:p>
    <w:p w14:paraId="2A51B627" w14:textId="76A50253" w:rsidR="005858D6" w:rsidRPr="001B31F9" w:rsidRDefault="001B31F9" w:rsidP="00882278">
      <w:pPr>
        <w:pStyle w:val="Paragraphedeliste"/>
        <w:numPr>
          <w:ilvl w:val="0"/>
          <w:numId w:val="78"/>
        </w:numPr>
        <w:spacing w:before="0" w:line="240" w:lineRule="auto"/>
        <w:ind w:left="634" w:hanging="634"/>
        <w:contextualSpacing w:val="0"/>
        <w:rPr>
          <w:rFonts w:ascii="Andes" w:hAnsi="Andes" w:cs="Arial"/>
          <w:sz w:val="22"/>
          <w:szCs w:val="22"/>
        </w:rPr>
      </w:pPr>
      <w:r w:rsidRPr="001B31F9">
        <w:rPr>
          <w:rFonts w:ascii="Andes" w:hAnsi="Andes" w:cs="Arial"/>
          <w:sz w:val="22"/>
          <w:szCs w:val="22"/>
        </w:rPr>
        <w:t>Pour tous les marchés/contrat</w:t>
      </w:r>
      <w:r>
        <w:rPr>
          <w:rFonts w:ascii="Andes" w:hAnsi="Andes" w:cs="Arial"/>
          <w:sz w:val="22"/>
          <w:szCs w:val="22"/>
        </w:rPr>
        <w:t>s</w:t>
      </w:r>
      <w:r w:rsidRPr="001B31F9">
        <w:rPr>
          <w:rFonts w:ascii="Andes" w:hAnsi="Andes" w:cs="Arial"/>
          <w:sz w:val="22"/>
          <w:szCs w:val="22"/>
        </w:rPr>
        <w:t>, qu’ils soient soumis à l’examen préalable ou à l’examen a posteriori de la Banque, l’Emprunteur publie un avis public d’attribution de marché/contrat (l’</w:t>
      </w:r>
      <w:r>
        <w:rPr>
          <w:rFonts w:ascii="Andes" w:hAnsi="Andes" w:cs="Arial"/>
          <w:sz w:val="22"/>
          <w:szCs w:val="22"/>
        </w:rPr>
        <w:t xml:space="preserve">Avis </w:t>
      </w:r>
      <w:r w:rsidRPr="001B31F9">
        <w:rPr>
          <w:rFonts w:ascii="Andes" w:hAnsi="Andes" w:cs="Arial"/>
          <w:sz w:val="22"/>
          <w:szCs w:val="22"/>
        </w:rPr>
        <w:t>d’Attribution de Marché/Contrat)</w:t>
      </w:r>
      <w:r>
        <w:rPr>
          <w:rFonts w:ascii="Andes" w:hAnsi="Andes" w:cs="Arial"/>
          <w:sz w:val="22"/>
          <w:szCs w:val="22"/>
        </w:rPr>
        <w:t xml:space="preserve"> dans un délai de dix (10) Jours Ouvrables à compter de sa Notification d’Attribution du Marché/Contrat au Soumissionnaire, Proposant ou Consultant retenu.</w:t>
      </w:r>
      <w:r w:rsidRPr="001B31F9">
        <w:rPr>
          <w:rFonts w:ascii="Andes" w:hAnsi="Andes" w:cs="Arial"/>
          <w:sz w:val="22"/>
          <w:szCs w:val="22"/>
        </w:rPr>
        <w:t xml:space="preserve"> </w:t>
      </w:r>
    </w:p>
    <w:p w14:paraId="1BC5BABB" w14:textId="5AD7D489" w:rsidR="005858D6" w:rsidRPr="001B31F9" w:rsidRDefault="001B31F9" w:rsidP="00882278">
      <w:pPr>
        <w:pStyle w:val="Paragraphedeliste"/>
        <w:numPr>
          <w:ilvl w:val="0"/>
          <w:numId w:val="78"/>
        </w:numPr>
        <w:spacing w:before="0" w:line="240" w:lineRule="auto"/>
        <w:ind w:left="634" w:hanging="634"/>
        <w:contextualSpacing w:val="0"/>
        <w:rPr>
          <w:rFonts w:ascii="Andes" w:hAnsi="Andes" w:cs="Arial"/>
          <w:sz w:val="22"/>
          <w:szCs w:val="22"/>
        </w:rPr>
      </w:pPr>
      <w:r w:rsidRPr="001B31F9">
        <w:rPr>
          <w:rFonts w:ascii="Andes" w:hAnsi="Andes" w:cs="Arial"/>
          <w:sz w:val="22"/>
          <w:szCs w:val="22"/>
        </w:rPr>
        <w:t>L’Avis d’Attribution de Marché/Contrat fournit au minimum les informations suivantes, dans la mesure où elle</w:t>
      </w:r>
      <w:r>
        <w:rPr>
          <w:rFonts w:ascii="Andes" w:hAnsi="Andes" w:cs="Arial"/>
          <w:sz w:val="22"/>
          <w:szCs w:val="22"/>
        </w:rPr>
        <w:t>s</w:t>
      </w:r>
      <w:r w:rsidRPr="001B31F9">
        <w:rPr>
          <w:rFonts w:ascii="Andes" w:hAnsi="Andes" w:cs="Arial"/>
          <w:sz w:val="22"/>
          <w:szCs w:val="22"/>
        </w:rPr>
        <w:t xml:space="preserve"> s’applique</w:t>
      </w:r>
      <w:r>
        <w:rPr>
          <w:rFonts w:ascii="Andes" w:hAnsi="Andes" w:cs="Arial"/>
          <w:sz w:val="22"/>
          <w:szCs w:val="22"/>
        </w:rPr>
        <w:t>nt</w:t>
      </w:r>
      <w:r w:rsidRPr="001B31F9">
        <w:rPr>
          <w:rFonts w:ascii="Andes" w:hAnsi="Andes" w:cs="Arial"/>
          <w:sz w:val="22"/>
          <w:szCs w:val="22"/>
        </w:rPr>
        <w:t xml:space="preserve"> </w:t>
      </w:r>
      <w:r>
        <w:rPr>
          <w:rFonts w:ascii="Andes" w:hAnsi="Andes" w:cs="Arial"/>
          <w:sz w:val="22"/>
          <w:szCs w:val="22"/>
        </w:rPr>
        <w:t>à la méthode de sélection utilisée</w:t>
      </w:r>
      <w:r w:rsidR="00730BDF">
        <w:rPr>
          <w:rFonts w:ascii="Calibri" w:hAnsi="Calibri" w:cs="Calibri"/>
          <w:sz w:val="22"/>
          <w:szCs w:val="22"/>
        </w:rPr>
        <w:t> </w:t>
      </w:r>
      <w:r w:rsidR="00730BDF">
        <w:rPr>
          <w:rFonts w:ascii="Andes" w:hAnsi="Andes" w:cs="Arial"/>
          <w:sz w:val="22"/>
          <w:szCs w:val="22"/>
        </w:rPr>
        <w:t>:</w:t>
      </w:r>
      <w:r>
        <w:rPr>
          <w:rFonts w:ascii="Andes" w:hAnsi="Andes" w:cs="Arial"/>
          <w:sz w:val="22"/>
          <w:szCs w:val="22"/>
        </w:rPr>
        <w:t xml:space="preserve"> </w:t>
      </w:r>
    </w:p>
    <w:p w14:paraId="0B995321" w14:textId="68F6718F" w:rsidR="005858D6" w:rsidRPr="00F10971" w:rsidRDefault="007A08B9" w:rsidP="003518FE">
      <w:pPr>
        <w:pStyle w:val="Paragraphedeliste"/>
        <w:numPr>
          <w:ilvl w:val="0"/>
          <w:numId w:val="170"/>
        </w:numPr>
        <w:spacing w:before="0" w:line="240" w:lineRule="auto"/>
        <w:contextualSpacing w:val="0"/>
        <w:rPr>
          <w:rFonts w:ascii="Andes" w:eastAsia="Calibri" w:hAnsi="Andes" w:cs="Arial"/>
          <w:color w:val="000000"/>
          <w:sz w:val="22"/>
          <w:szCs w:val="22"/>
        </w:rPr>
      </w:pPr>
      <w:r>
        <w:rPr>
          <w:rFonts w:ascii="Andes" w:eastAsia="Calibri" w:hAnsi="Andes" w:cs="Arial"/>
          <w:color w:val="000000"/>
          <w:sz w:val="22"/>
          <w:szCs w:val="22"/>
        </w:rPr>
        <w:t xml:space="preserve">le nom et l’adresse </w:t>
      </w:r>
      <w:r w:rsidR="00F10971" w:rsidRPr="00F10971">
        <w:rPr>
          <w:rFonts w:ascii="Andes" w:eastAsia="Calibri" w:hAnsi="Andes" w:cs="Arial"/>
          <w:color w:val="000000"/>
          <w:sz w:val="22"/>
          <w:szCs w:val="22"/>
        </w:rPr>
        <w:t>de l’</w:t>
      </w:r>
      <w:r w:rsidR="00F10971">
        <w:rPr>
          <w:rFonts w:ascii="Andes" w:eastAsia="Calibri" w:hAnsi="Andes" w:cs="Arial"/>
          <w:color w:val="000000"/>
          <w:sz w:val="22"/>
          <w:szCs w:val="22"/>
        </w:rPr>
        <w:t xml:space="preserve">Unité </w:t>
      </w:r>
      <w:r w:rsidR="00F10971" w:rsidRPr="00F10971">
        <w:rPr>
          <w:rFonts w:ascii="Andes" w:eastAsia="Calibri" w:hAnsi="Andes" w:cs="Arial"/>
          <w:color w:val="000000"/>
          <w:sz w:val="22"/>
          <w:szCs w:val="22"/>
        </w:rPr>
        <w:t xml:space="preserve">d’exécution du projet </w:t>
      </w:r>
      <w:r w:rsidR="00730BDF">
        <w:rPr>
          <w:rFonts w:ascii="Andes" w:eastAsia="Calibri" w:hAnsi="Andes" w:cs="Arial"/>
          <w:color w:val="000000"/>
          <w:sz w:val="22"/>
          <w:szCs w:val="22"/>
        </w:rPr>
        <w:t xml:space="preserve">passant le marché/contrat </w:t>
      </w:r>
      <w:r w:rsidR="00F10971" w:rsidRPr="00F10971">
        <w:rPr>
          <w:rFonts w:ascii="Andes" w:eastAsia="Calibri" w:hAnsi="Andes" w:cs="Arial"/>
          <w:color w:val="000000"/>
          <w:sz w:val="22"/>
          <w:szCs w:val="22"/>
        </w:rPr>
        <w:t>et, s’il s’agit d’une</w:t>
      </w:r>
      <w:r w:rsidR="00730BDF">
        <w:rPr>
          <w:rFonts w:ascii="Andes" w:eastAsia="Calibri" w:hAnsi="Andes" w:cs="Arial"/>
          <w:color w:val="000000"/>
          <w:sz w:val="22"/>
          <w:szCs w:val="22"/>
        </w:rPr>
        <w:t xml:space="preserve"> entité différente, du </w:t>
      </w:r>
      <w:r w:rsidR="00F10971" w:rsidRPr="00F10971">
        <w:rPr>
          <w:rFonts w:ascii="Andes" w:eastAsia="Calibri" w:hAnsi="Andes" w:cs="Arial"/>
          <w:color w:val="000000"/>
          <w:sz w:val="22"/>
          <w:szCs w:val="22"/>
        </w:rPr>
        <w:t xml:space="preserve">maître d’ouvrage </w:t>
      </w:r>
      <w:r w:rsidR="00730BDF">
        <w:rPr>
          <w:rFonts w:ascii="Andes" w:eastAsia="Calibri" w:hAnsi="Andes" w:cs="Arial"/>
          <w:color w:val="000000"/>
          <w:sz w:val="22"/>
          <w:szCs w:val="22"/>
        </w:rPr>
        <w:t>dans le pays de l’Emprunteur</w:t>
      </w:r>
      <w:r w:rsidR="00730BDF">
        <w:rPr>
          <w:rFonts w:ascii="Calibri" w:eastAsia="Calibri" w:hAnsi="Calibri" w:cs="Calibri"/>
          <w:color w:val="000000"/>
          <w:sz w:val="22"/>
          <w:szCs w:val="22"/>
        </w:rPr>
        <w:t> </w:t>
      </w:r>
      <w:r w:rsidR="00730BDF">
        <w:rPr>
          <w:rFonts w:ascii="Andes" w:eastAsia="Calibri" w:hAnsi="Andes" w:cs="Arial"/>
          <w:color w:val="000000"/>
          <w:sz w:val="22"/>
          <w:szCs w:val="22"/>
        </w:rPr>
        <w:t>;</w:t>
      </w:r>
    </w:p>
    <w:p w14:paraId="1416DF80" w14:textId="3B2DCBDA" w:rsidR="005858D6" w:rsidRPr="007A08B9" w:rsidRDefault="007A08B9" w:rsidP="003518FE">
      <w:pPr>
        <w:pStyle w:val="Paragraphedeliste"/>
        <w:numPr>
          <w:ilvl w:val="0"/>
          <w:numId w:val="170"/>
        </w:numPr>
        <w:spacing w:before="0" w:line="240" w:lineRule="auto"/>
        <w:contextualSpacing w:val="0"/>
        <w:rPr>
          <w:rFonts w:ascii="Andes" w:eastAsia="Calibri" w:hAnsi="Andes" w:cs="Arial"/>
          <w:color w:val="000000"/>
          <w:sz w:val="22"/>
          <w:szCs w:val="22"/>
        </w:rPr>
      </w:pPr>
      <w:r>
        <w:rPr>
          <w:rFonts w:ascii="Andes" w:eastAsia="Calibri" w:hAnsi="Andes" w:cs="Arial"/>
          <w:color w:val="000000"/>
          <w:sz w:val="22"/>
          <w:szCs w:val="22"/>
        </w:rPr>
        <w:t xml:space="preserve">l’intitulé et le numéro </w:t>
      </w:r>
      <w:r w:rsidRPr="007A08B9">
        <w:rPr>
          <w:rFonts w:ascii="Andes" w:eastAsia="Calibri" w:hAnsi="Andes" w:cs="Arial"/>
          <w:color w:val="000000"/>
          <w:sz w:val="22"/>
          <w:szCs w:val="22"/>
        </w:rPr>
        <w:t>de référence du marché/contrat attribué, et</w:t>
      </w:r>
      <w:r>
        <w:rPr>
          <w:rFonts w:ascii="Andes" w:eastAsia="Calibri" w:hAnsi="Andes" w:cs="Arial"/>
          <w:color w:val="000000"/>
          <w:sz w:val="22"/>
          <w:szCs w:val="22"/>
        </w:rPr>
        <w:t xml:space="preserve"> la</w:t>
      </w:r>
      <w:r w:rsidRPr="007A08B9">
        <w:rPr>
          <w:rFonts w:ascii="Andes" w:eastAsia="Calibri" w:hAnsi="Andes" w:cs="Arial"/>
          <w:color w:val="000000"/>
          <w:sz w:val="22"/>
          <w:szCs w:val="22"/>
        </w:rPr>
        <w:t xml:space="preserve"> méthode de sélection utilisée</w:t>
      </w:r>
      <w:r w:rsidR="00730BDF">
        <w:rPr>
          <w:rFonts w:ascii="Calibri" w:eastAsia="Calibri" w:hAnsi="Calibri" w:cs="Calibri"/>
          <w:color w:val="000000"/>
          <w:sz w:val="22"/>
          <w:szCs w:val="22"/>
        </w:rPr>
        <w:t> </w:t>
      </w:r>
      <w:r w:rsidR="00730BDF">
        <w:rPr>
          <w:rFonts w:ascii="Andes" w:eastAsia="Calibri" w:hAnsi="Andes" w:cs="Arial"/>
          <w:color w:val="000000"/>
          <w:sz w:val="22"/>
          <w:szCs w:val="22"/>
        </w:rPr>
        <w:t>;</w:t>
      </w:r>
      <w:r w:rsidR="005858D6" w:rsidRPr="007A08B9">
        <w:rPr>
          <w:rFonts w:ascii="Andes" w:eastAsia="Calibri" w:hAnsi="Andes" w:cs="Arial"/>
          <w:color w:val="000000"/>
          <w:sz w:val="22"/>
          <w:szCs w:val="22"/>
        </w:rPr>
        <w:t xml:space="preserve"> </w:t>
      </w:r>
    </w:p>
    <w:p w14:paraId="4C88E20E" w14:textId="75E40D8D" w:rsidR="005858D6" w:rsidRPr="007A08B9" w:rsidRDefault="007A08B9" w:rsidP="003518FE">
      <w:pPr>
        <w:pStyle w:val="Paragraphedeliste"/>
        <w:numPr>
          <w:ilvl w:val="0"/>
          <w:numId w:val="170"/>
        </w:numPr>
        <w:spacing w:before="0" w:line="240" w:lineRule="auto"/>
        <w:contextualSpacing w:val="0"/>
        <w:rPr>
          <w:rFonts w:ascii="Andes" w:eastAsia="Calibri" w:hAnsi="Andes" w:cs="Arial"/>
          <w:color w:val="000000"/>
          <w:sz w:val="22"/>
          <w:szCs w:val="22"/>
        </w:rPr>
      </w:pPr>
      <w:r w:rsidRPr="00821EC0">
        <w:rPr>
          <w:rFonts w:ascii="Andes" w:eastAsia="Calibri" w:hAnsi="Andes" w:cs="Arial"/>
          <w:color w:val="000000"/>
          <w:sz w:val="22"/>
          <w:szCs w:val="22"/>
        </w:rPr>
        <w:t>le nom de tous les Soumissionnaires/Proposants</w:t>
      </w:r>
      <w:r w:rsidR="00730BDF">
        <w:rPr>
          <w:rFonts w:ascii="Andes" w:eastAsia="Calibri" w:hAnsi="Andes" w:cs="Arial"/>
          <w:color w:val="000000"/>
          <w:sz w:val="22"/>
          <w:szCs w:val="22"/>
        </w:rPr>
        <w:t>/Consultants</w:t>
      </w:r>
      <w:r w:rsidRPr="00821EC0">
        <w:rPr>
          <w:rFonts w:ascii="Andes" w:eastAsia="Calibri" w:hAnsi="Andes" w:cs="Arial"/>
          <w:color w:val="000000"/>
          <w:sz w:val="22"/>
          <w:szCs w:val="22"/>
        </w:rPr>
        <w:t xml:space="preserve"> ayant soumis</w:t>
      </w:r>
      <w:r>
        <w:rPr>
          <w:rFonts w:ascii="Andes" w:eastAsia="Calibri" w:hAnsi="Andes" w:cs="Arial"/>
          <w:color w:val="000000"/>
          <w:sz w:val="22"/>
          <w:szCs w:val="22"/>
        </w:rPr>
        <w:t xml:space="preserve"> une </w:t>
      </w:r>
      <w:r w:rsidRPr="00821EC0">
        <w:rPr>
          <w:rFonts w:ascii="Andes" w:eastAsia="Calibri" w:hAnsi="Andes" w:cs="Arial"/>
          <w:color w:val="000000"/>
          <w:sz w:val="22"/>
          <w:szCs w:val="22"/>
        </w:rPr>
        <w:t>Offre/Proposition et le prix de</w:t>
      </w:r>
      <w:r>
        <w:rPr>
          <w:rFonts w:ascii="Andes" w:eastAsia="Calibri" w:hAnsi="Andes" w:cs="Arial"/>
          <w:color w:val="000000"/>
          <w:sz w:val="22"/>
          <w:szCs w:val="22"/>
        </w:rPr>
        <w:t xml:space="preserve"> cette Offre/Proposition, tel qu’il a été lu à haute voix lors de l’ouverture des plis, et évalué</w:t>
      </w:r>
      <w:r w:rsidR="00730BDF">
        <w:rPr>
          <w:rFonts w:ascii="Calibri" w:eastAsia="Calibri" w:hAnsi="Calibri" w:cs="Calibri"/>
          <w:color w:val="000000"/>
          <w:sz w:val="22"/>
          <w:szCs w:val="22"/>
        </w:rPr>
        <w:t> </w:t>
      </w:r>
      <w:r w:rsidR="00730BDF">
        <w:rPr>
          <w:rFonts w:ascii="Andes" w:eastAsia="Calibri" w:hAnsi="Andes" w:cs="Arial"/>
          <w:color w:val="000000"/>
          <w:sz w:val="22"/>
          <w:szCs w:val="22"/>
        </w:rPr>
        <w:t>;</w:t>
      </w:r>
      <w:r w:rsidRPr="00821EC0">
        <w:rPr>
          <w:rFonts w:ascii="Andes" w:eastAsia="Calibri" w:hAnsi="Andes" w:cs="Arial"/>
          <w:color w:val="000000"/>
          <w:sz w:val="22"/>
          <w:szCs w:val="22"/>
        </w:rPr>
        <w:t xml:space="preserve"> </w:t>
      </w:r>
    </w:p>
    <w:p w14:paraId="3A550189" w14:textId="0C93B032" w:rsidR="005858D6" w:rsidRPr="007A08B9" w:rsidRDefault="007A08B9" w:rsidP="003518FE">
      <w:pPr>
        <w:pStyle w:val="Paragraphedeliste"/>
        <w:numPr>
          <w:ilvl w:val="0"/>
          <w:numId w:val="170"/>
        </w:numPr>
        <w:spacing w:before="0" w:line="240" w:lineRule="auto"/>
        <w:contextualSpacing w:val="0"/>
        <w:rPr>
          <w:rFonts w:ascii="Andes" w:eastAsia="Calibri" w:hAnsi="Andes" w:cs="Arial"/>
          <w:color w:val="000000"/>
          <w:sz w:val="22"/>
          <w:szCs w:val="22"/>
        </w:rPr>
      </w:pPr>
      <w:r w:rsidRPr="007A08B9">
        <w:rPr>
          <w:rFonts w:ascii="Andes" w:eastAsia="Calibri" w:hAnsi="Andes" w:cs="Arial"/>
          <w:color w:val="000000"/>
          <w:sz w:val="22"/>
          <w:szCs w:val="22"/>
        </w:rPr>
        <w:t>le nom de tous les Soumissionnaires/Proposants/Consultant</w:t>
      </w:r>
      <w:r w:rsidR="00730BDF">
        <w:rPr>
          <w:rFonts w:ascii="Andes" w:eastAsia="Calibri" w:hAnsi="Andes" w:cs="Arial"/>
          <w:color w:val="000000"/>
          <w:sz w:val="22"/>
          <w:szCs w:val="22"/>
        </w:rPr>
        <w:t>s</w:t>
      </w:r>
      <w:r w:rsidRPr="007A08B9">
        <w:rPr>
          <w:rFonts w:ascii="Andes" w:eastAsia="Calibri" w:hAnsi="Andes" w:cs="Arial"/>
          <w:color w:val="000000"/>
          <w:sz w:val="22"/>
          <w:szCs w:val="22"/>
        </w:rPr>
        <w:t xml:space="preserve"> dont l’</w:t>
      </w:r>
      <w:r>
        <w:rPr>
          <w:rFonts w:ascii="Andes" w:eastAsia="Calibri" w:hAnsi="Andes" w:cs="Arial"/>
          <w:color w:val="000000"/>
          <w:sz w:val="22"/>
          <w:szCs w:val="22"/>
        </w:rPr>
        <w:t xml:space="preserve">Offre </w:t>
      </w:r>
      <w:r w:rsidRPr="007A08B9">
        <w:rPr>
          <w:rFonts w:ascii="Andes" w:eastAsia="Calibri" w:hAnsi="Andes" w:cs="Arial"/>
          <w:color w:val="000000"/>
          <w:sz w:val="22"/>
          <w:szCs w:val="22"/>
        </w:rPr>
        <w:t>ou la Proposition a été rejetée pour ne pas être conforme au dossier d’</w:t>
      </w:r>
      <w:r w:rsidR="00C51DF5">
        <w:rPr>
          <w:rFonts w:ascii="Andes" w:eastAsia="Calibri" w:hAnsi="Andes" w:cs="Arial"/>
          <w:color w:val="000000"/>
          <w:sz w:val="22"/>
          <w:szCs w:val="22"/>
        </w:rPr>
        <w:t>Appel d’Offres/ à Propositions</w:t>
      </w:r>
      <w:r>
        <w:rPr>
          <w:rFonts w:ascii="Andes" w:eastAsia="Calibri" w:hAnsi="Andes" w:cs="Arial"/>
          <w:color w:val="000000"/>
          <w:sz w:val="22"/>
          <w:szCs w:val="22"/>
        </w:rPr>
        <w:t>, ne pas satisfaire aux critères de qualification ou ne pas avoir été évalué</w:t>
      </w:r>
      <w:r w:rsidR="00496A05">
        <w:rPr>
          <w:rFonts w:ascii="Andes" w:eastAsia="Calibri" w:hAnsi="Andes" w:cs="Arial"/>
          <w:color w:val="000000"/>
          <w:sz w:val="22"/>
          <w:szCs w:val="22"/>
        </w:rPr>
        <w:t>e</w:t>
      </w:r>
      <w:r>
        <w:rPr>
          <w:rFonts w:ascii="Andes" w:eastAsia="Calibri" w:hAnsi="Andes" w:cs="Arial"/>
          <w:color w:val="000000"/>
          <w:sz w:val="22"/>
          <w:szCs w:val="22"/>
        </w:rPr>
        <w:t>, et les</w:t>
      </w:r>
      <w:r w:rsidR="00496A05">
        <w:rPr>
          <w:rFonts w:ascii="Andes" w:eastAsia="Calibri" w:hAnsi="Andes" w:cs="Arial"/>
          <w:color w:val="000000"/>
          <w:sz w:val="22"/>
          <w:szCs w:val="22"/>
        </w:rPr>
        <w:t xml:space="preserve"> motifs invoqués</w:t>
      </w:r>
      <w:r w:rsidR="00730BDF">
        <w:rPr>
          <w:rFonts w:ascii="Calibri" w:eastAsia="Calibri" w:hAnsi="Calibri" w:cs="Calibri"/>
          <w:color w:val="000000"/>
          <w:sz w:val="22"/>
          <w:szCs w:val="22"/>
        </w:rPr>
        <w:t> </w:t>
      </w:r>
      <w:r w:rsidR="00730BDF">
        <w:rPr>
          <w:rFonts w:ascii="Andes" w:eastAsia="Calibri" w:hAnsi="Andes" w:cs="Arial"/>
          <w:color w:val="000000"/>
          <w:sz w:val="22"/>
          <w:szCs w:val="22"/>
        </w:rPr>
        <w:t>;</w:t>
      </w:r>
      <w:r w:rsidRPr="007A08B9">
        <w:rPr>
          <w:rFonts w:ascii="Andes" w:eastAsia="Calibri" w:hAnsi="Andes" w:cs="Arial"/>
          <w:color w:val="000000"/>
          <w:sz w:val="22"/>
          <w:szCs w:val="22"/>
        </w:rPr>
        <w:t xml:space="preserve"> </w:t>
      </w:r>
    </w:p>
    <w:p w14:paraId="374F86EF" w14:textId="77777777" w:rsidR="00255143" w:rsidRDefault="00496A05" w:rsidP="003518FE">
      <w:pPr>
        <w:pStyle w:val="Paragraphedeliste"/>
        <w:numPr>
          <w:ilvl w:val="0"/>
          <w:numId w:val="170"/>
        </w:numPr>
        <w:spacing w:before="0" w:line="240" w:lineRule="auto"/>
        <w:contextualSpacing w:val="0"/>
        <w:rPr>
          <w:rFonts w:ascii="Andes" w:eastAsia="Calibri" w:hAnsi="Andes" w:cs="Arial"/>
          <w:color w:val="000000"/>
          <w:sz w:val="22"/>
          <w:szCs w:val="22"/>
        </w:rPr>
      </w:pPr>
      <w:r w:rsidRPr="00496A05">
        <w:rPr>
          <w:rFonts w:ascii="Andes" w:eastAsia="Calibri" w:hAnsi="Andes" w:cs="Arial"/>
          <w:color w:val="000000"/>
          <w:sz w:val="22"/>
          <w:szCs w:val="22"/>
        </w:rPr>
        <w:t xml:space="preserve">le nom du Soumissionnaire/Proposant/Consultant retenu, le montant total final du marché/contrat, </w:t>
      </w:r>
      <w:r>
        <w:rPr>
          <w:rFonts w:ascii="Andes" w:eastAsia="Calibri" w:hAnsi="Andes" w:cs="Arial"/>
          <w:color w:val="000000"/>
          <w:sz w:val="22"/>
          <w:szCs w:val="22"/>
        </w:rPr>
        <w:t>sa durée et un aperçu de son champ d’application</w:t>
      </w:r>
      <w:r w:rsidR="00255143">
        <w:rPr>
          <w:rFonts w:ascii="Andes" w:eastAsia="Calibri" w:hAnsi="Andes" w:cs="Arial"/>
          <w:color w:val="000000"/>
          <w:sz w:val="22"/>
          <w:szCs w:val="22"/>
        </w:rPr>
        <w:t> ; et</w:t>
      </w:r>
    </w:p>
    <w:p w14:paraId="6A28C56D" w14:textId="396AD3E2" w:rsidR="005858D6" w:rsidRPr="00496A05" w:rsidRDefault="00255143" w:rsidP="003518FE">
      <w:pPr>
        <w:pStyle w:val="Paragraphedeliste"/>
        <w:numPr>
          <w:ilvl w:val="0"/>
          <w:numId w:val="170"/>
        </w:numPr>
        <w:spacing w:before="0" w:line="240" w:lineRule="auto"/>
        <w:contextualSpacing w:val="0"/>
        <w:rPr>
          <w:rFonts w:ascii="Andes" w:eastAsia="Calibri" w:hAnsi="Andes" w:cs="Arial"/>
          <w:color w:val="000000"/>
          <w:sz w:val="22"/>
          <w:szCs w:val="22"/>
        </w:rPr>
      </w:pPr>
      <w:r>
        <w:rPr>
          <w:rFonts w:ascii="Andes" w:eastAsia="Calibri" w:hAnsi="Andes" w:cs="Arial"/>
          <w:color w:val="000000"/>
          <w:sz w:val="22"/>
          <w:szCs w:val="22"/>
        </w:rPr>
        <w:t xml:space="preserve">le Formulaire </w:t>
      </w:r>
      <w:r w:rsidR="00226068" w:rsidRPr="00226068">
        <w:rPr>
          <w:rFonts w:ascii="Andes" w:eastAsia="Calibri" w:hAnsi="Andes" w:cs="Arial"/>
          <w:color w:val="000000"/>
          <w:sz w:val="22"/>
          <w:szCs w:val="22"/>
        </w:rPr>
        <w:t>de divulgation </w:t>
      </w:r>
      <w:hyperlink r:id="rId22" w:history="1">
        <w:r w:rsidR="00226068" w:rsidRPr="00226068">
          <w:rPr>
            <w:rFonts w:ascii="Andes" w:eastAsia="Calibri" w:hAnsi="Andes" w:cs="Arial"/>
            <w:color w:val="000000"/>
            <w:sz w:val="22"/>
            <w:szCs w:val="22"/>
          </w:rPr>
          <w:t>des bénéficiaires effectifs</w:t>
        </w:r>
      </w:hyperlink>
      <w:r>
        <w:rPr>
          <w:rFonts w:ascii="Andes" w:eastAsia="Calibri" w:hAnsi="Andes" w:cs="Arial"/>
          <w:color w:val="000000"/>
          <w:sz w:val="22"/>
          <w:szCs w:val="22"/>
        </w:rPr>
        <w:t xml:space="preserve"> du Soumissionnaire/Proposant/Consultant </w:t>
      </w:r>
      <w:r w:rsidR="00226068">
        <w:rPr>
          <w:rFonts w:ascii="Andes" w:eastAsia="Calibri" w:hAnsi="Andes" w:cs="Arial"/>
          <w:color w:val="000000"/>
          <w:sz w:val="22"/>
          <w:szCs w:val="22"/>
        </w:rPr>
        <w:t xml:space="preserve">retenu </w:t>
      </w:r>
      <w:r>
        <w:rPr>
          <w:rFonts w:ascii="Andes" w:eastAsia="Calibri" w:hAnsi="Andes" w:cs="Arial"/>
          <w:color w:val="000000"/>
          <w:sz w:val="22"/>
          <w:szCs w:val="22"/>
        </w:rPr>
        <w:t xml:space="preserve">pour les marchés </w:t>
      </w:r>
      <w:r w:rsidR="001053BD">
        <w:rPr>
          <w:rFonts w:ascii="Andes" w:eastAsia="Calibri" w:hAnsi="Andes" w:cs="Arial"/>
          <w:color w:val="000000"/>
          <w:sz w:val="22"/>
          <w:szCs w:val="22"/>
        </w:rPr>
        <w:t>sujets à une compétition internationale</w:t>
      </w:r>
      <w:r w:rsidR="00226068">
        <w:rPr>
          <w:rFonts w:ascii="Andes" w:eastAsia="Calibri" w:hAnsi="Andes" w:cs="Arial"/>
          <w:color w:val="000000"/>
          <w:sz w:val="22"/>
          <w:szCs w:val="22"/>
        </w:rPr>
        <w:t>, selon le format exigé dans le</w:t>
      </w:r>
      <w:r w:rsidR="002F5800">
        <w:rPr>
          <w:rFonts w:ascii="Andes" w:eastAsia="Calibri" w:hAnsi="Andes" w:cs="Arial"/>
          <w:color w:val="000000"/>
          <w:sz w:val="22"/>
          <w:szCs w:val="22"/>
        </w:rPr>
        <w:t>s</w:t>
      </w:r>
      <w:r w:rsidR="00226068">
        <w:rPr>
          <w:rFonts w:ascii="Andes" w:eastAsia="Calibri" w:hAnsi="Andes" w:cs="Arial"/>
          <w:color w:val="000000"/>
          <w:sz w:val="22"/>
          <w:szCs w:val="22"/>
        </w:rPr>
        <w:t xml:space="preserve"> Document</w:t>
      </w:r>
      <w:r w:rsidR="002F5800">
        <w:rPr>
          <w:rFonts w:ascii="Andes" w:eastAsia="Calibri" w:hAnsi="Andes" w:cs="Arial"/>
          <w:color w:val="000000"/>
          <w:sz w:val="22"/>
          <w:szCs w:val="22"/>
        </w:rPr>
        <w:t>s</w:t>
      </w:r>
      <w:r w:rsidR="00226068">
        <w:rPr>
          <w:rFonts w:ascii="Andes" w:eastAsia="Calibri" w:hAnsi="Andes" w:cs="Arial"/>
          <w:color w:val="000000"/>
          <w:sz w:val="22"/>
          <w:szCs w:val="22"/>
        </w:rPr>
        <w:t xml:space="preserve"> de Passation de</w:t>
      </w:r>
      <w:r>
        <w:rPr>
          <w:rFonts w:ascii="Andes" w:eastAsia="Calibri" w:hAnsi="Andes" w:cs="Arial"/>
          <w:color w:val="000000"/>
          <w:sz w:val="22"/>
          <w:szCs w:val="22"/>
        </w:rPr>
        <w:t xml:space="preserve"> Marché</w:t>
      </w:r>
      <w:r w:rsidR="00687669" w:rsidRPr="00496A05">
        <w:rPr>
          <w:rFonts w:ascii="Andes" w:eastAsia="Calibri" w:hAnsi="Andes" w:cs="Arial"/>
          <w:color w:val="000000"/>
          <w:sz w:val="22"/>
          <w:szCs w:val="22"/>
        </w:rPr>
        <w:t xml:space="preserve">.  </w:t>
      </w:r>
    </w:p>
    <w:p w14:paraId="392ACC93" w14:textId="20849757" w:rsidR="005858D6" w:rsidRPr="00A21E65" w:rsidRDefault="00496A05" w:rsidP="00882278">
      <w:pPr>
        <w:pStyle w:val="Paragraphedeliste"/>
        <w:numPr>
          <w:ilvl w:val="0"/>
          <w:numId w:val="78"/>
        </w:numPr>
        <w:spacing w:before="0" w:line="240" w:lineRule="auto"/>
        <w:ind w:left="634" w:hanging="634"/>
        <w:contextualSpacing w:val="0"/>
        <w:rPr>
          <w:rFonts w:ascii="Andes" w:hAnsi="Andes" w:cs="Arial"/>
          <w:sz w:val="22"/>
          <w:szCs w:val="22"/>
        </w:rPr>
      </w:pPr>
      <w:r w:rsidRPr="00496A05">
        <w:rPr>
          <w:rFonts w:ascii="Andes" w:hAnsi="Andes" w:cs="Arial"/>
          <w:sz w:val="22"/>
          <w:szCs w:val="22"/>
        </w:rPr>
        <w:t>Dans le cas des Accords</w:t>
      </w:r>
      <w:r w:rsidR="00FA23F2">
        <w:rPr>
          <w:rFonts w:ascii="Andes" w:hAnsi="Andes" w:cs="Arial"/>
          <w:sz w:val="22"/>
          <w:szCs w:val="22"/>
        </w:rPr>
        <w:t>-</w:t>
      </w:r>
      <w:r w:rsidRPr="00496A05">
        <w:rPr>
          <w:rFonts w:ascii="Andes" w:hAnsi="Andes" w:cs="Arial"/>
          <w:sz w:val="22"/>
          <w:szCs w:val="22"/>
        </w:rPr>
        <w:t xml:space="preserve">Cadres conclus dans les conditions prévues aux </w:t>
      </w:r>
      <w:r w:rsidR="00D4433A">
        <w:rPr>
          <w:rFonts w:ascii="Andes" w:hAnsi="Andes" w:cs="Arial"/>
          <w:sz w:val="22"/>
          <w:szCs w:val="22"/>
        </w:rPr>
        <w:t>P</w:t>
      </w:r>
      <w:r w:rsidR="00F43E5A">
        <w:rPr>
          <w:rFonts w:ascii="Andes" w:hAnsi="Andes" w:cs="Arial"/>
          <w:sz w:val="22"/>
          <w:szCs w:val="22"/>
        </w:rPr>
        <w:t>aragraphes</w:t>
      </w:r>
      <w:r w:rsidR="00F43E5A">
        <w:rPr>
          <w:rFonts w:ascii="Calibri" w:hAnsi="Calibri" w:cs="Calibri"/>
          <w:sz w:val="22"/>
          <w:szCs w:val="22"/>
        </w:rPr>
        <w:t> </w:t>
      </w:r>
      <w:r w:rsidR="002B5581" w:rsidRPr="00496A05">
        <w:rPr>
          <w:rFonts w:ascii="Andes" w:hAnsi="Andes" w:cs="Arial"/>
          <w:sz w:val="22"/>
          <w:szCs w:val="22"/>
        </w:rPr>
        <w:t>6.57, 6.58</w:t>
      </w:r>
      <w:r w:rsidRPr="00496A05">
        <w:rPr>
          <w:rFonts w:ascii="Andes" w:hAnsi="Andes" w:cs="Arial"/>
          <w:sz w:val="22"/>
          <w:szCs w:val="22"/>
        </w:rPr>
        <w:t xml:space="preserve"> ou </w:t>
      </w:r>
      <w:r w:rsidR="007752AC" w:rsidRPr="00496A05">
        <w:rPr>
          <w:rFonts w:ascii="Andes" w:hAnsi="Andes" w:cs="Arial"/>
          <w:sz w:val="22"/>
          <w:szCs w:val="22"/>
        </w:rPr>
        <w:t>7.33</w:t>
      </w:r>
      <w:r w:rsidR="005858D6" w:rsidRPr="00496A05">
        <w:rPr>
          <w:rFonts w:ascii="Andes" w:hAnsi="Andes" w:cs="Arial"/>
          <w:sz w:val="22"/>
          <w:szCs w:val="22"/>
        </w:rPr>
        <w:t xml:space="preserve">, </w:t>
      </w:r>
      <w:r w:rsidRPr="00496A05">
        <w:rPr>
          <w:rFonts w:ascii="Andes" w:hAnsi="Andes" w:cs="Arial"/>
          <w:sz w:val="22"/>
          <w:szCs w:val="22"/>
        </w:rPr>
        <w:t>l’obligation de publication ne s’applique qu’à la conclusion de l</w:t>
      </w:r>
      <w:r>
        <w:rPr>
          <w:rFonts w:ascii="Andes" w:hAnsi="Andes" w:cs="Arial"/>
          <w:sz w:val="22"/>
          <w:szCs w:val="22"/>
        </w:rPr>
        <w:t xml:space="preserve">’AC et non à l’attribution d’un marché à commandes </w:t>
      </w:r>
      <w:r w:rsidR="00794321">
        <w:rPr>
          <w:rFonts w:ascii="Andes" w:hAnsi="Andes" w:cs="Arial"/>
          <w:sz w:val="22"/>
          <w:szCs w:val="22"/>
        </w:rPr>
        <w:t>passé</w:t>
      </w:r>
      <w:r>
        <w:rPr>
          <w:rFonts w:ascii="Andes" w:hAnsi="Andes" w:cs="Arial"/>
          <w:sz w:val="22"/>
          <w:szCs w:val="22"/>
        </w:rPr>
        <w:t xml:space="preserve"> dans ce cadre.</w:t>
      </w:r>
      <w:r w:rsidR="00794321">
        <w:rPr>
          <w:rFonts w:ascii="Andes" w:hAnsi="Andes" w:cs="Arial"/>
          <w:sz w:val="22"/>
          <w:szCs w:val="22"/>
        </w:rPr>
        <w:t xml:space="preserve"> </w:t>
      </w:r>
      <w:r w:rsidR="00794321" w:rsidRPr="00794321">
        <w:rPr>
          <w:rFonts w:ascii="Andes" w:hAnsi="Andes" w:cs="Arial"/>
          <w:sz w:val="22"/>
          <w:szCs w:val="22"/>
        </w:rPr>
        <w:t>L’Avis d’Attribution de Marché/Contrat</w:t>
      </w:r>
      <w:r w:rsidRPr="00794321">
        <w:rPr>
          <w:rFonts w:ascii="Andes" w:hAnsi="Andes" w:cs="Arial"/>
          <w:sz w:val="22"/>
          <w:szCs w:val="22"/>
        </w:rPr>
        <w:t xml:space="preserve"> </w:t>
      </w:r>
      <w:r w:rsidR="00794321">
        <w:rPr>
          <w:rFonts w:ascii="Andes" w:hAnsi="Andes" w:cs="Arial"/>
          <w:sz w:val="22"/>
          <w:szCs w:val="22"/>
        </w:rPr>
        <w:t xml:space="preserve">est placé </w:t>
      </w:r>
      <w:r w:rsidR="00794321" w:rsidRPr="00794321">
        <w:rPr>
          <w:rFonts w:ascii="Andes" w:hAnsi="Andes" w:cs="Arial"/>
          <w:sz w:val="22"/>
          <w:szCs w:val="22"/>
        </w:rPr>
        <w:t>sur un site internet à libre accès de l’Emprunteur, et en l’absence d’un tel site,</w:t>
      </w:r>
      <w:r w:rsidR="00794321">
        <w:rPr>
          <w:rFonts w:ascii="Andes" w:hAnsi="Andes" w:cs="Arial"/>
          <w:sz w:val="22"/>
          <w:szCs w:val="22"/>
        </w:rPr>
        <w:t xml:space="preserve"> est publié </w:t>
      </w:r>
      <w:r w:rsidR="00794321" w:rsidRPr="00467A0F">
        <w:rPr>
          <w:rFonts w:ascii="Andes" w:eastAsiaTheme="minorHAnsi" w:hAnsi="Andes" w:cs="Arial"/>
          <w:color w:val="000000"/>
          <w:sz w:val="22"/>
          <w:szCs w:val="22"/>
        </w:rPr>
        <w:t>dans au moins un journal à diffusion nationale</w:t>
      </w:r>
      <w:r w:rsidR="00794321">
        <w:rPr>
          <w:rFonts w:ascii="Andes" w:eastAsiaTheme="minorHAnsi" w:hAnsi="Andes" w:cs="Arial"/>
          <w:color w:val="000000"/>
          <w:sz w:val="22"/>
          <w:szCs w:val="22"/>
        </w:rPr>
        <w:t xml:space="preserve"> ou au journal officiel</w:t>
      </w:r>
      <w:r w:rsidR="00730BDF" w:rsidRPr="00730BDF">
        <w:rPr>
          <w:rFonts w:ascii="Andes" w:eastAsiaTheme="minorHAnsi" w:hAnsi="Andes" w:cs="Arial"/>
          <w:color w:val="000000"/>
          <w:sz w:val="22"/>
          <w:szCs w:val="22"/>
        </w:rPr>
        <w:t xml:space="preserve"> </w:t>
      </w:r>
      <w:r w:rsidR="00730BDF">
        <w:rPr>
          <w:rFonts w:ascii="Andes" w:eastAsiaTheme="minorHAnsi" w:hAnsi="Andes" w:cs="Arial"/>
          <w:color w:val="000000"/>
          <w:sz w:val="22"/>
          <w:szCs w:val="22"/>
        </w:rPr>
        <w:t xml:space="preserve">du </w:t>
      </w:r>
      <w:r w:rsidR="00730BDF" w:rsidRPr="00467A0F">
        <w:rPr>
          <w:rFonts w:ascii="Andes" w:eastAsiaTheme="minorHAnsi" w:hAnsi="Andes" w:cs="Arial"/>
          <w:color w:val="000000"/>
          <w:sz w:val="22"/>
          <w:szCs w:val="22"/>
        </w:rPr>
        <w:t>pays de l’</w:t>
      </w:r>
      <w:r w:rsidR="00730BDF">
        <w:rPr>
          <w:rFonts w:ascii="Andes" w:eastAsiaTheme="minorHAnsi" w:hAnsi="Andes" w:cs="Arial"/>
          <w:color w:val="000000"/>
          <w:sz w:val="22"/>
          <w:szCs w:val="22"/>
        </w:rPr>
        <w:t>Emprunteur</w:t>
      </w:r>
      <w:r w:rsidR="00954C40">
        <w:rPr>
          <w:rFonts w:ascii="Andes" w:eastAsiaTheme="minorHAnsi" w:hAnsi="Andes" w:cs="Arial"/>
          <w:color w:val="000000"/>
          <w:sz w:val="22"/>
          <w:szCs w:val="22"/>
        </w:rPr>
        <w:t xml:space="preserve"> </w:t>
      </w:r>
      <w:proofErr w:type="gramStart"/>
      <w:r w:rsidR="00954C40">
        <w:rPr>
          <w:rFonts w:ascii="Andes" w:eastAsiaTheme="minorHAnsi" w:hAnsi="Andes" w:cs="Arial"/>
          <w:color w:val="000000"/>
          <w:sz w:val="22"/>
          <w:szCs w:val="22"/>
        </w:rPr>
        <w:t xml:space="preserve">et </w:t>
      </w:r>
      <w:r w:rsidR="00983FFA">
        <w:rPr>
          <w:rFonts w:ascii="Andes" w:eastAsiaTheme="minorHAnsi" w:hAnsi="Andes" w:cs="Arial"/>
          <w:color w:val="000000"/>
          <w:sz w:val="22"/>
          <w:szCs w:val="22"/>
        </w:rPr>
        <w:t xml:space="preserve"> p</w:t>
      </w:r>
      <w:r w:rsidR="00794321" w:rsidRPr="00A21E65">
        <w:rPr>
          <w:rFonts w:ascii="Andes" w:eastAsiaTheme="minorHAnsi" w:hAnsi="Andes" w:cs="Arial"/>
          <w:color w:val="000000"/>
          <w:sz w:val="22"/>
          <w:szCs w:val="22"/>
        </w:rPr>
        <w:t>our</w:t>
      </w:r>
      <w:proofErr w:type="gramEnd"/>
      <w:r w:rsidR="00794321" w:rsidRPr="00A21E65">
        <w:rPr>
          <w:rFonts w:ascii="Andes" w:eastAsiaTheme="minorHAnsi" w:hAnsi="Andes" w:cs="Arial"/>
          <w:color w:val="000000"/>
          <w:sz w:val="22"/>
          <w:szCs w:val="22"/>
        </w:rPr>
        <w:t xml:space="preserve"> les marchés faisant appel à la concurrence internationale, </w:t>
      </w:r>
      <w:r w:rsidR="00983FFA">
        <w:rPr>
          <w:rFonts w:ascii="Andes" w:eastAsiaTheme="minorHAnsi" w:hAnsi="Andes" w:cs="Arial"/>
          <w:color w:val="000000"/>
          <w:sz w:val="22"/>
          <w:szCs w:val="22"/>
        </w:rPr>
        <w:t xml:space="preserve">il </w:t>
      </w:r>
      <w:r w:rsidR="00895442">
        <w:rPr>
          <w:rFonts w:ascii="Andes" w:eastAsiaTheme="minorHAnsi" w:hAnsi="Andes" w:cs="Arial"/>
          <w:color w:val="000000"/>
          <w:sz w:val="22"/>
          <w:szCs w:val="22"/>
        </w:rPr>
        <w:t>sera publié par la Banque sur son site internet</w:t>
      </w:r>
      <w:r w:rsidR="004B7778">
        <w:rPr>
          <w:rFonts w:ascii="Andes" w:eastAsiaTheme="minorHAnsi" w:hAnsi="Andes" w:cs="Arial"/>
          <w:color w:val="000000"/>
          <w:sz w:val="22"/>
          <w:szCs w:val="22"/>
        </w:rPr>
        <w:t xml:space="preserve"> externe</w:t>
      </w:r>
      <w:r w:rsidR="00687669" w:rsidRPr="00A21E65">
        <w:rPr>
          <w:rFonts w:ascii="Andes" w:hAnsi="Andes" w:cs="Arial"/>
          <w:sz w:val="22"/>
          <w:szCs w:val="22"/>
        </w:rPr>
        <w:t xml:space="preserve">. </w:t>
      </w:r>
      <w:r w:rsidR="00A21E65" w:rsidRPr="00A21E65">
        <w:rPr>
          <w:rFonts w:ascii="Andes" w:hAnsi="Andes" w:cs="Arial"/>
          <w:sz w:val="22"/>
          <w:szCs w:val="22"/>
        </w:rPr>
        <w:t xml:space="preserve">Pour les marchés soumis à examen préalable, la Banque se charge de le placer sur son site Internet public à la réception d’une copie </w:t>
      </w:r>
      <w:r w:rsidR="004544CB">
        <w:rPr>
          <w:rFonts w:ascii="Andes" w:hAnsi="Andes" w:cs="Arial"/>
          <w:sz w:val="22"/>
          <w:szCs w:val="22"/>
        </w:rPr>
        <w:t>certifiée c</w:t>
      </w:r>
      <w:r w:rsidR="00A21E65" w:rsidRPr="00A21E65">
        <w:rPr>
          <w:rFonts w:ascii="Andes" w:hAnsi="Andes" w:cs="Arial"/>
          <w:sz w:val="22"/>
          <w:szCs w:val="22"/>
        </w:rPr>
        <w:t>onforme du contrat signé que lui aura adressé</w:t>
      </w:r>
      <w:r w:rsidR="004544CB">
        <w:rPr>
          <w:rFonts w:ascii="Andes" w:hAnsi="Andes" w:cs="Arial"/>
          <w:sz w:val="22"/>
          <w:szCs w:val="22"/>
        </w:rPr>
        <w:t xml:space="preserve">e </w:t>
      </w:r>
      <w:r w:rsidR="00A21E65" w:rsidRPr="00A21E65">
        <w:rPr>
          <w:rFonts w:ascii="Andes" w:hAnsi="Andes" w:cs="Arial"/>
          <w:sz w:val="22"/>
          <w:szCs w:val="22"/>
        </w:rPr>
        <w:t>l’</w:t>
      </w:r>
      <w:r w:rsidR="00A21E65">
        <w:rPr>
          <w:rFonts w:ascii="Andes" w:hAnsi="Andes" w:cs="Arial"/>
          <w:sz w:val="22"/>
          <w:szCs w:val="22"/>
        </w:rPr>
        <w:t>Emprunteur</w:t>
      </w:r>
      <w:r w:rsidR="00A21E65" w:rsidRPr="00A21E65">
        <w:rPr>
          <w:rFonts w:ascii="Andes" w:hAnsi="Andes" w:cs="Arial"/>
          <w:sz w:val="22"/>
          <w:szCs w:val="22"/>
        </w:rPr>
        <w:t xml:space="preserve">. </w:t>
      </w:r>
      <w:r w:rsidR="006F461C">
        <w:rPr>
          <w:rFonts w:ascii="Andes" w:hAnsi="Andes" w:cs="Arial"/>
          <w:sz w:val="22"/>
          <w:szCs w:val="22"/>
        </w:rPr>
        <w:t xml:space="preserve">Pour les marchés sujets à un examen </w:t>
      </w:r>
      <w:r w:rsidR="003772ED">
        <w:rPr>
          <w:rFonts w:ascii="Andes" w:hAnsi="Andes" w:cs="Arial"/>
          <w:sz w:val="22"/>
          <w:szCs w:val="22"/>
        </w:rPr>
        <w:t>a</w:t>
      </w:r>
      <w:r w:rsidR="00A11137">
        <w:rPr>
          <w:rFonts w:ascii="Andes" w:hAnsi="Andes" w:cs="Arial"/>
          <w:sz w:val="22"/>
          <w:szCs w:val="22"/>
        </w:rPr>
        <w:t xml:space="preserve"> </w:t>
      </w:r>
      <w:r w:rsidR="006F461C">
        <w:rPr>
          <w:rFonts w:ascii="Andes" w:hAnsi="Andes" w:cs="Arial"/>
          <w:sz w:val="22"/>
          <w:szCs w:val="22"/>
        </w:rPr>
        <w:t xml:space="preserve">posteriori de la Banque, la Banque </w:t>
      </w:r>
      <w:r w:rsidR="006A2F9A">
        <w:rPr>
          <w:rFonts w:ascii="Andes" w:hAnsi="Andes" w:cs="Arial"/>
          <w:sz w:val="22"/>
          <w:szCs w:val="22"/>
        </w:rPr>
        <w:t xml:space="preserve">publiera la confirmation qu’un marché a été signé. La publication sera faite sur le site externe de la Banque </w:t>
      </w:r>
      <w:proofErr w:type="gramStart"/>
      <w:r w:rsidR="006A2F9A">
        <w:rPr>
          <w:rFonts w:ascii="Andes" w:hAnsi="Andes" w:cs="Arial"/>
          <w:sz w:val="22"/>
          <w:szCs w:val="22"/>
        </w:rPr>
        <w:t>suite à</w:t>
      </w:r>
      <w:proofErr w:type="gramEnd"/>
      <w:r w:rsidR="006A2F9A">
        <w:rPr>
          <w:rFonts w:ascii="Andes" w:hAnsi="Andes" w:cs="Arial"/>
          <w:sz w:val="22"/>
          <w:szCs w:val="22"/>
        </w:rPr>
        <w:t xml:space="preserve"> la notification de la Banque à travers le mécanisme en ligne du plan de passation et de gestion des marchés. </w:t>
      </w:r>
    </w:p>
    <w:p w14:paraId="39F70569" w14:textId="5600F33A" w:rsidR="005858D6" w:rsidRPr="00B11DEF" w:rsidRDefault="00737675" w:rsidP="003518FE">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iCs/>
          <w:smallCaps/>
          <w:color w:val="C45911"/>
          <w:sz w:val="32"/>
          <w:szCs w:val="32"/>
        </w:rPr>
      </w:pPr>
      <w:r w:rsidRPr="00B11DEF">
        <w:rPr>
          <w:rFonts w:ascii="Andes" w:eastAsiaTheme="majorEastAsia" w:hAnsi="Andes" w:cstheme="majorBidi"/>
          <w:bCs w:val="0"/>
          <w:color w:val="C45911"/>
          <w:sz w:val="32"/>
          <w:szCs w:val="32"/>
        </w:rPr>
        <w:t>Débriefing par la Banque</w:t>
      </w:r>
    </w:p>
    <w:p w14:paraId="54975719" w14:textId="2F75463A" w:rsidR="005858D6" w:rsidRPr="00A23131" w:rsidRDefault="00FD35CC" w:rsidP="00882278">
      <w:pPr>
        <w:pStyle w:val="Paragraphedeliste"/>
        <w:numPr>
          <w:ilvl w:val="0"/>
          <w:numId w:val="78"/>
        </w:numPr>
        <w:spacing w:before="0" w:line="240" w:lineRule="auto"/>
        <w:ind w:left="634" w:hanging="634"/>
        <w:contextualSpacing w:val="0"/>
        <w:rPr>
          <w:rFonts w:ascii="Andes" w:hAnsi="Andes" w:cs="Arial"/>
          <w:sz w:val="22"/>
          <w:szCs w:val="22"/>
        </w:rPr>
      </w:pPr>
      <w:r>
        <w:rPr>
          <w:rFonts w:ascii="Andes" w:hAnsi="Andes" w:cs="Arial"/>
          <w:sz w:val="22"/>
          <w:szCs w:val="22"/>
        </w:rPr>
        <w:t>Si</w:t>
      </w:r>
      <w:r w:rsidR="00737675" w:rsidRPr="00737675">
        <w:rPr>
          <w:rFonts w:ascii="Andes" w:hAnsi="Andes" w:cs="Arial"/>
          <w:sz w:val="22"/>
          <w:szCs w:val="22"/>
        </w:rPr>
        <w:t>, après la publication de l’</w:t>
      </w:r>
      <w:r>
        <w:rPr>
          <w:rFonts w:ascii="Andes" w:hAnsi="Andes" w:cs="Arial"/>
          <w:sz w:val="22"/>
          <w:szCs w:val="22"/>
        </w:rPr>
        <w:t xml:space="preserve">Avis </w:t>
      </w:r>
      <w:r w:rsidR="00737675" w:rsidRPr="00737675">
        <w:rPr>
          <w:rFonts w:ascii="Andes" w:hAnsi="Andes" w:cs="Arial"/>
          <w:sz w:val="22"/>
          <w:szCs w:val="22"/>
        </w:rPr>
        <w:t>d’</w:t>
      </w:r>
      <w:r>
        <w:rPr>
          <w:rFonts w:ascii="Andes" w:hAnsi="Andes" w:cs="Arial"/>
          <w:sz w:val="22"/>
          <w:szCs w:val="22"/>
        </w:rPr>
        <w:t xml:space="preserve">Attribution </w:t>
      </w:r>
      <w:r w:rsidR="00737675" w:rsidRPr="00737675">
        <w:rPr>
          <w:rFonts w:ascii="Andes" w:hAnsi="Andes" w:cs="Arial"/>
          <w:sz w:val="22"/>
          <w:szCs w:val="22"/>
        </w:rPr>
        <w:t>de Marché/Contrat, un Soumissionnaire/Proposant/Consultant n’a pas reçu d’explication satisfaisante de l’</w:t>
      </w:r>
      <w:r>
        <w:rPr>
          <w:rFonts w:ascii="Andes" w:hAnsi="Andes" w:cs="Arial"/>
          <w:sz w:val="22"/>
          <w:szCs w:val="22"/>
        </w:rPr>
        <w:t xml:space="preserve">Emprunteur </w:t>
      </w:r>
      <w:r w:rsidR="00737675" w:rsidRPr="00737675">
        <w:rPr>
          <w:rFonts w:ascii="Andes" w:hAnsi="Andes" w:cs="Arial"/>
          <w:sz w:val="22"/>
          <w:szCs w:val="22"/>
        </w:rPr>
        <w:t>sur les raisons pour lesquelles son Offre ou sa Proposition n’a pas été retenue,</w:t>
      </w:r>
      <w:r w:rsidR="00737675">
        <w:rPr>
          <w:rFonts w:ascii="Andes" w:hAnsi="Andes" w:cs="Arial"/>
          <w:sz w:val="22"/>
          <w:szCs w:val="22"/>
        </w:rPr>
        <w:t xml:space="preserve"> il peut solliciter un entretien avec la Banque. </w:t>
      </w:r>
      <w:r w:rsidR="00737675" w:rsidRPr="00FD35CC">
        <w:rPr>
          <w:rFonts w:ascii="Andes" w:hAnsi="Andes" w:cs="Arial"/>
          <w:sz w:val="22"/>
          <w:szCs w:val="22"/>
        </w:rPr>
        <w:t>Ce</w:t>
      </w:r>
      <w:r w:rsidR="00C8521F">
        <w:rPr>
          <w:rFonts w:ascii="Andes" w:hAnsi="Andes" w:cs="Arial"/>
          <w:sz w:val="22"/>
          <w:szCs w:val="22"/>
        </w:rPr>
        <w:t>s</w:t>
      </w:r>
      <w:r w:rsidR="00737675" w:rsidRPr="00FD35CC">
        <w:rPr>
          <w:rFonts w:ascii="Andes" w:hAnsi="Andes" w:cs="Arial"/>
          <w:sz w:val="22"/>
          <w:szCs w:val="22"/>
        </w:rPr>
        <w:t xml:space="preserve"> demande</w:t>
      </w:r>
      <w:r w:rsidR="00C8521F">
        <w:rPr>
          <w:rFonts w:ascii="Andes" w:hAnsi="Andes" w:cs="Arial"/>
          <w:sz w:val="22"/>
          <w:szCs w:val="22"/>
        </w:rPr>
        <w:t xml:space="preserve">s </w:t>
      </w:r>
      <w:r w:rsidR="009B2AAD">
        <w:rPr>
          <w:rFonts w:ascii="Andes" w:hAnsi="Andes" w:cs="Arial"/>
          <w:sz w:val="22"/>
          <w:szCs w:val="22"/>
        </w:rPr>
        <w:t xml:space="preserve">devraient être </w:t>
      </w:r>
      <w:r w:rsidR="00737675" w:rsidRPr="00FD35CC">
        <w:rPr>
          <w:rFonts w:ascii="Andes" w:hAnsi="Andes" w:cs="Arial"/>
          <w:sz w:val="22"/>
          <w:szCs w:val="22"/>
        </w:rPr>
        <w:t>adress</w:t>
      </w:r>
      <w:r w:rsidR="009B2AAD">
        <w:rPr>
          <w:rFonts w:ascii="Andes" w:hAnsi="Andes" w:cs="Arial"/>
          <w:sz w:val="22"/>
          <w:szCs w:val="22"/>
        </w:rPr>
        <w:t>ées</w:t>
      </w:r>
      <w:r w:rsidR="00737675" w:rsidRPr="00FD35CC">
        <w:rPr>
          <w:rFonts w:ascii="Andes" w:hAnsi="Andes" w:cs="Arial"/>
          <w:sz w:val="22"/>
          <w:szCs w:val="22"/>
        </w:rPr>
        <w:t xml:space="preserve"> </w:t>
      </w:r>
      <w:r w:rsidRPr="00FD35CC">
        <w:rPr>
          <w:rFonts w:ascii="Andes" w:hAnsi="Andes" w:cs="Arial"/>
          <w:sz w:val="22"/>
          <w:szCs w:val="22"/>
        </w:rPr>
        <w:t xml:space="preserve">au Chef de service </w:t>
      </w:r>
      <w:r w:rsidR="00FA23F2">
        <w:rPr>
          <w:rFonts w:ascii="Andes" w:hAnsi="Andes" w:cs="Arial"/>
          <w:sz w:val="22"/>
          <w:szCs w:val="22"/>
        </w:rPr>
        <w:t>du secteur</w:t>
      </w:r>
      <w:r w:rsidRPr="00FD35CC">
        <w:rPr>
          <w:rFonts w:ascii="Andes" w:hAnsi="Andes" w:cs="Arial"/>
          <w:sz w:val="22"/>
          <w:szCs w:val="22"/>
        </w:rPr>
        <w:t xml:space="preserve"> </w:t>
      </w:r>
      <w:r w:rsidRPr="00FD35CC">
        <w:rPr>
          <w:rFonts w:ascii="Andes" w:hAnsi="Andes" w:cs="Arial"/>
          <w:sz w:val="22"/>
          <w:szCs w:val="22"/>
        </w:rPr>
        <w:lastRenderedPageBreak/>
        <w:t>accrédité</w:t>
      </w:r>
      <w:r w:rsidR="00FA23F2">
        <w:rPr>
          <w:rFonts w:ascii="Andes" w:hAnsi="Andes" w:cs="Arial"/>
          <w:sz w:val="22"/>
          <w:szCs w:val="22"/>
        </w:rPr>
        <w:t>,</w:t>
      </w:r>
      <w:r w:rsidRPr="00FD35CC">
        <w:rPr>
          <w:rFonts w:ascii="Andes" w:hAnsi="Andes" w:cs="Arial"/>
          <w:sz w:val="22"/>
          <w:szCs w:val="22"/>
        </w:rPr>
        <w:t xml:space="preserve"> pour le pays de l’</w:t>
      </w:r>
      <w:r>
        <w:rPr>
          <w:rFonts w:ascii="Andes" w:hAnsi="Andes" w:cs="Arial"/>
          <w:sz w:val="22"/>
          <w:szCs w:val="22"/>
        </w:rPr>
        <w:t>Emprunteur</w:t>
      </w:r>
      <w:r w:rsidRPr="00FD35CC">
        <w:rPr>
          <w:rFonts w:ascii="Andes" w:hAnsi="Andes" w:cs="Arial"/>
          <w:sz w:val="22"/>
          <w:szCs w:val="22"/>
        </w:rPr>
        <w:t xml:space="preserve">, afin qu’il organise une réunion </w:t>
      </w:r>
      <w:r>
        <w:rPr>
          <w:rFonts w:ascii="Andes" w:hAnsi="Andes" w:cs="Arial"/>
          <w:sz w:val="22"/>
          <w:szCs w:val="22"/>
        </w:rPr>
        <w:t>au niveau nécessaire</w:t>
      </w:r>
      <w:r w:rsidR="00DE4A47">
        <w:rPr>
          <w:rFonts w:ascii="Andes" w:hAnsi="Andes" w:cs="Arial"/>
          <w:sz w:val="22"/>
          <w:szCs w:val="22"/>
        </w:rPr>
        <w:t xml:space="preserve">, </w:t>
      </w:r>
      <w:r>
        <w:rPr>
          <w:rFonts w:ascii="Andes" w:hAnsi="Andes" w:cs="Arial"/>
          <w:sz w:val="22"/>
          <w:szCs w:val="22"/>
        </w:rPr>
        <w:t xml:space="preserve">avec le personnel compétent. </w:t>
      </w:r>
      <w:r w:rsidRPr="00DE4A47">
        <w:rPr>
          <w:rFonts w:ascii="Andes" w:hAnsi="Andes" w:cs="Arial"/>
          <w:sz w:val="22"/>
          <w:szCs w:val="22"/>
        </w:rPr>
        <w:t xml:space="preserve">Cette réunion n’a pas pour objet d’examiner les Offres/Propositions de la concurrence ni, dans le cas de marchés soumis à examen préalable, d’expliquer la position </w:t>
      </w:r>
      <w:r w:rsidR="00DE4A47" w:rsidRPr="00DE4A47">
        <w:rPr>
          <w:rFonts w:ascii="Andes" w:hAnsi="Andes" w:cs="Arial"/>
          <w:sz w:val="22"/>
          <w:szCs w:val="22"/>
        </w:rPr>
        <w:t>que la Banque a communiquée à l’</w:t>
      </w:r>
      <w:r w:rsidR="00DE4A47">
        <w:rPr>
          <w:rFonts w:ascii="Andes" w:hAnsi="Andes" w:cs="Arial"/>
          <w:sz w:val="22"/>
          <w:szCs w:val="22"/>
        </w:rPr>
        <w:t>Emprunteur</w:t>
      </w:r>
      <w:r w:rsidR="00DE4A47" w:rsidRPr="00DE4A47">
        <w:rPr>
          <w:rFonts w:ascii="Andes" w:hAnsi="Andes" w:cs="Arial"/>
          <w:sz w:val="22"/>
          <w:szCs w:val="22"/>
        </w:rPr>
        <w:t xml:space="preserve">. </w:t>
      </w:r>
    </w:p>
    <w:p w14:paraId="4CF53EA3" w14:textId="067235FE" w:rsidR="00C811D2" w:rsidRPr="00DE4A47" w:rsidRDefault="00DE4A47" w:rsidP="003518FE">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rPr>
      </w:pPr>
      <w:r w:rsidRPr="00DE4A47">
        <w:rPr>
          <w:rFonts w:ascii="Andes" w:eastAsiaTheme="majorEastAsia" w:hAnsi="Andes" w:cstheme="majorBidi"/>
          <w:bCs w:val="0"/>
          <w:color w:val="C45911"/>
          <w:sz w:val="32"/>
          <w:szCs w:val="32"/>
        </w:rPr>
        <w:t>Gestion des marchés et contrats</w:t>
      </w:r>
    </w:p>
    <w:p w14:paraId="7770C3E9" w14:textId="19AEA246" w:rsidR="00C811D2" w:rsidRPr="005318FA" w:rsidRDefault="00081A36" w:rsidP="00882278">
      <w:pPr>
        <w:pStyle w:val="Paragraphedeliste"/>
        <w:numPr>
          <w:ilvl w:val="0"/>
          <w:numId w:val="78"/>
        </w:numPr>
        <w:spacing w:before="0" w:line="240" w:lineRule="auto"/>
        <w:ind w:left="634" w:hanging="634"/>
        <w:contextualSpacing w:val="0"/>
        <w:rPr>
          <w:rFonts w:ascii="Andes" w:hAnsi="Andes" w:cs="Arial"/>
          <w:sz w:val="22"/>
          <w:szCs w:val="22"/>
        </w:rPr>
      </w:pPr>
      <w:r>
        <w:rPr>
          <w:rFonts w:ascii="Andes" w:hAnsi="Andes" w:cs="Arial"/>
          <w:sz w:val="22"/>
          <w:szCs w:val="22"/>
        </w:rPr>
        <w:t xml:space="preserve">L’administration </w:t>
      </w:r>
      <w:r w:rsidRPr="00081A36">
        <w:rPr>
          <w:rFonts w:ascii="Andes" w:hAnsi="Andes" w:cs="Arial"/>
          <w:sz w:val="22"/>
          <w:szCs w:val="22"/>
        </w:rPr>
        <w:t>des marchés et contrat</w:t>
      </w:r>
      <w:r w:rsidR="00FA23F2">
        <w:rPr>
          <w:rFonts w:ascii="Andes" w:hAnsi="Andes" w:cs="Arial"/>
          <w:sz w:val="22"/>
          <w:szCs w:val="22"/>
        </w:rPr>
        <w:t>s</w:t>
      </w:r>
      <w:r w:rsidRPr="00081A36">
        <w:rPr>
          <w:rFonts w:ascii="Andes" w:hAnsi="Andes" w:cs="Arial"/>
          <w:sz w:val="22"/>
          <w:szCs w:val="22"/>
        </w:rPr>
        <w:t xml:space="preserve"> est une activité qui vise à s’assurer que toutes les parties s’acquittent de leurs obligations. </w:t>
      </w:r>
      <w:r>
        <w:rPr>
          <w:rFonts w:ascii="Andes" w:hAnsi="Andes" w:cs="Arial"/>
          <w:sz w:val="22"/>
          <w:szCs w:val="22"/>
        </w:rPr>
        <w:t xml:space="preserve">Il appartient à l’Emprunteur de les gérer activement pendant toute leur durée de vie </w:t>
      </w:r>
      <w:r w:rsidR="005318FA">
        <w:rPr>
          <w:rFonts w:ascii="Andes" w:hAnsi="Andes" w:cs="Arial"/>
          <w:sz w:val="22"/>
          <w:szCs w:val="22"/>
        </w:rPr>
        <w:t xml:space="preserve">pour s’assurer que la performance de l’adjudicataire est satisfaisante, que les acteurs concernés sont informés et que toutes les obligations contractuelles sont respectées. </w:t>
      </w:r>
      <w:r w:rsidR="005318FA" w:rsidRPr="005318FA">
        <w:rPr>
          <w:rFonts w:ascii="Andes" w:hAnsi="Andes" w:cs="Arial"/>
          <w:sz w:val="22"/>
          <w:szCs w:val="22"/>
        </w:rPr>
        <w:t xml:space="preserve">Pour plus de détails, voir </w:t>
      </w:r>
      <w:r w:rsidR="004B7778">
        <w:rPr>
          <w:rFonts w:ascii="Andes" w:hAnsi="Andes" w:cs="Arial"/>
          <w:sz w:val="22"/>
          <w:szCs w:val="22"/>
        </w:rPr>
        <w:t>A</w:t>
      </w:r>
      <w:r w:rsidR="005318FA" w:rsidRPr="005318FA">
        <w:rPr>
          <w:rFonts w:ascii="Andes" w:hAnsi="Andes" w:cs="Arial"/>
          <w:sz w:val="22"/>
          <w:szCs w:val="22"/>
        </w:rPr>
        <w:t xml:space="preserve">nnexe </w:t>
      </w:r>
      <w:r w:rsidR="00C13CA9" w:rsidRPr="005318FA">
        <w:rPr>
          <w:rFonts w:ascii="Andes" w:hAnsi="Andes" w:cs="Arial"/>
          <w:sz w:val="22"/>
          <w:szCs w:val="22"/>
        </w:rPr>
        <w:t>XI,</w:t>
      </w:r>
      <w:r w:rsidR="005318FA">
        <w:rPr>
          <w:rFonts w:ascii="Andes" w:hAnsi="Andes" w:cs="Arial"/>
          <w:sz w:val="22"/>
          <w:szCs w:val="22"/>
        </w:rPr>
        <w:t xml:space="preserve"> Gestion </w:t>
      </w:r>
      <w:r w:rsidR="005318FA" w:rsidRPr="005318FA">
        <w:rPr>
          <w:rFonts w:ascii="Andes" w:hAnsi="Andes" w:cs="Arial"/>
          <w:sz w:val="22"/>
          <w:szCs w:val="22"/>
        </w:rPr>
        <w:t>des marchés et contrats</w:t>
      </w:r>
      <w:r w:rsidR="00093E44" w:rsidRPr="005318FA">
        <w:rPr>
          <w:rFonts w:ascii="Andes" w:hAnsi="Andes" w:cs="Arial"/>
          <w:sz w:val="22"/>
          <w:szCs w:val="22"/>
        </w:rPr>
        <w:t>.</w:t>
      </w:r>
    </w:p>
    <w:p w14:paraId="3C18B389" w14:textId="37E2E096" w:rsidR="00C811D2" w:rsidRPr="001D60DB" w:rsidRDefault="005318FA" w:rsidP="003518FE">
      <w:pPr>
        <w:pStyle w:val="Style2"/>
        <w:keepNext/>
        <w:keepLines/>
        <w:widowControl/>
        <w:tabs>
          <w:tab w:val="left" w:pos="1710"/>
        </w:tabs>
        <w:autoSpaceDE/>
        <w:autoSpaceDN/>
        <w:adjustRightInd/>
        <w:spacing w:before="240" w:after="120"/>
        <w:ind w:left="-23"/>
        <w:contextualSpacing w:val="0"/>
        <w:outlineLvl w:val="0"/>
        <w:rPr>
          <w:rFonts w:ascii="Andes" w:eastAsiaTheme="majorEastAsia" w:hAnsi="Andes" w:cstheme="majorBidi"/>
          <w:bCs w:val="0"/>
          <w:color w:val="C45911"/>
          <w:sz w:val="32"/>
          <w:szCs w:val="32"/>
          <w:lang w:val="en-US"/>
        </w:rPr>
      </w:pPr>
      <w:r>
        <w:rPr>
          <w:rFonts w:ascii="Andes" w:eastAsiaTheme="majorEastAsia" w:hAnsi="Andes" w:cstheme="majorBidi"/>
          <w:bCs w:val="0"/>
          <w:color w:val="C45911"/>
          <w:sz w:val="32"/>
          <w:szCs w:val="32"/>
          <w:lang w:val="en-US"/>
        </w:rPr>
        <w:t>Archives</w:t>
      </w:r>
    </w:p>
    <w:p w14:paraId="1AAC6C35" w14:textId="7CC65920" w:rsidR="005C44DA" w:rsidRPr="003518FE" w:rsidRDefault="005318FA" w:rsidP="00882278">
      <w:pPr>
        <w:pStyle w:val="Paragraphedeliste"/>
        <w:numPr>
          <w:ilvl w:val="0"/>
          <w:numId w:val="78"/>
        </w:numPr>
        <w:spacing w:before="0" w:line="240" w:lineRule="auto"/>
        <w:ind w:left="634" w:hanging="634"/>
        <w:contextualSpacing w:val="0"/>
        <w:rPr>
          <w:rFonts w:ascii="Andes" w:hAnsi="Andes" w:cs="Arial"/>
          <w:sz w:val="22"/>
          <w:szCs w:val="22"/>
        </w:rPr>
      </w:pPr>
      <w:r w:rsidRPr="003518FE">
        <w:rPr>
          <w:rFonts w:ascii="Andes" w:hAnsi="Andes" w:cs="Arial"/>
          <w:sz w:val="22"/>
          <w:szCs w:val="22"/>
        </w:rPr>
        <w:t>L’Emprunteur</w:t>
      </w:r>
      <w:r w:rsidR="00730BDF">
        <w:rPr>
          <w:rFonts w:ascii="Andes" w:hAnsi="Andes" w:cs="Arial"/>
          <w:sz w:val="22"/>
          <w:szCs w:val="22"/>
        </w:rPr>
        <w:t xml:space="preserve"> conserve </w:t>
      </w:r>
      <w:r w:rsidRPr="003518FE">
        <w:rPr>
          <w:rFonts w:ascii="Andes" w:hAnsi="Andes" w:cs="Arial"/>
          <w:sz w:val="22"/>
          <w:szCs w:val="22"/>
        </w:rPr>
        <w:t>les pièces relatives à toutes les procédures</w:t>
      </w:r>
      <w:r w:rsidR="003518FE" w:rsidRPr="003518FE">
        <w:rPr>
          <w:rFonts w:ascii="Andes" w:hAnsi="Andes" w:cs="Arial"/>
          <w:sz w:val="22"/>
          <w:szCs w:val="22"/>
        </w:rPr>
        <w:t xml:space="preserve"> du Processus de Passation des Marchés, conformément aux dispositions de l’</w:t>
      </w:r>
      <w:r w:rsidR="003518FE">
        <w:rPr>
          <w:rFonts w:ascii="Andes" w:hAnsi="Andes" w:cs="Arial"/>
          <w:sz w:val="22"/>
          <w:szCs w:val="22"/>
        </w:rPr>
        <w:t xml:space="preserve">Accord </w:t>
      </w:r>
      <w:r w:rsidR="003518FE" w:rsidRPr="003518FE">
        <w:rPr>
          <w:rFonts w:ascii="Andes" w:hAnsi="Andes" w:cs="Arial"/>
          <w:sz w:val="22"/>
          <w:szCs w:val="22"/>
        </w:rPr>
        <w:t>Juridique</w:t>
      </w:r>
      <w:r w:rsidR="00687669" w:rsidRPr="003518FE">
        <w:rPr>
          <w:rFonts w:ascii="Andes" w:hAnsi="Andes" w:cs="Arial"/>
          <w:sz w:val="22"/>
          <w:szCs w:val="22"/>
        </w:rPr>
        <w:t xml:space="preserve">.  </w:t>
      </w:r>
    </w:p>
    <w:p w14:paraId="63BFF422" w14:textId="77777777" w:rsidR="00837559" w:rsidRPr="003518FE" w:rsidRDefault="00837559" w:rsidP="00FA0EEE">
      <w:pPr>
        <w:pStyle w:val="Paragraphedeliste"/>
        <w:spacing w:before="0" w:after="200"/>
        <w:ind w:left="634"/>
        <w:contextualSpacing w:val="0"/>
        <w:rPr>
          <w:rFonts w:ascii="Andes" w:hAnsi="Andes" w:cs="Arial"/>
          <w:szCs w:val="24"/>
        </w:rPr>
      </w:pPr>
    </w:p>
    <w:p w14:paraId="5605B61C" w14:textId="77777777" w:rsidR="005C44DA" w:rsidRPr="003518FE" w:rsidRDefault="005C44DA">
      <w:pPr>
        <w:spacing w:before="0" w:after="200"/>
        <w:contextualSpacing w:val="0"/>
        <w:jc w:val="left"/>
        <w:rPr>
          <w:rFonts w:ascii="Andes" w:hAnsi="Andes" w:cs="Arial"/>
          <w:sz w:val="22"/>
          <w:szCs w:val="22"/>
        </w:rPr>
        <w:sectPr w:rsidR="005C44DA" w:rsidRPr="003518FE" w:rsidSect="00AA3E7A">
          <w:headerReference w:type="default" r:id="rId23"/>
          <w:footnotePr>
            <w:numRestart w:val="eachSect"/>
          </w:footnotePr>
          <w:pgSz w:w="12240" w:h="15840"/>
          <w:pgMar w:top="1872" w:right="1440" w:bottom="1440" w:left="1440" w:header="720" w:footer="720" w:gutter="0"/>
          <w:cols w:space="720"/>
          <w:docGrid w:linePitch="360"/>
        </w:sectPr>
      </w:pPr>
    </w:p>
    <w:p w14:paraId="34283061" w14:textId="77777777" w:rsidR="00EA632A" w:rsidRDefault="00235C65" w:rsidP="00235C65">
      <w:pPr>
        <w:pStyle w:val="REGsH1"/>
        <w:ind w:right="-630"/>
        <w:rPr>
          <w:rFonts w:eastAsiaTheme="majorEastAsia"/>
          <w:lang w:val="en-US"/>
        </w:rPr>
      </w:pPr>
      <w:bookmarkStart w:id="2622" w:name="_Toc453544314"/>
      <w:bookmarkStart w:id="2623" w:name="_Toc453170893"/>
      <w:r w:rsidRPr="00E45811">
        <w:rPr>
          <w:rFonts w:cs="Microsoft Sans Serif"/>
          <w:b w:val="0"/>
          <w:caps/>
          <w:noProof/>
          <w:color w:val="002060"/>
          <w:lang w:val="en-US"/>
        </w:rPr>
        <w:lastRenderedPageBreak/>
        <mc:AlternateContent>
          <mc:Choice Requires="wps">
            <w:drawing>
              <wp:anchor distT="0" distB="0" distL="114300" distR="114300" simplePos="0" relativeHeight="251629568" behindDoc="0" locked="0" layoutInCell="1" allowOverlap="1" wp14:anchorId="3B13D2C5" wp14:editId="28E41C82">
                <wp:simplePos x="0" y="0"/>
                <wp:positionH relativeFrom="page">
                  <wp:align>left</wp:align>
                </wp:positionH>
                <wp:positionV relativeFrom="paragraph">
                  <wp:posOffset>-1184191</wp:posOffset>
                </wp:positionV>
                <wp:extent cx="8082951" cy="1379855"/>
                <wp:effectExtent l="0" t="0" r="0" b="0"/>
                <wp:wrapNone/>
                <wp:docPr id="12" name="Rectangle 12"/>
                <wp:cNvGraphicFramePr/>
                <a:graphic xmlns:a="http://schemas.openxmlformats.org/drawingml/2006/main">
                  <a:graphicData uri="http://schemas.microsoft.com/office/word/2010/wordprocessingShape">
                    <wps:wsp>
                      <wps:cNvSpPr/>
                      <wps:spPr>
                        <a:xfrm>
                          <a:off x="0" y="0"/>
                          <a:ext cx="8082951" cy="1379855"/>
                        </a:xfrm>
                        <a:prstGeom prst="rect">
                          <a:avLst/>
                        </a:prstGeom>
                        <a:solidFill>
                          <a:srgbClr val="002060"/>
                        </a:solidFill>
                        <a:ln w="12700" cap="flat" cmpd="sng" algn="ctr">
                          <a:noFill/>
                          <a:prstDash val="solid"/>
                          <a:miter lim="800000"/>
                        </a:ln>
                        <a:effectLst/>
                      </wps:spPr>
                      <wps:txbx>
                        <w:txbxContent>
                          <w:p w14:paraId="72828F05" w14:textId="51385A56" w:rsidR="00A41794" w:rsidRPr="00785904" w:rsidRDefault="00A41794" w:rsidP="00E76B76">
                            <w:pPr>
                              <w:spacing w:before="80" w:after="80"/>
                              <w:ind w:left="3067" w:right="1541" w:hanging="2160"/>
                              <w:jc w:val="left"/>
                              <w:rPr>
                                <w:rFonts w:ascii="Andes" w:hAnsi="Andes"/>
                                <w:sz w:val="44"/>
                                <w:szCs w:val="44"/>
                              </w:rPr>
                            </w:pPr>
                            <w:r w:rsidRPr="00785904">
                              <w:rPr>
                                <w:rFonts w:ascii="Andes" w:hAnsi="Andes"/>
                                <w:sz w:val="44"/>
                                <w:szCs w:val="44"/>
                              </w:rPr>
                              <w:t>Section VI.</w:t>
                            </w:r>
                            <w:r w:rsidRPr="00785904">
                              <w:rPr>
                                <w:rFonts w:ascii="Andes" w:hAnsi="Andes"/>
                                <w:sz w:val="44"/>
                                <w:szCs w:val="44"/>
                              </w:rPr>
                              <w:tab/>
                              <w:t xml:space="preserve">  Méthodes de </w:t>
                            </w:r>
                            <w:r>
                              <w:rPr>
                                <w:rFonts w:ascii="Andes" w:hAnsi="Andes"/>
                                <w:sz w:val="44"/>
                                <w:szCs w:val="44"/>
                              </w:rPr>
                              <w:t>sé</w:t>
                            </w:r>
                            <w:r w:rsidRPr="00785904">
                              <w:rPr>
                                <w:rFonts w:ascii="Andes" w:hAnsi="Andes"/>
                                <w:sz w:val="44"/>
                                <w:szCs w:val="44"/>
                              </w:rPr>
                              <w:t>lection agréées</w:t>
                            </w:r>
                            <w:r>
                              <w:rPr>
                                <w:rFonts w:ascii="Andes" w:hAnsi="Andes"/>
                                <w:sz w:val="44"/>
                                <w:szCs w:val="44"/>
                              </w:rPr>
                              <w:t xml:space="preserve"> </w:t>
                            </w:r>
                            <w:r w:rsidR="005621E2">
                              <w:rPr>
                                <w:rFonts w:ascii="Andes" w:hAnsi="Andes"/>
                                <w:sz w:val="44"/>
                                <w:szCs w:val="44"/>
                              </w:rPr>
                              <w:t xml:space="preserve">- </w:t>
                            </w:r>
                            <w:r>
                              <w:rPr>
                                <w:rFonts w:ascii="Andes" w:hAnsi="Andes"/>
                                <w:sz w:val="44"/>
                                <w:szCs w:val="44"/>
                              </w:rPr>
                              <w:t>Marchés de Fournitures, de Travaux et de Services Autres que des Services de Consultants</w:t>
                            </w:r>
                          </w:p>
                          <w:p w14:paraId="61A3DF3F" w14:textId="077A4B5A" w:rsidR="00A41794" w:rsidRPr="006F78B1" w:rsidRDefault="00A41794" w:rsidP="00235C65">
                            <w:pPr>
                              <w:tabs>
                                <w:tab w:val="left" w:pos="4320"/>
                              </w:tabs>
                              <w:ind w:left="1260"/>
                              <w:rPr>
                                <w:rFonts w:ascii="Andes" w:hAnsi="Andes"/>
                                <w:sz w:val="44"/>
                                <w:szCs w:val="4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3B13D2C5" id="Rectangle 12" o:spid="_x0000_s1035" style="position:absolute;margin-left:0;margin-top:-93.25pt;width:636.45pt;height:108.65pt;z-index:25162956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" fillcolor="#002060" stroked="f" strokeweight="1pt">
                <v:textbox>
                  <w:txbxContent>
                    <w:p w14:paraId="72828F05" w14:textId="51385A56" w:rsidR="00A41794" w:rsidRPr="00785904" w:rsidRDefault="00A41794" w:rsidP="00E76B76">
                      <w:pPr>
                        <w:spacing w:before="80" w:after="80"/>
                        <w:ind w:left="3067" w:right="1541" w:hanging="2160"/>
                        <w:jc w:val="left"/>
                        <w:rPr>
                          <w:rFonts w:ascii="Andes" w:hAnsi="Andes"/>
                          <w:sz w:val="44"/>
                          <w:szCs w:val="44"/>
                        </w:rPr>
                      </w:pPr>
                      <w:r w:rsidRPr="00785904">
                        <w:rPr>
                          <w:rFonts w:ascii="Andes" w:hAnsi="Andes"/>
                          <w:sz w:val="44"/>
                          <w:szCs w:val="44"/>
                        </w:rPr>
                        <w:t>Section VI.</w:t>
                      </w:r>
                      <w:r w:rsidRPr="00785904">
                        <w:rPr>
                          <w:rFonts w:ascii="Andes" w:hAnsi="Andes"/>
                          <w:sz w:val="44"/>
                          <w:szCs w:val="44"/>
                        </w:rPr>
                        <w:tab/>
                        <w:t xml:space="preserve">  Méthodes de </w:t>
                      </w:r>
                      <w:r>
                        <w:rPr>
                          <w:rFonts w:ascii="Andes" w:hAnsi="Andes"/>
                          <w:sz w:val="44"/>
                          <w:szCs w:val="44"/>
                        </w:rPr>
                        <w:t>sé</w:t>
                      </w:r>
                      <w:r w:rsidRPr="00785904">
                        <w:rPr>
                          <w:rFonts w:ascii="Andes" w:hAnsi="Andes"/>
                          <w:sz w:val="44"/>
                          <w:szCs w:val="44"/>
                        </w:rPr>
                        <w:t>lection agréées</w:t>
                      </w:r>
                      <w:r>
                        <w:rPr>
                          <w:rFonts w:ascii="Andes" w:hAnsi="Andes"/>
                          <w:sz w:val="44"/>
                          <w:szCs w:val="44"/>
                        </w:rPr>
                        <w:t xml:space="preserve"> </w:t>
                      </w:r>
                      <w:r w:rsidR="005621E2">
                        <w:rPr>
                          <w:rFonts w:ascii="Andes" w:hAnsi="Andes"/>
                          <w:sz w:val="44"/>
                          <w:szCs w:val="44"/>
                        </w:rPr>
                        <w:t xml:space="preserve">- </w:t>
                      </w:r>
                      <w:r>
                        <w:rPr>
                          <w:rFonts w:ascii="Andes" w:hAnsi="Andes"/>
                          <w:sz w:val="44"/>
                          <w:szCs w:val="44"/>
                        </w:rPr>
                        <w:t>Marchés de Fournitures, de Travaux et de Services Autres que des Services de Consultants</w:t>
                      </w:r>
                    </w:p>
                    <w:p w14:paraId="61A3DF3F" w14:textId="077A4B5A" w:rsidR="00A41794" w:rsidRPr="006F78B1" w:rsidRDefault="00A41794" w:rsidP="00235C65">
                      <w:pPr>
                        <w:tabs>
                          <w:tab w:val="left" w:pos="4320"/>
                        </w:tabs>
                        <w:ind w:left="1260"/>
                        <w:rPr>
                          <w:rFonts w:ascii="Andes" w:hAnsi="Andes"/>
                          <w:sz w:val="44"/>
                          <w:szCs w:val="44"/>
                        </w:rPr>
                      </w:pPr>
                    </w:p>
                  </w:txbxContent>
                </v:textbox>
                <w10:wrap anchorx="page"/>
              </v:rect>
            </w:pict>
          </mc:Fallback>
        </mc:AlternateContent>
      </w:r>
      <w:r w:rsidR="00EA632A">
        <w:rPr>
          <w:rFonts w:eastAsiaTheme="majorEastAsia"/>
          <w:lang w:val="en-US"/>
        </w:rPr>
        <w:t>Section VI</w:t>
      </w:r>
      <w:r w:rsidR="00687669">
        <w:rPr>
          <w:rFonts w:eastAsiaTheme="majorEastAsia"/>
          <w:lang w:val="en-US"/>
        </w:rPr>
        <w:t xml:space="preserve">.  </w:t>
      </w:r>
      <w:r w:rsidR="00EA632A">
        <w:rPr>
          <w:rFonts w:eastAsiaTheme="majorEastAsia"/>
          <w:lang w:val="en-US"/>
        </w:rPr>
        <w:t>Approved Selection Methods: Goods, Works and Non-consulting Services</w:t>
      </w:r>
      <w:bookmarkEnd w:id="2622"/>
    </w:p>
    <w:p w14:paraId="2324166B" w14:textId="77777777" w:rsidR="006D600B" w:rsidRPr="000F54B7" w:rsidRDefault="006D600B" w:rsidP="006D600B">
      <w:pPr>
        <w:pStyle w:val="Style2"/>
        <w:keepNext/>
        <w:keepLines/>
        <w:widowControl/>
        <w:tabs>
          <w:tab w:val="left" w:pos="1710"/>
        </w:tabs>
        <w:autoSpaceDE/>
        <w:autoSpaceDN/>
        <w:adjustRightInd/>
        <w:spacing w:before="240" w:after="120" w:line="259" w:lineRule="auto"/>
        <w:contextualSpacing w:val="0"/>
        <w:jc w:val="left"/>
        <w:outlineLvl w:val="0"/>
        <w:rPr>
          <w:rFonts w:ascii="Andes" w:eastAsiaTheme="majorEastAsia" w:hAnsi="Andes" w:cstheme="majorBidi"/>
          <w:bCs w:val="0"/>
          <w:color w:val="C45911"/>
          <w:sz w:val="32"/>
          <w:szCs w:val="32"/>
        </w:rPr>
      </w:pPr>
      <w:bookmarkStart w:id="2624" w:name="_Toc453170955"/>
      <w:bookmarkStart w:id="2625" w:name="_Toc453544328"/>
      <w:bookmarkEnd w:id="2623"/>
      <w:r w:rsidRPr="000F54B7">
        <w:rPr>
          <w:rFonts w:ascii="Andes" w:eastAsiaTheme="majorEastAsia" w:hAnsi="Andes" w:cstheme="majorBidi"/>
          <w:bCs w:val="0"/>
          <w:color w:val="C45911"/>
          <w:sz w:val="32"/>
          <w:szCs w:val="32"/>
        </w:rPr>
        <w:t>Méthodes de sélection agréées</w:t>
      </w:r>
    </w:p>
    <w:p w14:paraId="3A7CCFB4" w14:textId="5C44B77E" w:rsidR="006D600B" w:rsidRPr="000F54B7" w:rsidRDefault="006D600B" w:rsidP="006D600B">
      <w:pPr>
        <w:pStyle w:val="Paragraphedeliste"/>
        <w:numPr>
          <w:ilvl w:val="0"/>
          <w:numId w:val="79"/>
        </w:numPr>
        <w:spacing w:before="0" w:after="200" w:line="240" w:lineRule="auto"/>
        <w:ind w:left="634" w:hanging="634"/>
        <w:contextualSpacing w:val="0"/>
        <w:rPr>
          <w:rFonts w:ascii="Andes" w:hAnsi="Andes" w:cs="Arial"/>
          <w:sz w:val="22"/>
          <w:szCs w:val="22"/>
        </w:rPr>
      </w:pPr>
      <w:r w:rsidRPr="000F54B7">
        <w:rPr>
          <w:rFonts w:ascii="Andes" w:hAnsi="Andes" w:cs="Arial"/>
          <w:sz w:val="22"/>
          <w:szCs w:val="22"/>
        </w:rPr>
        <w:t xml:space="preserve">Le </w:t>
      </w:r>
      <w:r w:rsidR="005621E2">
        <w:rPr>
          <w:rFonts w:ascii="Andes" w:hAnsi="Andes" w:cs="Arial"/>
          <w:sz w:val="22"/>
          <w:szCs w:val="22"/>
        </w:rPr>
        <w:t>T</w:t>
      </w:r>
      <w:r w:rsidRPr="000F54B7">
        <w:rPr>
          <w:rFonts w:ascii="Andes" w:hAnsi="Andes" w:cs="Arial"/>
          <w:sz w:val="22"/>
          <w:szCs w:val="22"/>
        </w:rPr>
        <w:t xml:space="preserve">ableau 1 au verso donne une vue d’ensemble des méthodes de sélection agréées, des types particuliers de modalités de sélection agréées, et des </w:t>
      </w:r>
      <w:r w:rsidR="007E5DEB">
        <w:rPr>
          <w:rFonts w:ascii="Andes" w:hAnsi="Andes" w:cs="Arial"/>
          <w:sz w:val="22"/>
          <w:szCs w:val="22"/>
        </w:rPr>
        <w:t xml:space="preserve">options </w:t>
      </w:r>
      <w:r w:rsidR="006F3DC2">
        <w:rPr>
          <w:rFonts w:ascii="Andes" w:hAnsi="Andes" w:cs="Arial"/>
          <w:sz w:val="22"/>
          <w:szCs w:val="22"/>
        </w:rPr>
        <w:t xml:space="preserve">d’approche de marchés </w:t>
      </w:r>
      <w:r w:rsidR="00805125">
        <w:rPr>
          <w:rFonts w:ascii="Andes" w:hAnsi="Andes" w:cs="Arial"/>
          <w:sz w:val="22"/>
          <w:szCs w:val="22"/>
        </w:rPr>
        <w:t>possibles</w:t>
      </w:r>
      <w:r w:rsidR="006F3DC2">
        <w:rPr>
          <w:rFonts w:ascii="Andes" w:hAnsi="Andes" w:cs="Arial"/>
          <w:sz w:val="22"/>
          <w:szCs w:val="22"/>
        </w:rPr>
        <w:t>,</w:t>
      </w:r>
      <w:r w:rsidRPr="000F54B7">
        <w:rPr>
          <w:rFonts w:ascii="Andes" w:hAnsi="Andes" w:cs="Arial"/>
          <w:sz w:val="22"/>
          <w:szCs w:val="22"/>
        </w:rPr>
        <w:t xml:space="preserve"> pour </w:t>
      </w:r>
      <w:r w:rsidR="006F3DC2">
        <w:rPr>
          <w:rFonts w:ascii="Andes" w:hAnsi="Andes" w:cs="Arial"/>
          <w:sz w:val="22"/>
          <w:szCs w:val="22"/>
        </w:rPr>
        <w:t xml:space="preserve">la passation </w:t>
      </w:r>
      <w:r w:rsidRPr="000F54B7">
        <w:rPr>
          <w:rFonts w:ascii="Andes" w:hAnsi="Andes" w:cs="Arial"/>
          <w:sz w:val="22"/>
          <w:szCs w:val="22"/>
        </w:rPr>
        <w:t xml:space="preserve">des marchés de Fournitures, de Travaux et de Services autres que </w:t>
      </w:r>
      <w:r w:rsidR="006F3DC2">
        <w:rPr>
          <w:rFonts w:ascii="Andes" w:hAnsi="Andes" w:cs="Arial"/>
          <w:sz w:val="22"/>
          <w:szCs w:val="22"/>
        </w:rPr>
        <w:t>l</w:t>
      </w:r>
      <w:r w:rsidR="006F3DC2" w:rsidRPr="000F54B7">
        <w:rPr>
          <w:rFonts w:ascii="Andes" w:hAnsi="Andes" w:cs="Arial"/>
          <w:sz w:val="22"/>
          <w:szCs w:val="22"/>
        </w:rPr>
        <w:t xml:space="preserve">es </w:t>
      </w:r>
      <w:r w:rsidRPr="000F54B7">
        <w:rPr>
          <w:rFonts w:ascii="Andes" w:hAnsi="Andes" w:cs="Arial"/>
          <w:sz w:val="22"/>
          <w:szCs w:val="22"/>
        </w:rPr>
        <w:t>Services de Consultants dans le cadre d’opérations de FPI. Pour plus de détails, voir l’</w:t>
      </w:r>
      <w:r w:rsidR="00F10A71">
        <w:rPr>
          <w:rFonts w:ascii="Andes" w:hAnsi="Andes" w:cs="Arial"/>
          <w:sz w:val="22"/>
          <w:szCs w:val="22"/>
        </w:rPr>
        <w:t>A</w:t>
      </w:r>
      <w:r w:rsidRPr="000F54B7">
        <w:rPr>
          <w:rFonts w:ascii="Andes" w:hAnsi="Andes" w:cs="Arial"/>
          <w:sz w:val="22"/>
          <w:szCs w:val="22"/>
        </w:rPr>
        <w:t>nnexe XII « Méthodes de sélection ».</w:t>
      </w:r>
    </w:p>
    <w:p w14:paraId="6138F525" w14:textId="77777777" w:rsidR="006D600B" w:rsidRPr="000F54B7" w:rsidRDefault="006D600B" w:rsidP="006D600B">
      <w:pPr>
        <w:pStyle w:val="Paragraphedeliste"/>
        <w:spacing w:before="0" w:after="200" w:line="240" w:lineRule="auto"/>
        <w:ind w:left="630"/>
        <w:contextualSpacing w:val="0"/>
        <w:jc w:val="left"/>
        <w:rPr>
          <w:rFonts w:ascii="Andes" w:hAnsi="Andes" w:cs="Arial"/>
        </w:rPr>
      </w:pPr>
    </w:p>
    <w:p w14:paraId="61217497" w14:textId="77777777" w:rsidR="006D600B" w:rsidRPr="000F54B7" w:rsidRDefault="006D600B" w:rsidP="006D600B">
      <w:pPr>
        <w:pStyle w:val="Paragraphedeliste"/>
        <w:numPr>
          <w:ilvl w:val="0"/>
          <w:numId w:val="79"/>
        </w:numPr>
        <w:spacing w:before="0" w:after="200" w:line="240" w:lineRule="auto"/>
        <w:ind w:left="630"/>
        <w:contextualSpacing w:val="0"/>
        <w:jc w:val="left"/>
        <w:rPr>
          <w:rFonts w:ascii="Andes" w:hAnsi="Andes" w:cs="Arial"/>
        </w:rPr>
        <w:sectPr w:rsidR="006D600B" w:rsidRPr="000F54B7" w:rsidSect="006D600B">
          <w:headerReference w:type="default" r:id="rId24"/>
          <w:footnotePr>
            <w:numRestart w:val="eachSect"/>
          </w:footnotePr>
          <w:pgSz w:w="12240" w:h="15840"/>
          <w:pgMar w:top="1872" w:right="1440" w:bottom="1440" w:left="1440" w:header="720" w:footer="720" w:gutter="0"/>
          <w:pgNumType w:start="35"/>
          <w:cols w:space="720"/>
          <w:docGrid w:linePitch="360"/>
        </w:sectPr>
      </w:pPr>
      <w:bookmarkStart w:id="2626" w:name="_Toc388957106"/>
      <w:bookmarkStart w:id="2627" w:name="_Toc389057163"/>
      <w:bookmarkStart w:id="2628" w:name="_Toc389473783"/>
      <w:bookmarkStart w:id="2629" w:name="_Toc389661618"/>
      <w:bookmarkStart w:id="2630" w:name="_Toc389662306"/>
      <w:bookmarkStart w:id="2631" w:name="_Toc391067801"/>
      <w:bookmarkStart w:id="2632" w:name="_Toc272614280"/>
    </w:p>
    <w:p w14:paraId="3FD20486" w14:textId="77777777" w:rsidR="006D600B" w:rsidRPr="000F54B7" w:rsidRDefault="006D600B" w:rsidP="006D600B">
      <w:pPr>
        <w:ind w:left="90"/>
        <w:rPr>
          <w:rFonts w:ascii="Andes" w:eastAsiaTheme="majorEastAsia" w:hAnsi="Andes"/>
          <w:sz w:val="22"/>
          <w:szCs w:val="22"/>
        </w:rPr>
      </w:pPr>
      <w:bookmarkStart w:id="2633" w:name="_Toc392519414"/>
      <w:bookmarkStart w:id="2634" w:name="_Toc392519415"/>
      <w:bookmarkStart w:id="2635" w:name="_Toc392519416"/>
      <w:bookmarkStart w:id="2636" w:name="_Toc392519417"/>
      <w:bookmarkStart w:id="2637" w:name="_Toc392519418"/>
      <w:bookmarkStart w:id="2638" w:name="_Toc392519419"/>
      <w:bookmarkStart w:id="2639" w:name="_Toc392519420"/>
      <w:bookmarkStart w:id="2640" w:name="_Toc392519421"/>
      <w:bookmarkStart w:id="2641" w:name="_Toc392519422"/>
      <w:bookmarkStart w:id="2642" w:name="_Toc392519423"/>
      <w:bookmarkStart w:id="2643" w:name="_Toc392519424"/>
      <w:bookmarkStart w:id="2644" w:name="_Toc3925194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r w:rsidRPr="000F54B7">
        <w:rPr>
          <w:rFonts w:ascii="Andes" w:eastAsiaTheme="majorEastAsia" w:hAnsi="Andes"/>
          <w:b/>
          <w:sz w:val="22"/>
          <w:szCs w:val="22"/>
        </w:rPr>
        <w:lastRenderedPageBreak/>
        <w:t xml:space="preserve">Tableau 1.  </w:t>
      </w:r>
      <w:r w:rsidRPr="000F54B7">
        <w:rPr>
          <w:rFonts w:ascii="Andes" w:eastAsiaTheme="majorEastAsia" w:hAnsi="Andes"/>
          <w:sz w:val="22"/>
          <w:szCs w:val="22"/>
        </w:rPr>
        <w:t>Méthodes de sélection agréées : marchés de Fournitures, de Travaux et de Services Autres que des Services de Consultants</w:t>
      </w:r>
    </w:p>
    <w:tbl>
      <w:tblPr>
        <w:tblpPr w:leftFromText="180" w:rightFromText="180" w:vertAnchor="page" w:horzAnchor="margin" w:tblpY="1853"/>
        <w:tblW w:w="5000" w:type="pct"/>
        <w:tblLayout w:type="fixed"/>
        <w:tblCellMar>
          <w:left w:w="29" w:type="dxa"/>
          <w:right w:w="29" w:type="dxa"/>
        </w:tblCellMar>
        <w:tblLook w:val="04A0" w:firstRow="1" w:lastRow="0" w:firstColumn="1" w:lastColumn="0" w:noHBand="0" w:noVBand="1"/>
      </w:tblPr>
      <w:tblGrid>
        <w:gridCol w:w="3647"/>
        <w:gridCol w:w="888"/>
        <w:gridCol w:w="1151"/>
        <w:gridCol w:w="795"/>
        <w:gridCol w:w="1241"/>
        <w:gridCol w:w="974"/>
        <w:gridCol w:w="974"/>
        <w:gridCol w:w="798"/>
        <w:gridCol w:w="795"/>
        <w:gridCol w:w="888"/>
        <w:gridCol w:w="619"/>
        <w:gridCol w:w="980"/>
        <w:gridCol w:w="1196"/>
      </w:tblGrid>
      <w:tr w:rsidR="007B600F" w:rsidRPr="00D672E8" w14:paraId="548273E0" w14:textId="77777777" w:rsidTr="00E76B76">
        <w:trPr>
          <w:cantSplit/>
          <w:trHeight w:val="444"/>
        </w:trPr>
        <w:tc>
          <w:tcPr>
            <w:tcW w:w="1220" w:type="pct"/>
            <w:tcBorders>
              <w:top w:val="single" w:sz="12" w:space="0" w:color="002060"/>
              <w:left w:val="single" w:sz="12" w:space="0" w:color="002060"/>
              <w:bottom w:val="single" w:sz="12" w:space="0" w:color="002060"/>
              <w:right w:val="single" w:sz="12" w:space="0" w:color="002060"/>
            </w:tcBorders>
            <w:shd w:val="clear" w:color="auto" w:fill="FFFFFF" w:themeFill="background1"/>
            <w:vAlign w:val="center"/>
          </w:tcPr>
          <w:p w14:paraId="7424BD76" w14:textId="77777777" w:rsidR="007B600F" w:rsidRPr="000F54B7" w:rsidRDefault="007B600F" w:rsidP="007B600F">
            <w:pPr>
              <w:spacing w:before="0" w:after="0" w:line="240" w:lineRule="auto"/>
              <w:jc w:val="center"/>
              <w:rPr>
                <w:rFonts w:ascii="Andes" w:hAnsi="Andes" w:cs="Arial"/>
                <w:b/>
                <w:bCs/>
                <w:color w:val="FFFFFF" w:themeColor="background1"/>
                <w:szCs w:val="24"/>
              </w:rPr>
            </w:pPr>
            <w:r w:rsidRPr="000F54B7">
              <w:rPr>
                <w:rFonts w:ascii="Andes" w:hAnsi="Andes" w:cs="Arial"/>
                <w:b/>
                <w:color w:val="C45911"/>
                <w:sz w:val="28"/>
                <w:szCs w:val="28"/>
              </w:rPr>
              <w:t>Fournitures, Travaux et Services Autres que des Services de Consultants</w:t>
            </w:r>
          </w:p>
        </w:tc>
        <w:tc>
          <w:tcPr>
            <w:tcW w:w="3780" w:type="pct"/>
            <w:gridSpan w:val="12"/>
            <w:tcBorders>
              <w:top w:val="single" w:sz="12" w:space="0" w:color="002060"/>
              <w:left w:val="single" w:sz="12" w:space="0" w:color="002060"/>
              <w:bottom w:val="single" w:sz="12" w:space="0" w:color="FFFFFF" w:themeColor="background1"/>
              <w:right w:val="single" w:sz="12" w:space="0" w:color="002060"/>
            </w:tcBorders>
            <w:shd w:val="clear" w:color="auto" w:fill="002060"/>
            <w:vAlign w:val="center"/>
          </w:tcPr>
          <w:p w14:paraId="40854A5C" w14:textId="77777777" w:rsidR="007B600F" w:rsidRPr="000F54B7" w:rsidRDefault="007B600F" w:rsidP="007B600F">
            <w:pPr>
              <w:spacing w:before="0" w:after="0" w:line="240" w:lineRule="auto"/>
              <w:contextualSpacing w:val="0"/>
              <w:jc w:val="center"/>
              <w:rPr>
                <w:rFonts w:ascii="Andes" w:hAnsi="Andes" w:cs="Arial"/>
                <w:b/>
                <w:bCs/>
                <w:color w:val="FFFFFF" w:themeColor="background1"/>
                <w:szCs w:val="22"/>
              </w:rPr>
            </w:pPr>
            <w:r>
              <w:rPr>
                <w:rFonts w:ascii="Andes" w:hAnsi="Andes" w:cs="Arial"/>
                <w:b/>
                <w:bCs/>
                <w:color w:val="FFFFFF" w:themeColor="background1"/>
                <w:sz w:val="22"/>
                <w:szCs w:val="22"/>
              </w:rPr>
              <w:t xml:space="preserve">Options </w:t>
            </w:r>
            <w:r w:rsidRPr="000F54B7">
              <w:rPr>
                <w:rFonts w:ascii="Andes" w:hAnsi="Andes" w:cs="Arial"/>
                <w:b/>
                <w:bCs/>
                <w:color w:val="FFFFFF" w:themeColor="background1"/>
                <w:sz w:val="22"/>
                <w:szCs w:val="22"/>
              </w:rPr>
              <w:t>de recherche de fournisseurs</w:t>
            </w:r>
          </w:p>
        </w:tc>
      </w:tr>
      <w:tr w:rsidR="00E76B76" w:rsidRPr="000F54B7" w14:paraId="27279E73" w14:textId="77777777" w:rsidTr="00C034F4">
        <w:trPr>
          <w:cantSplit/>
          <w:trHeight w:val="707"/>
        </w:trPr>
        <w:tc>
          <w:tcPr>
            <w:tcW w:w="1220" w:type="pct"/>
            <w:tcBorders>
              <w:top w:val="single" w:sz="12" w:space="0" w:color="002060"/>
              <w:left w:val="single" w:sz="12" w:space="0" w:color="002060"/>
              <w:bottom w:val="single" w:sz="12" w:space="0" w:color="002060"/>
              <w:right w:val="single" w:sz="12" w:space="0" w:color="FFFFFF" w:themeColor="background1"/>
            </w:tcBorders>
            <w:shd w:val="clear" w:color="auto" w:fill="002060"/>
            <w:vAlign w:val="center"/>
          </w:tcPr>
          <w:p w14:paraId="2BA44B04" w14:textId="77777777" w:rsidR="007B600F" w:rsidRPr="000F54B7" w:rsidRDefault="007B600F" w:rsidP="007B600F">
            <w:pPr>
              <w:spacing w:before="0" w:after="0" w:line="240" w:lineRule="auto"/>
              <w:jc w:val="center"/>
              <w:rPr>
                <w:rFonts w:ascii="Andes" w:hAnsi="Andes" w:cs="Arial"/>
                <w:b/>
                <w:bCs/>
                <w:color w:val="FFFFFF" w:themeColor="background1"/>
                <w:szCs w:val="22"/>
              </w:rPr>
            </w:pPr>
            <w:r w:rsidRPr="000F54B7">
              <w:rPr>
                <w:rFonts w:ascii="Andes" w:hAnsi="Andes" w:cs="Arial"/>
                <w:b/>
                <w:bCs/>
                <w:color w:val="FFFFFF" w:themeColor="background1"/>
                <w:sz w:val="22"/>
                <w:szCs w:val="22"/>
              </w:rPr>
              <w:t>Méthodes et modalités de sélection agréées</w:t>
            </w:r>
          </w:p>
        </w:tc>
        <w:tc>
          <w:tcPr>
            <w:tcW w:w="297" w:type="pct"/>
            <w:tcBorders>
              <w:top w:val="single" w:sz="12" w:space="0" w:color="FFFFFF" w:themeColor="background1"/>
              <w:left w:val="single" w:sz="12" w:space="0" w:color="FFFFFF" w:themeColor="background1"/>
              <w:bottom w:val="single" w:sz="12" w:space="0" w:color="002060"/>
              <w:right w:val="single" w:sz="12" w:space="0" w:color="FFFFFF" w:themeColor="background1"/>
            </w:tcBorders>
            <w:shd w:val="clear" w:color="auto" w:fill="C45911"/>
            <w:vAlign w:val="center"/>
          </w:tcPr>
          <w:p w14:paraId="58DEAED8" w14:textId="77777777" w:rsidR="007B600F" w:rsidRPr="00E76B76" w:rsidRDefault="007B600F" w:rsidP="007B600F">
            <w:pPr>
              <w:spacing w:before="0" w:after="0" w:line="240" w:lineRule="auto"/>
              <w:contextualSpacing w:val="0"/>
              <w:jc w:val="center"/>
              <w:rPr>
                <w:rFonts w:ascii="Andes" w:hAnsi="Andes" w:cs="Arial"/>
                <w:b/>
                <w:bCs/>
                <w:color w:val="FFFFFF" w:themeColor="background1"/>
                <w:sz w:val="16"/>
                <w:szCs w:val="16"/>
              </w:rPr>
            </w:pPr>
            <w:r w:rsidRPr="00E76B76">
              <w:rPr>
                <w:rFonts w:ascii="Andes" w:hAnsi="Andes" w:cs="Arial"/>
                <w:b/>
                <w:bCs/>
                <w:color w:val="FFFFFF" w:themeColor="background1"/>
                <w:sz w:val="16"/>
                <w:szCs w:val="16"/>
              </w:rPr>
              <w:t>Ouverte</w:t>
            </w:r>
          </w:p>
        </w:tc>
        <w:tc>
          <w:tcPr>
            <w:tcW w:w="385" w:type="pct"/>
            <w:tcBorders>
              <w:top w:val="single" w:sz="12" w:space="0" w:color="FFFFFF" w:themeColor="background1"/>
              <w:left w:val="single" w:sz="12" w:space="0" w:color="FFFFFF" w:themeColor="background1"/>
              <w:bottom w:val="single" w:sz="12" w:space="0" w:color="002060"/>
              <w:right w:val="single" w:sz="12" w:space="0" w:color="FFFFFF" w:themeColor="background1"/>
            </w:tcBorders>
            <w:shd w:val="clear" w:color="auto" w:fill="C45911"/>
            <w:vAlign w:val="center"/>
          </w:tcPr>
          <w:p w14:paraId="71E67EDD" w14:textId="77777777" w:rsidR="007B600F" w:rsidRPr="00E76B76" w:rsidRDefault="007B600F" w:rsidP="007B600F">
            <w:pPr>
              <w:spacing w:before="0" w:after="0" w:line="240" w:lineRule="auto"/>
              <w:contextualSpacing w:val="0"/>
              <w:jc w:val="center"/>
              <w:rPr>
                <w:rFonts w:ascii="Andes" w:hAnsi="Andes" w:cs="Arial"/>
                <w:b/>
                <w:bCs/>
                <w:color w:val="FFFFFF" w:themeColor="background1"/>
                <w:sz w:val="16"/>
                <w:szCs w:val="16"/>
              </w:rPr>
            </w:pPr>
            <w:r w:rsidRPr="00E76B76">
              <w:rPr>
                <w:rFonts w:ascii="Andes" w:hAnsi="Andes" w:cs="Arial"/>
                <w:b/>
                <w:bCs/>
                <w:color w:val="FFFFFF" w:themeColor="background1"/>
                <w:sz w:val="16"/>
                <w:szCs w:val="16"/>
              </w:rPr>
              <w:t>Restreinte</w:t>
            </w:r>
          </w:p>
        </w:tc>
        <w:tc>
          <w:tcPr>
            <w:tcW w:w="266" w:type="pct"/>
            <w:tcBorders>
              <w:top w:val="single" w:sz="12" w:space="0" w:color="FFFFFF" w:themeColor="background1"/>
              <w:left w:val="single" w:sz="12" w:space="0" w:color="FFFFFF" w:themeColor="background1"/>
              <w:bottom w:val="single" w:sz="12" w:space="0" w:color="002060"/>
              <w:right w:val="single" w:sz="12" w:space="0" w:color="FFFFFF" w:themeColor="background1"/>
            </w:tcBorders>
            <w:shd w:val="clear" w:color="auto" w:fill="C45911"/>
            <w:vAlign w:val="center"/>
          </w:tcPr>
          <w:p w14:paraId="329DE1CB" w14:textId="77777777" w:rsidR="007B600F" w:rsidRPr="00E76B76" w:rsidRDefault="007B600F" w:rsidP="007B600F">
            <w:pPr>
              <w:spacing w:before="0" w:after="0" w:line="240" w:lineRule="auto"/>
              <w:contextualSpacing w:val="0"/>
              <w:jc w:val="center"/>
              <w:rPr>
                <w:rFonts w:ascii="Andes" w:hAnsi="Andes" w:cs="Arial"/>
                <w:b/>
                <w:bCs/>
                <w:color w:val="FFFFFF" w:themeColor="background1"/>
                <w:sz w:val="16"/>
                <w:szCs w:val="16"/>
              </w:rPr>
            </w:pPr>
            <w:r w:rsidRPr="00E76B76">
              <w:rPr>
                <w:rFonts w:ascii="Andes" w:hAnsi="Andes" w:cs="Arial"/>
                <w:b/>
                <w:bCs/>
                <w:color w:val="FFFFFF" w:themeColor="background1"/>
                <w:sz w:val="16"/>
                <w:szCs w:val="16"/>
              </w:rPr>
              <w:t>Directe</w:t>
            </w:r>
          </w:p>
        </w:tc>
        <w:tc>
          <w:tcPr>
            <w:tcW w:w="415" w:type="pct"/>
            <w:tcBorders>
              <w:top w:val="single" w:sz="12" w:space="0" w:color="FFFFFF" w:themeColor="background1"/>
              <w:left w:val="single" w:sz="12" w:space="0" w:color="FFFFFF" w:themeColor="background1"/>
              <w:bottom w:val="single" w:sz="12" w:space="0" w:color="002060"/>
              <w:right w:val="single" w:sz="12" w:space="0" w:color="FFFFFF" w:themeColor="background1"/>
            </w:tcBorders>
            <w:shd w:val="clear" w:color="auto" w:fill="C45911"/>
            <w:vAlign w:val="center"/>
          </w:tcPr>
          <w:p w14:paraId="6DEBE5CF" w14:textId="77777777" w:rsidR="007B600F" w:rsidRPr="00E76B76" w:rsidRDefault="007B600F" w:rsidP="007B600F">
            <w:pPr>
              <w:spacing w:before="0" w:after="0" w:line="240" w:lineRule="auto"/>
              <w:contextualSpacing w:val="0"/>
              <w:jc w:val="center"/>
              <w:rPr>
                <w:rFonts w:ascii="Andes" w:hAnsi="Andes" w:cs="Arial"/>
                <w:b/>
                <w:bCs/>
                <w:color w:val="FFFFFF" w:themeColor="background1"/>
                <w:sz w:val="16"/>
                <w:szCs w:val="16"/>
              </w:rPr>
            </w:pPr>
            <w:r w:rsidRPr="00E76B76">
              <w:rPr>
                <w:rFonts w:ascii="Andes" w:hAnsi="Andes" w:cs="Arial"/>
                <w:b/>
                <w:bCs/>
                <w:color w:val="FFFFFF" w:themeColor="background1"/>
                <w:sz w:val="16"/>
                <w:szCs w:val="16"/>
              </w:rPr>
              <w:t>Internationale</w:t>
            </w:r>
          </w:p>
        </w:tc>
        <w:tc>
          <w:tcPr>
            <w:tcW w:w="326" w:type="pct"/>
            <w:tcBorders>
              <w:top w:val="single" w:sz="12" w:space="0" w:color="FFFFFF" w:themeColor="background1"/>
              <w:left w:val="single" w:sz="12" w:space="0" w:color="FFFFFF" w:themeColor="background1"/>
              <w:bottom w:val="single" w:sz="12" w:space="0" w:color="002060"/>
              <w:right w:val="single" w:sz="12" w:space="0" w:color="FFFFFF" w:themeColor="background1"/>
            </w:tcBorders>
            <w:shd w:val="clear" w:color="auto" w:fill="C45911"/>
            <w:noWrap/>
            <w:vAlign w:val="center"/>
          </w:tcPr>
          <w:p w14:paraId="0DDC37D4" w14:textId="77777777" w:rsidR="007B600F" w:rsidRPr="00E76B76" w:rsidRDefault="007B600F" w:rsidP="007B600F">
            <w:pPr>
              <w:spacing w:before="0" w:after="0" w:line="240" w:lineRule="auto"/>
              <w:contextualSpacing w:val="0"/>
              <w:jc w:val="center"/>
              <w:rPr>
                <w:rFonts w:ascii="Andes" w:hAnsi="Andes" w:cs="Arial"/>
                <w:b/>
                <w:bCs/>
                <w:color w:val="FFFFFF" w:themeColor="background1"/>
                <w:sz w:val="16"/>
                <w:szCs w:val="16"/>
              </w:rPr>
            </w:pPr>
            <w:r w:rsidRPr="00E76B76">
              <w:rPr>
                <w:rFonts w:ascii="Andes" w:hAnsi="Andes" w:cs="Arial"/>
                <w:b/>
                <w:bCs/>
                <w:color w:val="FFFFFF" w:themeColor="background1"/>
                <w:sz w:val="16"/>
                <w:szCs w:val="16"/>
              </w:rPr>
              <w:t>Nationale</w:t>
            </w:r>
          </w:p>
        </w:tc>
        <w:tc>
          <w:tcPr>
            <w:tcW w:w="326" w:type="pct"/>
            <w:tcBorders>
              <w:top w:val="single" w:sz="12" w:space="0" w:color="FFFFFF" w:themeColor="background1"/>
              <w:left w:val="single" w:sz="12" w:space="0" w:color="FFFFFF" w:themeColor="background1"/>
              <w:bottom w:val="single" w:sz="12" w:space="0" w:color="002060"/>
              <w:right w:val="single" w:sz="12" w:space="0" w:color="FFFFFF" w:themeColor="background1"/>
            </w:tcBorders>
            <w:shd w:val="clear" w:color="auto" w:fill="C45911"/>
            <w:vAlign w:val="center"/>
          </w:tcPr>
          <w:p w14:paraId="54567CC8" w14:textId="77777777" w:rsidR="007B600F" w:rsidRPr="00E76B76" w:rsidRDefault="007B600F" w:rsidP="007B600F">
            <w:pPr>
              <w:spacing w:before="0" w:after="0" w:line="240" w:lineRule="auto"/>
              <w:contextualSpacing w:val="0"/>
              <w:jc w:val="center"/>
              <w:rPr>
                <w:rFonts w:ascii="Andes" w:hAnsi="Andes" w:cs="Arial"/>
                <w:b/>
                <w:bCs/>
                <w:color w:val="FFFFFF" w:themeColor="background1"/>
                <w:sz w:val="16"/>
                <w:szCs w:val="16"/>
              </w:rPr>
            </w:pPr>
            <w:r w:rsidRPr="00E76B76">
              <w:rPr>
                <w:rFonts w:ascii="Andes" w:hAnsi="Andes" w:cs="Arial"/>
                <w:b/>
                <w:bCs/>
                <w:color w:val="FFFFFF" w:themeColor="background1"/>
                <w:sz w:val="16"/>
                <w:szCs w:val="16"/>
              </w:rPr>
              <w:t>PQ</w:t>
            </w:r>
          </w:p>
        </w:tc>
        <w:tc>
          <w:tcPr>
            <w:tcW w:w="267" w:type="pct"/>
            <w:tcBorders>
              <w:top w:val="single" w:sz="12" w:space="0" w:color="FFFFFF" w:themeColor="background1"/>
              <w:left w:val="single" w:sz="12" w:space="0" w:color="FFFFFF" w:themeColor="background1"/>
              <w:bottom w:val="single" w:sz="12" w:space="0" w:color="002060"/>
              <w:right w:val="single" w:sz="12" w:space="0" w:color="FFFFFF" w:themeColor="background1"/>
            </w:tcBorders>
            <w:shd w:val="clear" w:color="auto" w:fill="C45911"/>
            <w:vAlign w:val="center"/>
          </w:tcPr>
          <w:p w14:paraId="14FDEA69" w14:textId="77777777" w:rsidR="007B600F" w:rsidRPr="00E76B76" w:rsidRDefault="007B600F" w:rsidP="007B600F">
            <w:pPr>
              <w:spacing w:before="0" w:after="0" w:line="240" w:lineRule="auto"/>
              <w:contextualSpacing w:val="0"/>
              <w:jc w:val="center"/>
              <w:rPr>
                <w:rFonts w:ascii="Andes" w:hAnsi="Andes" w:cs="Arial"/>
                <w:b/>
                <w:bCs/>
                <w:color w:val="FFFFFF" w:themeColor="background1"/>
                <w:sz w:val="16"/>
                <w:szCs w:val="16"/>
              </w:rPr>
            </w:pPr>
            <w:r w:rsidRPr="00E76B76">
              <w:rPr>
                <w:rFonts w:ascii="Andes" w:hAnsi="Andes" w:cs="Arial"/>
                <w:b/>
                <w:bCs/>
                <w:color w:val="FFFFFF" w:themeColor="background1"/>
                <w:sz w:val="16"/>
                <w:szCs w:val="16"/>
              </w:rPr>
              <w:t>SI</w:t>
            </w:r>
          </w:p>
        </w:tc>
        <w:tc>
          <w:tcPr>
            <w:tcW w:w="266" w:type="pct"/>
            <w:tcBorders>
              <w:top w:val="single" w:sz="12" w:space="0" w:color="FFFFFF" w:themeColor="background1"/>
              <w:left w:val="single" w:sz="12" w:space="0" w:color="FFFFFF" w:themeColor="background1"/>
              <w:bottom w:val="single" w:sz="12" w:space="0" w:color="002060"/>
              <w:right w:val="single" w:sz="12" w:space="0" w:color="FFFFFF" w:themeColor="background1"/>
            </w:tcBorders>
            <w:shd w:val="clear" w:color="auto" w:fill="C45911"/>
            <w:vAlign w:val="center"/>
          </w:tcPr>
          <w:p w14:paraId="6C168B3E" w14:textId="77777777" w:rsidR="007B600F" w:rsidRPr="00E76B76" w:rsidRDefault="007B600F" w:rsidP="007B600F">
            <w:pPr>
              <w:spacing w:before="0" w:after="0" w:line="240" w:lineRule="auto"/>
              <w:contextualSpacing w:val="0"/>
              <w:jc w:val="center"/>
              <w:rPr>
                <w:rFonts w:ascii="Andes" w:hAnsi="Andes" w:cs="Arial"/>
                <w:b/>
                <w:bCs/>
                <w:color w:val="FFFFFF" w:themeColor="background1"/>
                <w:sz w:val="16"/>
                <w:szCs w:val="16"/>
              </w:rPr>
            </w:pPr>
            <w:r w:rsidRPr="00E76B76">
              <w:rPr>
                <w:rFonts w:ascii="Andes" w:hAnsi="Andes" w:cs="Arial"/>
                <w:b/>
                <w:bCs/>
                <w:color w:val="FFFFFF" w:themeColor="background1"/>
                <w:sz w:val="16"/>
                <w:szCs w:val="16"/>
              </w:rPr>
              <w:t>Une étape</w:t>
            </w:r>
          </w:p>
        </w:tc>
        <w:tc>
          <w:tcPr>
            <w:tcW w:w="297" w:type="pct"/>
            <w:tcBorders>
              <w:top w:val="single" w:sz="12" w:space="0" w:color="FFFFFF" w:themeColor="background1"/>
              <w:left w:val="single" w:sz="12" w:space="0" w:color="FFFFFF" w:themeColor="background1"/>
              <w:bottom w:val="single" w:sz="12" w:space="0" w:color="002060"/>
              <w:right w:val="single" w:sz="12" w:space="0" w:color="FFFFFF" w:themeColor="background1"/>
            </w:tcBorders>
            <w:shd w:val="clear" w:color="auto" w:fill="C45911"/>
            <w:vAlign w:val="center"/>
          </w:tcPr>
          <w:p w14:paraId="37E8C634" w14:textId="77777777" w:rsidR="007B600F" w:rsidRPr="00E76B76" w:rsidRDefault="007B600F" w:rsidP="007B600F">
            <w:pPr>
              <w:spacing w:before="0" w:after="0" w:line="240" w:lineRule="auto"/>
              <w:contextualSpacing w:val="0"/>
              <w:jc w:val="center"/>
              <w:rPr>
                <w:rFonts w:ascii="Andes" w:hAnsi="Andes" w:cs="Arial"/>
                <w:b/>
                <w:bCs/>
                <w:color w:val="FFFFFF" w:themeColor="background1"/>
                <w:sz w:val="16"/>
                <w:szCs w:val="16"/>
              </w:rPr>
            </w:pPr>
            <w:r w:rsidRPr="00E76B76">
              <w:rPr>
                <w:rFonts w:ascii="Andes" w:hAnsi="Andes" w:cs="Arial"/>
                <w:b/>
                <w:bCs/>
                <w:color w:val="FFFFFF" w:themeColor="background1"/>
                <w:sz w:val="16"/>
                <w:szCs w:val="16"/>
              </w:rPr>
              <w:t>Plusieurs étapes</w:t>
            </w:r>
          </w:p>
        </w:tc>
        <w:tc>
          <w:tcPr>
            <w:tcW w:w="207" w:type="pct"/>
            <w:tcBorders>
              <w:top w:val="single" w:sz="12" w:space="0" w:color="FFFFFF" w:themeColor="background1"/>
              <w:left w:val="single" w:sz="12" w:space="0" w:color="FFFFFF" w:themeColor="background1"/>
              <w:bottom w:val="single" w:sz="12" w:space="0" w:color="002060"/>
              <w:right w:val="single" w:sz="12" w:space="0" w:color="FFFFFF" w:themeColor="background1"/>
            </w:tcBorders>
            <w:shd w:val="clear" w:color="auto" w:fill="C45911"/>
            <w:vAlign w:val="center"/>
          </w:tcPr>
          <w:p w14:paraId="78089C51" w14:textId="77777777" w:rsidR="007B600F" w:rsidRPr="00E76B76" w:rsidRDefault="007B600F" w:rsidP="007B600F">
            <w:pPr>
              <w:spacing w:before="0" w:after="0" w:line="240" w:lineRule="auto"/>
              <w:contextualSpacing w:val="0"/>
              <w:jc w:val="center"/>
              <w:rPr>
                <w:rFonts w:ascii="Andes" w:hAnsi="Andes" w:cs="Arial"/>
                <w:b/>
                <w:bCs/>
                <w:color w:val="FFFFFF" w:themeColor="background1"/>
                <w:sz w:val="16"/>
                <w:szCs w:val="16"/>
              </w:rPr>
            </w:pPr>
          </w:p>
          <w:p w14:paraId="7D61D10C" w14:textId="77777777" w:rsidR="007B600F" w:rsidRPr="00E76B76" w:rsidRDefault="007B600F" w:rsidP="007B600F">
            <w:pPr>
              <w:spacing w:before="0" w:after="0" w:line="240" w:lineRule="auto"/>
              <w:contextualSpacing w:val="0"/>
              <w:jc w:val="center"/>
              <w:rPr>
                <w:rFonts w:ascii="Andes" w:hAnsi="Andes" w:cs="Arial"/>
                <w:b/>
                <w:bCs/>
                <w:color w:val="FFFFFF" w:themeColor="background1"/>
                <w:sz w:val="16"/>
                <w:szCs w:val="16"/>
              </w:rPr>
            </w:pPr>
            <w:r w:rsidRPr="00E76B76">
              <w:rPr>
                <w:rFonts w:ascii="Andes" w:hAnsi="Andes" w:cs="Arial"/>
                <w:b/>
                <w:bCs/>
                <w:color w:val="FFFFFF" w:themeColor="background1"/>
                <w:sz w:val="16"/>
                <w:szCs w:val="16"/>
              </w:rPr>
              <w:t>MOF</w:t>
            </w:r>
          </w:p>
          <w:p w14:paraId="2C9DC2DB" w14:textId="77777777" w:rsidR="007B600F" w:rsidRPr="00E76B76" w:rsidRDefault="007B600F" w:rsidP="007B600F">
            <w:pPr>
              <w:spacing w:before="0" w:after="0" w:line="240" w:lineRule="auto"/>
              <w:ind w:left="720"/>
              <w:jc w:val="center"/>
              <w:rPr>
                <w:rFonts w:ascii="Andes" w:hAnsi="Andes" w:cs="Arial"/>
                <w:b/>
                <w:bCs/>
                <w:color w:val="FFFFFF" w:themeColor="background1"/>
                <w:sz w:val="16"/>
                <w:szCs w:val="16"/>
              </w:rPr>
            </w:pPr>
          </w:p>
        </w:tc>
        <w:tc>
          <w:tcPr>
            <w:tcW w:w="327" w:type="pct"/>
            <w:tcBorders>
              <w:top w:val="single" w:sz="12" w:space="0" w:color="FFFFFF" w:themeColor="background1"/>
              <w:left w:val="single" w:sz="12" w:space="0" w:color="FFFFFF" w:themeColor="background1"/>
              <w:bottom w:val="single" w:sz="12" w:space="0" w:color="002060"/>
              <w:right w:val="single" w:sz="12" w:space="0" w:color="FFFFFF" w:themeColor="background1"/>
            </w:tcBorders>
            <w:shd w:val="clear" w:color="auto" w:fill="C45911"/>
            <w:vAlign w:val="center"/>
          </w:tcPr>
          <w:p w14:paraId="3B490B06" w14:textId="77777777" w:rsidR="007B600F" w:rsidRPr="00E76B76" w:rsidRDefault="007B600F" w:rsidP="007B600F">
            <w:pPr>
              <w:spacing w:before="0" w:after="0" w:line="240" w:lineRule="auto"/>
              <w:ind w:left="-111" w:right="-71" w:firstLine="3"/>
              <w:jc w:val="center"/>
              <w:rPr>
                <w:rFonts w:ascii="Andes" w:hAnsi="Andes" w:cs="Arial"/>
                <w:b/>
                <w:bCs/>
                <w:color w:val="FFFFFF" w:themeColor="background1"/>
                <w:sz w:val="16"/>
                <w:szCs w:val="16"/>
              </w:rPr>
            </w:pPr>
            <w:r w:rsidRPr="00E76B76">
              <w:rPr>
                <w:rFonts w:ascii="Andes" w:hAnsi="Andes" w:cs="Arial"/>
                <w:b/>
                <w:bCs/>
                <w:color w:val="FFFFFF" w:themeColor="background1"/>
                <w:sz w:val="16"/>
                <w:szCs w:val="16"/>
              </w:rPr>
              <w:t>Négociation</w:t>
            </w:r>
          </w:p>
        </w:tc>
        <w:tc>
          <w:tcPr>
            <w:tcW w:w="401" w:type="pct"/>
            <w:tcBorders>
              <w:top w:val="single" w:sz="12" w:space="0" w:color="FFFFFF" w:themeColor="background1"/>
              <w:left w:val="single" w:sz="12" w:space="0" w:color="FFFFFF" w:themeColor="background1"/>
              <w:bottom w:val="single" w:sz="12" w:space="0" w:color="002060"/>
              <w:right w:val="single" w:sz="12" w:space="0" w:color="002060"/>
            </w:tcBorders>
            <w:shd w:val="clear" w:color="auto" w:fill="C45911"/>
            <w:vAlign w:val="center"/>
          </w:tcPr>
          <w:p w14:paraId="7C38B93F" w14:textId="77777777" w:rsidR="007B600F" w:rsidRPr="00E76B76" w:rsidRDefault="007B600F" w:rsidP="007B600F">
            <w:pPr>
              <w:spacing w:before="0" w:after="0" w:line="240" w:lineRule="auto"/>
              <w:contextualSpacing w:val="0"/>
              <w:jc w:val="center"/>
              <w:rPr>
                <w:rFonts w:ascii="Andes" w:hAnsi="Andes" w:cs="Arial"/>
                <w:b/>
                <w:bCs/>
                <w:color w:val="FFFFFF" w:themeColor="background1"/>
                <w:sz w:val="16"/>
                <w:szCs w:val="16"/>
              </w:rPr>
            </w:pPr>
            <w:r w:rsidRPr="00E76B76">
              <w:rPr>
                <w:rFonts w:ascii="Andes" w:hAnsi="Andes" w:cs="Arial"/>
                <w:b/>
                <w:bCs/>
                <w:color w:val="FFFFFF" w:themeColor="background1"/>
                <w:sz w:val="16"/>
                <w:szCs w:val="16"/>
              </w:rPr>
              <w:t>Critères notés</w:t>
            </w:r>
          </w:p>
        </w:tc>
      </w:tr>
      <w:tr w:rsidR="00E76B76" w:rsidRPr="000F54B7" w14:paraId="238DCB36" w14:textId="77777777" w:rsidTr="00E76B76">
        <w:trPr>
          <w:trHeight w:val="300"/>
        </w:trPr>
        <w:tc>
          <w:tcPr>
            <w:tcW w:w="1220" w:type="pct"/>
            <w:tcBorders>
              <w:top w:val="single" w:sz="12" w:space="0" w:color="002060"/>
              <w:left w:val="single" w:sz="12" w:space="0" w:color="002060"/>
              <w:bottom w:val="single" w:sz="12" w:space="0" w:color="002060"/>
              <w:right w:val="single" w:sz="4" w:space="0" w:color="auto"/>
            </w:tcBorders>
            <w:shd w:val="clear" w:color="auto" w:fill="D9D9D9" w:themeFill="background1" w:themeFillShade="D9"/>
            <w:noWrap/>
            <w:vAlign w:val="center"/>
          </w:tcPr>
          <w:p w14:paraId="35F65F4B" w14:textId="77777777" w:rsidR="007B600F" w:rsidRPr="000F54B7" w:rsidRDefault="007B600F" w:rsidP="007B600F">
            <w:pPr>
              <w:spacing w:line="240" w:lineRule="auto"/>
              <w:ind w:left="720" w:hanging="720"/>
              <w:contextualSpacing w:val="0"/>
              <w:jc w:val="left"/>
              <w:rPr>
                <w:rFonts w:ascii="Andes" w:hAnsi="Andes" w:cs="Arial"/>
                <w:b/>
                <w:bCs/>
                <w:color w:val="000000"/>
                <w:szCs w:val="22"/>
              </w:rPr>
            </w:pPr>
            <w:r w:rsidRPr="000F54B7">
              <w:rPr>
                <w:rFonts w:ascii="Andes" w:hAnsi="Andes" w:cs="Arial"/>
                <w:b/>
                <w:bCs/>
                <w:color w:val="000000"/>
                <w:sz w:val="22"/>
                <w:szCs w:val="22"/>
              </w:rPr>
              <w:t xml:space="preserve">Méthodes de sélection </w:t>
            </w:r>
          </w:p>
        </w:tc>
        <w:tc>
          <w:tcPr>
            <w:tcW w:w="297" w:type="pct"/>
            <w:tcBorders>
              <w:top w:val="single" w:sz="12" w:space="0" w:color="002060"/>
              <w:left w:val="single" w:sz="4" w:space="0" w:color="auto"/>
              <w:bottom w:val="single" w:sz="12" w:space="0" w:color="002060"/>
            </w:tcBorders>
            <w:shd w:val="clear" w:color="auto" w:fill="D9D9D9" w:themeFill="background1" w:themeFillShade="D9"/>
            <w:noWrap/>
            <w:vAlign w:val="center"/>
          </w:tcPr>
          <w:p w14:paraId="47B29EF5" w14:textId="77777777" w:rsidR="007B600F" w:rsidRPr="000F54B7" w:rsidRDefault="007B600F" w:rsidP="007B600F">
            <w:pPr>
              <w:spacing w:before="0" w:after="0" w:line="240" w:lineRule="auto"/>
              <w:contextualSpacing w:val="0"/>
              <w:jc w:val="left"/>
              <w:rPr>
                <w:rFonts w:ascii="Andes" w:hAnsi="Andes" w:cs="Arial"/>
                <w:b/>
                <w:bCs/>
                <w:color w:val="000000"/>
                <w:sz w:val="20"/>
              </w:rPr>
            </w:pPr>
            <w:r w:rsidRPr="000F54B7">
              <w:rPr>
                <w:rFonts w:ascii="Calibri" w:hAnsi="Calibri" w:cs="Calibri"/>
                <w:b/>
                <w:bCs/>
                <w:color w:val="000000"/>
                <w:sz w:val="20"/>
              </w:rPr>
              <w:t> </w:t>
            </w:r>
          </w:p>
        </w:tc>
        <w:tc>
          <w:tcPr>
            <w:tcW w:w="385" w:type="pct"/>
            <w:tcBorders>
              <w:top w:val="single" w:sz="12" w:space="0" w:color="002060"/>
              <w:bottom w:val="single" w:sz="12" w:space="0" w:color="002060"/>
            </w:tcBorders>
            <w:shd w:val="clear" w:color="auto" w:fill="D9D9D9" w:themeFill="background1" w:themeFillShade="D9"/>
            <w:noWrap/>
            <w:vAlign w:val="center"/>
          </w:tcPr>
          <w:p w14:paraId="2A88E742" w14:textId="77777777" w:rsidR="007B600F" w:rsidRPr="000F54B7" w:rsidRDefault="007B600F" w:rsidP="007B600F">
            <w:pPr>
              <w:spacing w:before="0" w:after="0" w:line="240" w:lineRule="auto"/>
              <w:contextualSpacing w:val="0"/>
              <w:jc w:val="left"/>
              <w:rPr>
                <w:rFonts w:ascii="Andes" w:hAnsi="Andes" w:cs="Arial"/>
                <w:b/>
                <w:bCs/>
                <w:color w:val="000000"/>
                <w:sz w:val="20"/>
              </w:rPr>
            </w:pPr>
          </w:p>
        </w:tc>
        <w:tc>
          <w:tcPr>
            <w:tcW w:w="3098" w:type="pct"/>
            <w:gridSpan w:val="10"/>
            <w:tcBorders>
              <w:top w:val="single" w:sz="12" w:space="0" w:color="002060"/>
              <w:bottom w:val="single" w:sz="12" w:space="0" w:color="002060"/>
            </w:tcBorders>
            <w:shd w:val="clear" w:color="auto" w:fill="D9D9D9" w:themeFill="background1" w:themeFillShade="D9"/>
            <w:noWrap/>
            <w:vAlign w:val="center"/>
          </w:tcPr>
          <w:p w14:paraId="611CA90A" w14:textId="77777777" w:rsidR="007B600F" w:rsidRPr="000F54B7" w:rsidRDefault="007B600F" w:rsidP="007B600F">
            <w:pPr>
              <w:spacing w:before="0" w:after="0" w:line="240" w:lineRule="auto"/>
              <w:contextualSpacing w:val="0"/>
              <w:jc w:val="left"/>
              <w:rPr>
                <w:rFonts w:ascii="Andes" w:hAnsi="Andes" w:cs="Arial"/>
                <w:b/>
                <w:bCs/>
                <w:color w:val="000000"/>
                <w:sz w:val="20"/>
              </w:rPr>
            </w:pPr>
          </w:p>
        </w:tc>
      </w:tr>
      <w:tr w:rsidR="00E76B76" w:rsidRPr="000F54B7" w14:paraId="2A36BED5" w14:textId="77777777" w:rsidTr="00E76B76">
        <w:trPr>
          <w:trHeight w:val="300"/>
        </w:trPr>
        <w:tc>
          <w:tcPr>
            <w:tcW w:w="1220" w:type="pct"/>
            <w:tcBorders>
              <w:top w:val="single" w:sz="12" w:space="0" w:color="002060"/>
              <w:left w:val="single" w:sz="12" w:space="0" w:color="002060"/>
              <w:bottom w:val="single" w:sz="4" w:space="0" w:color="auto"/>
              <w:right w:val="single" w:sz="4" w:space="0" w:color="auto"/>
            </w:tcBorders>
            <w:shd w:val="clear" w:color="auto" w:fill="C45911"/>
            <w:noWrap/>
            <w:vAlign w:val="bottom"/>
          </w:tcPr>
          <w:p w14:paraId="11B9A3A6" w14:textId="77777777" w:rsidR="007B600F" w:rsidRPr="000F54B7" w:rsidRDefault="007B600F" w:rsidP="007B600F">
            <w:pPr>
              <w:spacing w:before="40" w:after="40" w:line="240" w:lineRule="auto"/>
              <w:contextualSpacing w:val="0"/>
              <w:jc w:val="left"/>
              <w:rPr>
                <w:rFonts w:ascii="Andes" w:hAnsi="Andes" w:cs="Arial"/>
                <w:color w:val="FFFFFF" w:themeColor="background1"/>
                <w:szCs w:val="24"/>
              </w:rPr>
            </w:pPr>
            <w:r w:rsidRPr="000F54B7">
              <w:rPr>
                <w:rFonts w:ascii="Andes" w:hAnsi="Andes" w:cs="Arial"/>
                <w:color w:val="FFFFFF" w:themeColor="background1"/>
                <w:szCs w:val="24"/>
              </w:rPr>
              <w:t>Appel à Propositions</w:t>
            </w:r>
          </w:p>
        </w:tc>
        <w:tc>
          <w:tcPr>
            <w:tcW w:w="297" w:type="pct"/>
            <w:tcBorders>
              <w:top w:val="single" w:sz="12" w:space="0" w:color="002060"/>
              <w:left w:val="single" w:sz="4" w:space="0" w:color="auto"/>
              <w:bottom w:val="single" w:sz="4" w:space="0" w:color="auto"/>
              <w:right w:val="single" w:sz="4" w:space="0" w:color="auto"/>
            </w:tcBorders>
            <w:shd w:val="clear" w:color="auto" w:fill="auto"/>
            <w:noWrap/>
            <w:vAlign w:val="center"/>
          </w:tcPr>
          <w:p w14:paraId="19C7C04B"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85" w:type="pct"/>
            <w:tcBorders>
              <w:top w:val="single" w:sz="12" w:space="0" w:color="002060"/>
              <w:left w:val="single" w:sz="4" w:space="0" w:color="auto"/>
              <w:bottom w:val="single" w:sz="4" w:space="0" w:color="auto"/>
              <w:right w:val="single" w:sz="4" w:space="0" w:color="auto"/>
            </w:tcBorders>
            <w:shd w:val="clear" w:color="auto" w:fill="auto"/>
            <w:noWrap/>
            <w:vAlign w:val="center"/>
          </w:tcPr>
          <w:p w14:paraId="1F28BE70"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66" w:type="pct"/>
            <w:tcBorders>
              <w:top w:val="single" w:sz="12" w:space="0" w:color="002060"/>
              <w:left w:val="single" w:sz="4" w:space="0" w:color="auto"/>
              <w:bottom w:val="single" w:sz="4" w:space="0" w:color="auto"/>
              <w:right w:val="single" w:sz="4" w:space="0" w:color="auto"/>
            </w:tcBorders>
            <w:shd w:val="clear" w:color="auto" w:fill="auto"/>
            <w:noWrap/>
            <w:vAlign w:val="center"/>
          </w:tcPr>
          <w:p w14:paraId="791E8336"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415" w:type="pct"/>
            <w:tcBorders>
              <w:top w:val="single" w:sz="12" w:space="0" w:color="002060"/>
              <w:left w:val="single" w:sz="4" w:space="0" w:color="auto"/>
              <w:bottom w:val="single" w:sz="4" w:space="0" w:color="auto"/>
              <w:right w:val="single" w:sz="4" w:space="0" w:color="auto"/>
            </w:tcBorders>
            <w:shd w:val="clear" w:color="auto" w:fill="auto"/>
            <w:noWrap/>
            <w:vAlign w:val="center"/>
          </w:tcPr>
          <w:p w14:paraId="229C951F"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12" w:space="0" w:color="002060"/>
              <w:left w:val="single" w:sz="4" w:space="0" w:color="auto"/>
              <w:bottom w:val="single" w:sz="4" w:space="0" w:color="auto"/>
              <w:right w:val="single" w:sz="4" w:space="0" w:color="auto"/>
            </w:tcBorders>
            <w:shd w:val="clear" w:color="auto" w:fill="auto"/>
            <w:noWrap/>
            <w:vAlign w:val="center"/>
          </w:tcPr>
          <w:p w14:paraId="6C118C51"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12" w:space="0" w:color="002060"/>
              <w:left w:val="single" w:sz="4" w:space="0" w:color="auto"/>
              <w:bottom w:val="single" w:sz="4" w:space="0" w:color="auto"/>
              <w:right w:val="single" w:sz="4" w:space="0" w:color="auto"/>
            </w:tcBorders>
            <w:shd w:val="clear" w:color="auto" w:fill="auto"/>
            <w:noWrap/>
            <w:vAlign w:val="center"/>
          </w:tcPr>
          <w:p w14:paraId="7840F942" w14:textId="77777777" w:rsidR="007B600F" w:rsidRPr="000F54B7" w:rsidRDefault="007B600F" w:rsidP="007B600F">
            <w:pPr>
              <w:spacing w:before="0" w:after="0" w:line="240" w:lineRule="auto"/>
              <w:contextualSpacing w:val="0"/>
              <w:jc w:val="center"/>
              <w:rPr>
                <w:rFonts w:ascii="Andes" w:hAnsi="Andes" w:cs="Arial"/>
                <w:bCs/>
                <w:color w:val="000000"/>
                <w:sz w:val="18"/>
                <w:szCs w:val="18"/>
              </w:rPr>
            </w:pPr>
            <w:r w:rsidRPr="000F54B7">
              <w:rPr>
                <w:rFonts w:ascii="Andes" w:hAnsi="Andes" w:cs="Arial"/>
                <w:b/>
                <w:bCs/>
                <w:color w:val="000000"/>
                <w:sz w:val="20"/>
              </w:rPr>
              <w:t>x</w:t>
            </w:r>
          </w:p>
        </w:tc>
        <w:tc>
          <w:tcPr>
            <w:tcW w:w="267" w:type="pct"/>
            <w:tcBorders>
              <w:top w:val="single" w:sz="12" w:space="0" w:color="002060"/>
              <w:left w:val="single" w:sz="4" w:space="0" w:color="auto"/>
              <w:bottom w:val="single" w:sz="4" w:space="0" w:color="auto"/>
              <w:right w:val="single" w:sz="4" w:space="0" w:color="auto"/>
            </w:tcBorders>
            <w:vAlign w:val="center"/>
          </w:tcPr>
          <w:p w14:paraId="6FA7404D" w14:textId="77777777" w:rsidR="007B600F" w:rsidRPr="000F54B7" w:rsidRDefault="007B600F" w:rsidP="007B600F">
            <w:pPr>
              <w:spacing w:before="0" w:after="0" w:line="240" w:lineRule="auto"/>
              <w:contextualSpacing w:val="0"/>
              <w:jc w:val="center"/>
              <w:rPr>
                <w:rFonts w:ascii="Andes" w:hAnsi="Andes" w:cs="Arial"/>
                <w:b/>
                <w:bCs/>
                <w:color w:val="000000"/>
                <w:sz w:val="18"/>
                <w:szCs w:val="18"/>
              </w:rPr>
            </w:pPr>
            <w:r>
              <w:rPr>
                <w:rFonts w:ascii="Andes" w:hAnsi="Andes" w:cs="Arial"/>
                <w:bCs/>
                <w:color w:val="000000"/>
                <w:sz w:val="18"/>
                <w:szCs w:val="18"/>
              </w:rPr>
              <w:t>normalement</w:t>
            </w:r>
          </w:p>
        </w:tc>
        <w:tc>
          <w:tcPr>
            <w:tcW w:w="266" w:type="pct"/>
            <w:tcBorders>
              <w:top w:val="single" w:sz="12" w:space="0" w:color="002060"/>
              <w:left w:val="single" w:sz="4" w:space="0" w:color="auto"/>
              <w:bottom w:val="single" w:sz="4" w:space="0" w:color="auto"/>
              <w:right w:val="single" w:sz="4" w:space="0" w:color="auto"/>
            </w:tcBorders>
            <w:shd w:val="clear" w:color="auto" w:fill="auto"/>
            <w:noWrap/>
            <w:vAlign w:val="center"/>
          </w:tcPr>
          <w:p w14:paraId="7E5AB664"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97" w:type="pct"/>
            <w:tcBorders>
              <w:top w:val="single" w:sz="12" w:space="0" w:color="002060"/>
              <w:left w:val="single" w:sz="4" w:space="0" w:color="auto"/>
              <w:bottom w:val="single" w:sz="4" w:space="0" w:color="auto"/>
              <w:right w:val="single" w:sz="4" w:space="0" w:color="auto"/>
            </w:tcBorders>
            <w:shd w:val="clear" w:color="auto" w:fill="auto"/>
            <w:noWrap/>
            <w:vAlign w:val="center"/>
          </w:tcPr>
          <w:p w14:paraId="7914143C"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06" w:type="pct"/>
            <w:tcBorders>
              <w:top w:val="single" w:sz="12" w:space="0" w:color="002060"/>
              <w:left w:val="single" w:sz="4" w:space="0" w:color="auto"/>
              <w:bottom w:val="single" w:sz="4" w:space="0" w:color="auto"/>
              <w:right w:val="single" w:sz="4" w:space="0" w:color="auto"/>
            </w:tcBorders>
            <w:shd w:val="clear" w:color="auto" w:fill="auto"/>
            <w:noWrap/>
            <w:vAlign w:val="center"/>
          </w:tcPr>
          <w:p w14:paraId="12593005" w14:textId="77777777" w:rsidR="007B600F" w:rsidRPr="000F54B7" w:rsidRDefault="007B600F" w:rsidP="007B600F">
            <w:pPr>
              <w:spacing w:before="0" w:after="0" w:line="240" w:lineRule="auto"/>
              <w:contextualSpacing w:val="0"/>
              <w:jc w:val="center"/>
              <w:rPr>
                <w:rFonts w:ascii="Andes" w:hAnsi="Andes" w:cs="Arial"/>
                <w:b/>
                <w:color w:val="000000"/>
                <w:sz w:val="20"/>
              </w:rPr>
            </w:pPr>
            <w:r w:rsidRPr="000F54B7">
              <w:rPr>
                <w:rFonts w:ascii="Andes" w:hAnsi="Andes" w:cs="Arial"/>
                <w:b/>
                <w:bCs/>
                <w:color w:val="000000"/>
                <w:sz w:val="20"/>
              </w:rPr>
              <w:sym w:font="Wingdings 2" w:char="F050"/>
            </w:r>
          </w:p>
        </w:tc>
        <w:tc>
          <w:tcPr>
            <w:tcW w:w="328" w:type="pct"/>
            <w:tcBorders>
              <w:top w:val="single" w:sz="12" w:space="0" w:color="002060"/>
              <w:left w:val="single" w:sz="4" w:space="0" w:color="auto"/>
              <w:bottom w:val="single" w:sz="4" w:space="0" w:color="auto"/>
              <w:right w:val="single" w:sz="4" w:space="0" w:color="auto"/>
            </w:tcBorders>
            <w:shd w:val="clear" w:color="auto" w:fill="auto"/>
            <w:noWrap/>
            <w:vAlign w:val="center"/>
          </w:tcPr>
          <w:p w14:paraId="0293EACA" w14:textId="77777777" w:rsidR="007B600F" w:rsidRPr="000F54B7" w:rsidRDefault="007B600F" w:rsidP="007B600F">
            <w:pPr>
              <w:spacing w:before="0" w:after="0" w:line="240" w:lineRule="auto"/>
              <w:contextualSpacing w:val="0"/>
              <w:jc w:val="center"/>
              <w:rPr>
                <w:rFonts w:ascii="Andes" w:hAnsi="Andes" w:cs="Arial"/>
                <w:b/>
                <w:color w:val="000000"/>
                <w:sz w:val="20"/>
              </w:rPr>
            </w:pPr>
            <w:r w:rsidRPr="000F54B7">
              <w:rPr>
                <w:rFonts w:ascii="Andes" w:hAnsi="Andes" w:cs="Arial"/>
                <w:b/>
                <w:bCs/>
                <w:color w:val="000000"/>
                <w:sz w:val="20"/>
              </w:rPr>
              <w:sym w:font="Wingdings 2" w:char="F050"/>
            </w:r>
            <w:r w:rsidRPr="000F54B7">
              <w:rPr>
                <w:rFonts w:ascii="Andes" w:hAnsi="Andes" w:cs="Arial"/>
                <w:b/>
                <w:bCs/>
                <w:color w:val="000000"/>
                <w:sz w:val="16"/>
                <w:szCs w:val="16"/>
              </w:rPr>
              <w:t>*</w:t>
            </w:r>
          </w:p>
        </w:tc>
        <w:tc>
          <w:tcPr>
            <w:tcW w:w="401" w:type="pct"/>
            <w:tcBorders>
              <w:top w:val="single" w:sz="12" w:space="0" w:color="002060"/>
              <w:left w:val="single" w:sz="4" w:space="0" w:color="auto"/>
              <w:bottom w:val="single" w:sz="4" w:space="0" w:color="auto"/>
              <w:right w:val="single" w:sz="12" w:space="0" w:color="002060"/>
            </w:tcBorders>
            <w:vAlign w:val="center"/>
          </w:tcPr>
          <w:p w14:paraId="7FA2F8FB" w14:textId="09B16166" w:rsidR="007B600F" w:rsidRPr="000F54B7" w:rsidRDefault="0086351F" w:rsidP="007B600F">
            <w:pPr>
              <w:spacing w:before="0" w:after="0" w:line="240" w:lineRule="auto"/>
              <w:contextualSpacing w:val="0"/>
              <w:jc w:val="center"/>
              <w:rPr>
                <w:rFonts w:ascii="Andes" w:hAnsi="Andes" w:cs="Arial"/>
                <w:color w:val="000000"/>
                <w:sz w:val="18"/>
                <w:szCs w:val="18"/>
              </w:rPr>
            </w:pPr>
            <w:r w:rsidRPr="000F54B7">
              <w:rPr>
                <w:rFonts w:ascii="Andes" w:hAnsi="Andes" w:cs="Arial"/>
                <w:b/>
                <w:bCs/>
                <w:color w:val="000000"/>
                <w:sz w:val="20"/>
              </w:rPr>
              <w:sym w:font="Wingdings 2" w:char="F050"/>
            </w:r>
            <w:r w:rsidRPr="000F54B7">
              <w:rPr>
                <w:rFonts w:ascii="Andes" w:hAnsi="Andes" w:cs="Arial"/>
                <w:b/>
                <w:bCs/>
                <w:color w:val="000000"/>
                <w:sz w:val="16"/>
                <w:szCs w:val="16"/>
              </w:rPr>
              <w:t>*</w:t>
            </w:r>
            <w:r w:rsidR="00B639CE" w:rsidRPr="000F54B7">
              <w:rPr>
                <w:rFonts w:ascii="Andes" w:hAnsi="Andes" w:cs="Arial"/>
                <w:b/>
                <w:bCs/>
                <w:color w:val="000000"/>
                <w:sz w:val="16"/>
                <w:szCs w:val="16"/>
              </w:rPr>
              <w:t>*</w:t>
            </w:r>
          </w:p>
        </w:tc>
      </w:tr>
      <w:tr w:rsidR="00E76B76" w:rsidRPr="000F54B7" w14:paraId="2B258E4F" w14:textId="77777777" w:rsidTr="00E76B76">
        <w:trPr>
          <w:trHeight w:val="300"/>
        </w:trPr>
        <w:tc>
          <w:tcPr>
            <w:tcW w:w="1220" w:type="pct"/>
            <w:tcBorders>
              <w:top w:val="single" w:sz="4" w:space="0" w:color="auto"/>
              <w:left w:val="single" w:sz="12" w:space="0" w:color="002060"/>
              <w:bottom w:val="single" w:sz="4" w:space="0" w:color="auto"/>
              <w:right w:val="single" w:sz="4" w:space="0" w:color="auto"/>
            </w:tcBorders>
            <w:shd w:val="clear" w:color="auto" w:fill="C45911"/>
            <w:noWrap/>
            <w:vAlign w:val="bottom"/>
          </w:tcPr>
          <w:p w14:paraId="1143AF59" w14:textId="77777777" w:rsidR="007B600F" w:rsidRPr="000F54B7" w:rsidRDefault="007B600F" w:rsidP="007B600F">
            <w:pPr>
              <w:spacing w:before="40" w:after="40" w:line="240" w:lineRule="auto"/>
              <w:contextualSpacing w:val="0"/>
              <w:jc w:val="left"/>
              <w:rPr>
                <w:rFonts w:ascii="Andes" w:hAnsi="Andes" w:cs="Arial"/>
                <w:color w:val="FFFFFF" w:themeColor="background1"/>
                <w:szCs w:val="24"/>
              </w:rPr>
            </w:pPr>
            <w:r w:rsidRPr="000F54B7">
              <w:rPr>
                <w:rFonts w:ascii="Andes" w:hAnsi="Andes" w:cs="Arial"/>
                <w:color w:val="FFFFFF" w:themeColor="background1"/>
                <w:szCs w:val="24"/>
              </w:rPr>
              <w:t>Appel d’Offres</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AAA51F"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8D9484"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876856"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BAAA06"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19688B"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CC7775" w14:textId="77777777" w:rsidR="007B600F" w:rsidRPr="000F54B7" w:rsidRDefault="007B600F" w:rsidP="007B600F">
            <w:pPr>
              <w:spacing w:before="0" w:after="0" w:line="240" w:lineRule="auto"/>
              <w:contextualSpacing w:val="0"/>
              <w:jc w:val="center"/>
              <w:rPr>
                <w:rFonts w:ascii="Andes" w:hAnsi="Andes" w:cs="Arial"/>
                <w:bCs/>
                <w:color w:val="000000"/>
                <w:sz w:val="18"/>
                <w:szCs w:val="18"/>
              </w:rPr>
            </w:pPr>
            <w:r w:rsidRPr="000F54B7">
              <w:rPr>
                <w:rFonts w:ascii="Andes" w:hAnsi="Andes" w:cs="Arial"/>
                <w:bCs/>
                <w:color w:val="000000"/>
                <w:sz w:val="18"/>
                <w:szCs w:val="18"/>
              </w:rPr>
              <w:t>facultatif</w:t>
            </w:r>
          </w:p>
        </w:tc>
        <w:tc>
          <w:tcPr>
            <w:tcW w:w="267" w:type="pct"/>
            <w:tcBorders>
              <w:top w:val="single" w:sz="4" w:space="0" w:color="auto"/>
              <w:left w:val="single" w:sz="4" w:space="0" w:color="auto"/>
              <w:bottom w:val="single" w:sz="4" w:space="0" w:color="auto"/>
              <w:right w:val="single" w:sz="4" w:space="0" w:color="auto"/>
            </w:tcBorders>
          </w:tcPr>
          <w:p w14:paraId="380FB0FA" w14:textId="77777777" w:rsidR="007B600F" w:rsidRPr="000F54B7" w:rsidRDefault="007B600F" w:rsidP="007B600F">
            <w:pPr>
              <w:spacing w:before="0" w:after="0" w:line="240" w:lineRule="auto"/>
              <w:contextualSpacing w:val="0"/>
              <w:jc w:val="center"/>
              <w:rPr>
                <w:rFonts w:ascii="Andes" w:hAnsi="Andes" w:cs="Arial"/>
                <w:b/>
                <w:bCs/>
                <w:color w:val="000000"/>
                <w:sz w:val="18"/>
                <w:szCs w:val="18"/>
              </w:rPr>
            </w:pPr>
            <w:r w:rsidRPr="000F54B7">
              <w:rPr>
                <w:rFonts w:ascii="Andes" w:hAnsi="Andes" w:cs="Arial"/>
                <w:b/>
                <w:bCs/>
                <w:color w:val="000000"/>
                <w:sz w:val="20"/>
              </w:rPr>
              <w:t>x</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0528C2"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F96E52" w14:textId="77777777" w:rsidR="007B600F" w:rsidRPr="000F54B7" w:rsidRDefault="007B600F" w:rsidP="007B600F">
            <w:pPr>
              <w:spacing w:before="0" w:after="0" w:line="240" w:lineRule="auto"/>
              <w:contextualSpacing w:val="0"/>
              <w:jc w:val="center"/>
              <w:rPr>
                <w:rFonts w:ascii="Andes" w:hAnsi="Andes" w:cs="Arial"/>
                <w:b/>
                <w:bCs/>
                <w:color w:val="000000"/>
                <w:sz w:val="16"/>
                <w:szCs w:val="16"/>
              </w:rPr>
            </w:pPr>
            <w:r w:rsidRPr="000F54B7">
              <w:rPr>
                <w:rFonts w:ascii="Andes" w:hAnsi="Andes" w:cs="Arial"/>
                <w:b/>
                <w:bCs/>
                <w:color w:val="000000"/>
                <w:sz w:val="20"/>
              </w:rPr>
              <w:t>x</w:t>
            </w: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0A2371"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FE9639" w14:textId="77777777" w:rsidR="007B600F" w:rsidRPr="000F54B7" w:rsidRDefault="007B600F" w:rsidP="007B600F">
            <w:pPr>
              <w:spacing w:before="0" w:after="0" w:line="240" w:lineRule="auto"/>
              <w:contextualSpacing w:val="0"/>
              <w:jc w:val="center"/>
              <w:rPr>
                <w:rFonts w:ascii="Andes" w:hAnsi="Andes" w:cs="Arial"/>
                <w:b/>
                <w:bCs/>
                <w:color w:val="000000"/>
                <w:sz w:val="16"/>
                <w:szCs w:val="16"/>
              </w:rPr>
            </w:pPr>
            <w:r w:rsidRPr="000F54B7">
              <w:rPr>
                <w:rFonts w:ascii="Andes" w:hAnsi="Andes" w:cs="Arial"/>
                <w:b/>
                <w:bCs/>
                <w:color w:val="000000"/>
                <w:sz w:val="20"/>
              </w:rPr>
              <w:sym w:font="Wingdings 2" w:char="F050"/>
            </w:r>
            <w:r w:rsidRPr="000F54B7">
              <w:rPr>
                <w:rFonts w:ascii="Andes" w:hAnsi="Andes" w:cs="Arial"/>
                <w:b/>
                <w:bCs/>
                <w:color w:val="000000"/>
                <w:sz w:val="16"/>
                <w:szCs w:val="16"/>
              </w:rPr>
              <w:t>*</w:t>
            </w:r>
          </w:p>
        </w:tc>
        <w:tc>
          <w:tcPr>
            <w:tcW w:w="401" w:type="pct"/>
            <w:tcBorders>
              <w:top w:val="single" w:sz="4" w:space="0" w:color="auto"/>
              <w:left w:val="single" w:sz="4" w:space="0" w:color="auto"/>
              <w:bottom w:val="single" w:sz="4" w:space="0" w:color="auto"/>
              <w:right w:val="single" w:sz="12" w:space="0" w:color="002060"/>
            </w:tcBorders>
            <w:vAlign w:val="center"/>
          </w:tcPr>
          <w:p w14:paraId="1DD5B8F7" w14:textId="0A9333B9" w:rsidR="007B600F" w:rsidRPr="000F54B7" w:rsidRDefault="00B639CE" w:rsidP="007B600F">
            <w:pPr>
              <w:spacing w:before="0" w:after="0" w:line="240" w:lineRule="auto"/>
              <w:contextualSpacing w:val="0"/>
              <w:jc w:val="center"/>
              <w:rPr>
                <w:rFonts w:ascii="Andes" w:hAnsi="Andes" w:cs="Arial"/>
                <w:bCs/>
                <w:color w:val="000000"/>
                <w:sz w:val="18"/>
                <w:szCs w:val="18"/>
              </w:rPr>
            </w:pPr>
            <w:r w:rsidRPr="000F54B7">
              <w:rPr>
                <w:rFonts w:ascii="Andes" w:hAnsi="Andes" w:cs="Arial"/>
                <w:b/>
                <w:bCs/>
                <w:color w:val="000000"/>
                <w:sz w:val="20"/>
              </w:rPr>
              <w:sym w:font="Wingdings 2" w:char="F050"/>
            </w:r>
            <w:r w:rsidRPr="000F54B7">
              <w:rPr>
                <w:rFonts w:ascii="Andes" w:hAnsi="Andes" w:cs="Arial"/>
                <w:b/>
                <w:bCs/>
                <w:color w:val="000000"/>
                <w:sz w:val="16"/>
                <w:szCs w:val="16"/>
              </w:rPr>
              <w:t>**</w:t>
            </w:r>
          </w:p>
        </w:tc>
      </w:tr>
      <w:tr w:rsidR="00E76B76" w:rsidRPr="000F54B7" w14:paraId="7F722BB3" w14:textId="77777777" w:rsidTr="00E76B76">
        <w:trPr>
          <w:trHeight w:val="315"/>
        </w:trPr>
        <w:tc>
          <w:tcPr>
            <w:tcW w:w="1220" w:type="pct"/>
            <w:tcBorders>
              <w:top w:val="single" w:sz="4" w:space="0" w:color="auto"/>
              <w:left w:val="single" w:sz="12" w:space="0" w:color="002060"/>
              <w:bottom w:val="single" w:sz="4" w:space="0" w:color="auto"/>
              <w:right w:val="single" w:sz="4" w:space="0" w:color="auto"/>
            </w:tcBorders>
            <w:shd w:val="clear" w:color="auto" w:fill="C45911"/>
            <w:noWrap/>
            <w:vAlign w:val="bottom"/>
          </w:tcPr>
          <w:p w14:paraId="5AD1377A" w14:textId="77777777" w:rsidR="007B600F" w:rsidRPr="000F54B7" w:rsidRDefault="007B600F" w:rsidP="007B600F">
            <w:pPr>
              <w:spacing w:before="40" w:after="40" w:line="240" w:lineRule="auto"/>
              <w:contextualSpacing w:val="0"/>
              <w:jc w:val="left"/>
              <w:rPr>
                <w:rFonts w:ascii="Andes" w:hAnsi="Andes" w:cs="Arial"/>
                <w:color w:val="FFFFFF" w:themeColor="background1"/>
                <w:szCs w:val="24"/>
              </w:rPr>
            </w:pPr>
            <w:r w:rsidRPr="000F54B7">
              <w:rPr>
                <w:rFonts w:ascii="Andes" w:hAnsi="Andes" w:cs="Arial"/>
                <w:color w:val="FFFFFF" w:themeColor="background1"/>
                <w:szCs w:val="24"/>
              </w:rPr>
              <w:t xml:space="preserve">Demande de </w:t>
            </w:r>
            <w:r>
              <w:rPr>
                <w:rFonts w:ascii="Andes" w:hAnsi="Andes" w:cs="Arial"/>
                <w:color w:val="FFFFFF" w:themeColor="background1"/>
                <w:szCs w:val="24"/>
              </w:rPr>
              <w:t>Cotation</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4A27CD"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E5AD33"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32738B"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875232"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691291"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4" w:space="0" w:color="auto"/>
              <w:left w:val="single" w:sz="4" w:space="0" w:color="auto"/>
              <w:bottom w:val="single" w:sz="4" w:space="0" w:color="auto"/>
              <w:right w:val="single" w:sz="4" w:space="0" w:color="auto"/>
            </w:tcBorders>
            <w:shd w:val="clear" w:color="auto" w:fill="auto"/>
            <w:noWrap/>
          </w:tcPr>
          <w:p w14:paraId="0DFA2CAE"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67" w:type="pct"/>
            <w:tcBorders>
              <w:top w:val="single" w:sz="4" w:space="0" w:color="auto"/>
              <w:left w:val="single" w:sz="4" w:space="0" w:color="auto"/>
              <w:bottom w:val="single" w:sz="4" w:space="0" w:color="auto"/>
              <w:right w:val="single" w:sz="4" w:space="0" w:color="auto"/>
            </w:tcBorders>
          </w:tcPr>
          <w:p w14:paraId="5190C72E"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3623DA"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0A2A80"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0D5535" w14:textId="77777777" w:rsidR="007B600F" w:rsidRPr="000F54B7" w:rsidRDefault="007B600F" w:rsidP="007B600F">
            <w:pPr>
              <w:spacing w:before="0" w:after="0" w:line="240" w:lineRule="auto"/>
              <w:contextualSpacing w:val="0"/>
              <w:jc w:val="center"/>
              <w:rPr>
                <w:rFonts w:ascii="Andes" w:hAnsi="Andes" w:cs="Arial"/>
                <w:b/>
                <w:color w:val="000000"/>
                <w:sz w:val="20"/>
              </w:rPr>
            </w:pPr>
            <w:r w:rsidRPr="000F54B7">
              <w:rPr>
                <w:rFonts w:ascii="Andes" w:hAnsi="Andes" w:cs="Arial"/>
                <w:b/>
                <w:bCs/>
                <w:color w:val="000000"/>
                <w:sz w:val="20"/>
              </w:rPr>
              <w:t>x</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8A8A87" w14:textId="77777777" w:rsidR="007B600F" w:rsidRPr="000F54B7" w:rsidRDefault="007B600F" w:rsidP="007B600F">
            <w:pPr>
              <w:spacing w:before="0" w:after="0" w:line="240" w:lineRule="auto"/>
              <w:contextualSpacing w:val="0"/>
              <w:jc w:val="center"/>
              <w:rPr>
                <w:rFonts w:ascii="Andes" w:hAnsi="Andes" w:cs="Arial"/>
                <w:b/>
                <w:color w:val="000000"/>
                <w:sz w:val="20"/>
              </w:rPr>
            </w:pPr>
            <w:r w:rsidRPr="000F54B7">
              <w:rPr>
                <w:rFonts w:ascii="Andes" w:hAnsi="Andes" w:cs="Arial"/>
                <w:b/>
                <w:bCs/>
                <w:color w:val="000000"/>
                <w:sz w:val="20"/>
              </w:rPr>
              <w:t>x</w:t>
            </w:r>
          </w:p>
        </w:tc>
        <w:tc>
          <w:tcPr>
            <w:tcW w:w="401" w:type="pct"/>
            <w:tcBorders>
              <w:top w:val="single" w:sz="4" w:space="0" w:color="auto"/>
              <w:left w:val="single" w:sz="4" w:space="0" w:color="auto"/>
              <w:bottom w:val="single" w:sz="4" w:space="0" w:color="auto"/>
              <w:right w:val="single" w:sz="12" w:space="0" w:color="002060"/>
            </w:tcBorders>
            <w:vAlign w:val="center"/>
          </w:tcPr>
          <w:p w14:paraId="2AF12055" w14:textId="77777777" w:rsidR="007B600F" w:rsidRPr="000F54B7" w:rsidRDefault="007B600F" w:rsidP="007B600F">
            <w:pPr>
              <w:spacing w:before="0" w:after="0" w:line="240" w:lineRule="auto"/>
              <w:contextualSpacing w:val="0"/>
              <w:jc w:val="center"/>
              <w:rPr>
                <w:rFonts w:ascii="Andes" w:hAnsi="Andes" w:cs="Arial"/>
                <w:b/>
                <w:color w:val="000000"/>
                <w:sz w:val="20"/>
              </w:rPr>
            </w:pPr>
            <w:r w:rsidRPr="000F54B7">
              <w:rPr>
                <w:rFonts w:ascii="Andes" w:hAnsi="Andes" w:cs="Arial"/>
                <w:b/>
                <w:bCs/>
                <w:color w:val="000000"/>
                <w:sz w:val="20"/>
              </w:rPr>
              <w:t>x</w:t>
            </w:r>
          </w:p>
        </w:tc>
      </w:tr>
      <w:tr w:rsidR="00E76B76" w:rsidRPr="000F54B7" w14:paraId="11FE1D7F" w14:textId="77777777" w:rsidTr="00E76B76">
        <w:trPr>
          <w:trHeight w:val="315"/>
        </w:trPr>
        <w:tc>
          <w:tcPr>
            <w:tcW w:w="1220" w:type="pct"/>
            <w:tcBorders>
              <w:top w:val="single" w:sz="4" w:space="0" w:color="auto"/>
              <w:left w:val="single" w:sz="12" w:space="0" w:color="002060"/>
              <w:bottom w:val="single" w:sz="12" w:space="0" w:color="002060"/>
              <w:right w:val="single" w:sz="4" w:space="0" w:color="auto"/>
            </w:tcBorders>
            <w:shd w:val="clear" w:color="auto" w:fill="C45911"/>
            <w:noWrap/>
            <w:vAlign w:val="bottom"/>
          </w:tcPr>
          <w:p w14:paraId="5A037586" w14:textId="77777777" w:rsidR="007B600F" w:rsidRPr="000F54B7" w:rsidRDefault="007B600F" w:rsidP="007B600F">
            <w:pPr>
              <w:spacing w:before="40" w:after="40" w:line="240" w:lineRule="auto"/>
              <w:contextualSpacing w:val="0"/>
              <w:jc w:val="left"/>
              <w:rPr>
                <w:rFonts w:ascii="Andes" w:hAnsi="Andes" w:cs="Arial"/>
                <w:color w:val="FFFFFF" w:themeColor="background1"/>
                <w:szCs w:val="24"/>
              </w:rPr>
            </w:pPr>
            <w:r w:rsidRPr="000F54B7">
              <w:rPr>
                <w:rFonts w:ascii="Andes" w:hAnsi="Andes" w:cs="Arial"/>
                <w:color w:val="FFFFFF" w:themeColor="background1"/>
                <w:szCs w:val="24"/>
              </w:rPr>
              <w:t>Sélection directe</w:t>
            </w:r>
          </w:p>
        </w:tc>
        <w:tc>
          <w:tcPr>
            <w:tcW w:w="297" w:type="pct"/>
            <w:tcBorders>
              <w:top w:val="single" w:sz="4" w:space="0" w:color="auto"/>
              <w:left w:val="single" w:sz="4" w:space="0" w:color="auto"/>
              <w:bottom w:val="single" w:sz="12" w:space="0" w:color="002060"/>
              <w:right w:val="single" w:sz="4" w:space="0" w:color="auto"/>
            </w:tcBorders>
            <w:shd w:val="clear" w:color="auto" w:fill="auto"/>
            <w:noWrap/>
            <w:vAlign w:val="center"/>
          </w:tcPr>
          <w:p w14:paraId="51C08D7D"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385" w:type="pct"/>
            <w:tcBorders>
              <w:top w:val="single" w:sz="4" w:space="0" w:color="auto"/>
              <w:left w:val="single" w:sz="4" w:space="0" w:color="auto"/>
              <w:bottom w:val="single" w:sz="12" w:space="0" w:color="002060"/>
              <w:right w:val="single" w:sz="4" w:space="0" w:color="auto"/>
            </w:tcBorders>
            <w:shd w:val="clear" w:color="auto" w:fill="auto"/>
            <w:noWrap/>
            <w:vAlign w:val="center"/>
          </w:tcPr>
          <w:p w14:paraId="6300DF42"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66" w:type="pct"/>
            <w:tcBorders>
              <w:top w:val="single" w:sz="4" w:space="0" w:color="auto"/>
              <w:left w:val="single" w:sz="4" w:space="0" w:color="auto"/>
              <w:bottom w:val="single" w:sz="12" w:space="0" w:color="002060"/>
              <w:right w:val="single" w:sz="4" w:space="0" w:color="auto"/>
            </w:tcBorders>
            <w:shd w:val="clear" w:color="auto" w:fill="auto"/>
            <w:noWrap/>
            <w:vAlign w:val="center"/>
          </w:tcPr>
          <w:p w14:paraId="3381C191"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415" w:type="pct"/>
            <w:tcBorders>
              <w:top w:val="single" w:sz="4" w:space="0" w:color="auto"/>
              <w:left w:val="single" w:sz="4" w:space="0" w:color="auto"/>
              <w:bottom w:val="single" w:sz="12" w:space="0" w:color="002060"/>
              <w:right w:val="single" w:sz="4" w:space="0" w:color="auto"/>
            </w:tcBorders>
            <w:shd w:val="clear" w:color="auto" w:fill="auto"/>
            <w:noWrap/>
            <w:vAlign w:val="center"/>
          </w:tcPr>
          <w:p w14:paraId="13EBA24F"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326" w:type="pct"/>
            <w:tcBorders>
              <w:top w:val="single" w:sz="4" w:space="0" w:color="auto"/>
              <w:left w:val="single" w:sz="4" w:space="0" w:color="auto"/>
              <w:bottom w:val="single" w:sz="12" w:space="0" w:color="002060"/>
              <w:right w:val="single" w:sz="4" w:space="0" w:color="auto"/>
            </w:tcBorders>
            <w:shd w:val="clear" w:color="auto" w:fill="auto"/>
            <w:noWrap/>
            <w:vAlign w:val="center"/>
          </w:tcPr>
          <w:p w14:paraId="51BE60E1"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326" w:type="pct"/>
            <w:tcBorders>
              <w:top w:val="single" w:sz="4" w:space="0" w:color="auto"/>
              <w:left w:val="single" w:sz="4" w:space="0" w:color="auto"/>
              <w:bottom w:val="single" w:sz="12" w:space="0" w:color="002060"/>
              <w:right w:val="single" w:sz="4" w:space="0" w:color="auto"/>
            </w:tcBorders>
            <w:shd w:val="clear" w:color="auto" w:fill="auto"/>
            <w:noWrap/>
          </w:tcPr>
          <w:p w14:paraId="0F9769B7"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67" w:type="pct"/>
            <w:tcBorders>
              <w:top w:val="single" w:sz="4" w:space="0" w:color="auto"/>
              <w:left w:val="single" w:sz="4" w:space="0" w:color="auto"/>
              <w:bottom w:val="single" w:sz="12" w:space="0" w:color="002060"/>
              <w:right w:val="single" w:sz="4" w:space="0" w:color="auto"/>
            </w:tcBorders>
          </w:tcPr>
          <w:p w14:paraId="3EBF3A04"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66" w:type="pct"/>
            <w:tcBorders>
              <w:top w:val="single" w:sz="4" w:space="0" w:color="auto"/>
              <w:left w:val="single" w:sz="4" w:space="0" w:color="auto"/>
              <w:bottom w:val="single" w:sz="12" w:space="0" w:color="002060"/>
              <w:right w:val="single" w:sz="4" w:space="0" w:color="auto"/>
            </w:tcBorders>
            <w:shd w:val="clear" w:color="auto" w:fill="auto"/>
            <w:noWrap/>
            <w:vAlign w:val="center"/>
          </w:tcPr>
          <w:p w14:paraId="49218F8F"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97" w:type="pct"/>
            <w:tcBorders>
              <w:top w:val="single" w:sz="4" w:space="0" w:color="auto"/>
              <w:left w:val="single" w:sz="4" w:space="0" w:color="auto"/>
              <w:bottom w:val="single" w:sz="12" w:space="0" w:color="002060"/>
              <w:right w:val="single" w:sz="4" w:space="0" w:color="auto"/>
            </w:tcBorders>
            <w:shd w:val="clear" w:color="auto" w:fill="auto"/>
            <w:noWrap/>
            <w:vAlign w:val="center"/>
          </w:tcPr>
          <w:p w14:paraId="278D2E34"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06" w:type="pct"/>
            <w:tcBorders>
              <w:top w:val="single" w:sz="4" w:space="0" w:color="auto"/>
              <w:left w:val="single" w:sz="4" w:space="0" w:color="auto"/>
              <w:bottom w:val="single" w:sz="12" w:space="0" w:color="002060"/>
              <w:right w:val="single" w:sz="4" w:space="0" w:color="auto"/>
            </w:tcBorders>
            <w:shd w:val="clear" w:color="auto" w:fill="auto"/>
            <w:noWrap/>
            <w:vAlign w:val="center"/>
          </w:tcPr>
          <w:p w14:paraId="6E323EC7" w14:textId="77777777" w:rsidR="007B600F" w:rsidRPr="000F54B7" w:rsidRDefault="007B600F" w:rsidP="007B600F">
            <w:pPr>
              <w:spacing w:before="0" w:after="0" w:line="240" w:lineRule="auto"/>
              <w:contextualSpacing w:val="0"/>
              <w:jc w:val="center"/>
              <w:rPr>
                <w:rFonts w:ascii="Andes" w:hAnsi="Andes" w:cs="Arial"/>
                <w:b/>
                <w:color w:val="000000"/>
                <w:sz w:val="20"/>
              </w:rPr>
            </w:pPr>
            <w:r w:rsidRPr="000F54B7">
              <w:rPr>
                <w:rFonts w:ascii="Andes" w:hAnsi="Andes" w:cs="Arial"/>
                <w:b/>
                <w:bCs/>
                <w:color w:val="000000"/>
                <w:sz w:val="20"/>
              </w:rPr>
              <w:t>x</w:t>
            </w:r>
          </w:p>
        </w:tc>
        <w:tc>
          <w:tcPr>
            <w:tcW w:w="328" w:type="pct"/>
            <w:tcBorders>
              <w:top w:val="single" w:sz="4" w:space="0" w:color="auto"/>
              <w:left w:val="single" w:sz="4" w:space="0" w:color="auto"/>
              <w:bottom w:val="single" w:sz="12" w:space="0" w:color="002060"/>
              <w:right w:val="single" w:sz="4" w:space="0" w:color="auto"/>
            </w:tcBorders>
            <w:shd w:val="clear" w:color="auto" w:fill="auto"/>
            <w:noWrap/>
            <w:vAlign w:val="center"/>
          </w:tcPr>
          <w:p w14:paraId="189F59D9" w14:textId="77777777" w:rsidR="007B600F" w:rsidRPr="000F54B7" w:rsidRDefault="007B600F" w:rsidP="007B600F">
            <w:pPr>
              <w:spacing w:before="0" w:after="0" w:line="240" w:lineRule="auto"/>
              <w:contextualSpacing w:val="0"/>
              <w:jc w:val="center"/>
              <w:rPr>
                <w:rFonts w:ascii="Andes" w:hAnsi="Andes" w:cs="Arial"/>
                <w:b/>
                <w:color w:val="000000"/>
                <w:sz w:val="20"/>
              </w:rPr>
            </w:pPr>
            <w:r w:rsidRPr="000F54B7">
              <w:rPr>
                <w:rFonts w:ascii="Andes" w:hAnsi="Andes" w:cs="Arial"/>
                <w:b/>
                <w:bCs/>
                <w:color w:val="000000"/>
                <w:sz w:val="20"/>
              </w:rPr>
              <w:sym w:font="Wingdings 2" w:char="F050"/>
            </w:r>
          </w:p>
        </w:tc>
        <w:tc>
          <w:tcPr>
            <w:tcW w:w="401" w:type="pct"/>
            <w:tcBorders>
              <w:top w:val="single" w:sz="4" w:space="0" w:color="auto"/>
              <w:left w:val="single" w:sz="4" w:space="0" w:color="auto"/>
              <w:bottom w:val="single" w:sz="12" w:space="0" w:color="002060"/>
              <w:right w:val="single" w:sz="12" w:space="0" w:color="002060"/>
            </w:tcBorders>
            <w:vAlign w:val="center"/>
          </w:tcPr>
          <w:p w14:paraId="34468F8F" w14:textId="77777777" w:rsidR="007B600F" w:rsidRPr="000F54B7" w:rsidRDefault="007B600F" w:rsidP="007B600F">
            <w:pPr>
              <w:spacing w:before="0" w:after="0" w:line="240" w:lineRule="auto"/>
              <w:contextualSpacing w:val="0"/>
              <w:jc w:val="center"/>
              <w:rPr>
                <w:rFonts w:ascii="Andes" w:hAnsi="Andes" w:cs="Arial"/>
                <w:b/>
                <w:color w:val="000000"/>
                <w:sz w:val="20"/>
              </w:rPr>
            </w:pPr>
            <w:r w:rsidRPr="000F54B7">
              <w:rPr>
                <w:rFonts w:ascii="Andes" w:hAnsi="Andes" w:cs="Arial"/>
                <w:b/>
                <w:bCs/>
                <w:color w:val="000000"/>
                <w:sz w:val="20"/>
              </w:rPr>
              <w:t>x</w:t>
            </w:r>
          </w:p>
        </w:tc>
      </w:tr>
      <w:tr w:rsidR="007B600F" w:rsidRPr="000F54B7" w14:paraId="09021C3B" w14:textId="77777777" w:rsidTr="00E76B76">
        <w:trPr>
          <w:trHeight w:val="315"/>
        </w:trPr>
        <w:tc>
          <w:tcPr>
            <w:tcW w:w="5000" w:type="pct"/>
            <w:gridSpan w:val="13"/>
            <w:tcBorders>
              <w:top w:val="single" w:sz="12" w:space="0" w:color="002060"/>
              <w:left w:val="single" w:sz="12" w:space="0" w:color="002060"/>
              <w:bottom w:val="single" w:sz="12" w:space="0" w:color="002060"/>
              <w:right w:val="single" w:sz="4" w:space="0" w:color="auto"/>
            </w:tcBorders>
            <w:shd w:val="clear" w:color="auto" w:fill="D9D9D9" w:themeFill="background1" w:themeFillShade="D9"/>
            <w:vAlign w:val="bottom"/>
          </w:tcPr>
          <w:p w14:paraId="5CBE3B9F" w14:textId="77777777" w:rsidR="007B600F" w:rsidRPr="000F54B7" w:rsidRDefault="007B600F" w:rsidP="007B600F">
            <w:pPr>
              <w:spacing w:line="240" w:lineRule="auto"/>
              <w:ind w:left="720" w:hanging="720"/>
              <w:contextualSpacing w:val="0"/>
              <w:jc w:val="left"/>
              <w:rPr>
                <w:rFonts w:ascii="Andes" w:hAnsi="Andes"/>
                <w:b/>
                <w:color w:val="000000"/>
                <w:sz w:val="20"/>
              </w:rPr>
            </w:pPr>
            <w:r w:rsidRPr="000F54B7">
              <w:rPr>
                <w:rFonts w:ascii="Andes" w:hAnsi="Andes" w:cs="Arial"/>
                <w:b/>
                <w:bCs/>
                <w:color w:val="000000"/>
                <w:sz w:val="22"/>
                <w:szCs w:val="22"/>
              </w:rPr>
              <w:t>Modalités de sélection</w:t>
            </w:r>
          </w:p>
        </w:tc>
      </w:tr>
      <w:tr w:rsidR="00E76B76" w:rsidRPr="000F54B7" w14:paraId="1C7C2A2C" w14:textId="77777777" w:rsidTr="00E76B76">
        <w:trPr>
          <w:trHeight w:val="315"/>
        </w:trPr>
        <w:tc>
          <w:tcPr>
            <w:tcW w:w="1220" w:type="pct"/>
            <w:tcBorders>
              <w:top w:val="single" w:sz="12" w:space="0" w:color="002060"/>
              <w:left w:val="single" w:sz="12" w:space="0" w:color="002060"/>
              <w:bottom w:val="single" w:sz="4" w:space="0" w:color="auto"/>
              <w:right w:val="single" w:sz="4" w:space="0" w:color="auto"/>
            </w:tcBorders>
            <w:shd w:val="clear" w:color="auto" w:fill="C45911"/>
            <w:noWrap/>
            <w:vAlign w:val="bottom"/>
          </w:tcPr>
          <w:p w14:paraId="3101B244" w14:textId="77777777" w:rsidR="007B600F" w:rsidRPr="000F54B7" w:rsidRDefault="007B600F" w:rsidP="007B600F">
            <w:pPr>
              <w:spacing w:before="40" w:after="40" w:line="240" w:lineRule="auto"/>
              <w:contextualSpacing w:val="0"/>
              <w:jc w:val="left"/>
              <w:rPr>
                <w:rFonts w:ascii="Andes" w:hAnsi="Andes" w:cs="Arial"/>
                <w:color w:val="FFFFFF" w:themeColor="background1"/>
                <w:szCs w:val="24"/>
              </w:rPr>
            </w:pPr>
            <w:r w:rsidRPr="000F54B7">
              <w:rPr>
                <w:rFonts w:ascii="Andes" w:hAnsi="Andes" w:cs="Arial"/>
                <w:color w:val="FFFFFF" w:themeColor="background1"/>
                <w:szCs w:val="24"/>
              </w:rPr>
              <w:t xml:space="preserve">Dialogue </w:t>
            </w:r>
            <w:r>
              <w:rPr>
                <w:rFonts w:ascii="Andes" w:hAnsi="Andes" w:cs="Arial"/>
                <w:color w:val="FFFFFF" w:themeColor="background1"/>
                <w:szCs w:val="24"/>
              </w:rPr>
              <w:t>Compétitif</w:t>
            </w:r>
          </w:p>
        </w:tc>
        <w:tc>
          <w:tcPr>
            <w:tcW w:w="297" w:type="pct"/>
            <w:tcBorders>
              <w:top w:val="single" w:sz="12" w:space="0" w:color="002060"/>
              <w:left w:val="single" w:sz="4" w:space="0" w:color="auto"/>
              <w:bottom w:val="single" w:sz="4" w:space="0" w:color="auto"/>
              <w:right w:val="single" w:sz="4" w:space="0" w:color="auto"/>
            </w:tcBorders>
            <w:shd w:val="clear" w:color="auto" w:fill="auto"/>
            <w:noWrap/>
            <w:vAlign w:val="center"/>
          </w:tcPr>
          <w:p w14:paraId="2920A256"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85" w:type="pct"/>
            <w:tcBorders>
              <w:top w:val="single" w:sz="12" w:space="0" w:color="002060"/>
              <w:left w:val="single" w:sz="4" w:space="0" w:color="auto"/>
              <w:bottom w:val="single" w:sz="4" w:space="0" w:color="auto"/>
              <w:right w:val="single" w:sz="4" w:space="0" w:color="auto"/>
            </w:tcBorders>
            <w:shd w:val="clear" w:color="auto" w:fill="auto"/>
            <w:noWrap/>
            <w:vAlign w:val="center"/>
          </w:tcPr>
          <w:p w14:paraId="64008998"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66" w:type="pct"/>
            <w:tcBorders>
              <w:top w:val="single" w:sz="12" w:space="0" w:color="002060"/>
              <w:left w:val="single" w:sz="4" w:space="0" w:color="auto"/>
              <w:bottom w:val="single" w:sz="4" w:space="0" w:color="auto"/>
              <w:right w:val="single" w:sz="4" w:space="0" w:color="auto"/>
            </w:tcBorders>
            <w:shd w:val="clear" w:color="auto" w:fill="auto"/>
            <w:noWrap/>
            <w:vAlign w:val="center"/>
          </w:tcPr>
          <w:p w14:paraId="03AB6995"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415" w:type="pct"/>
            <w:tcBorders>
              <w:top w:val="single" w:sz="12" w:space="0" w:color="002060"/>
              <w:left w:val="single" w:sz="4" w:space="0" w:color="auto"/>
              <w:bottom w:val="single" w:sz="4" w:space="0" w:color="auto"/>
              <w:right w:val="single" w:sz="4" w:space="0" w:color="auto"/>
            </w:tcBorders>
            <w:shd w:val="clear" w:color="auto" w:fill="auto"/>
            <w:noWrap/>
            <w:vAlign w:val="center"/>
          </w:tcPr>
          <w:p w14:paraId="61FE390A"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12" w:space="0" w:color="002060"/>
              <w:left w:val="single" w:sz="4" w:space="0" w:color="auto"/>
              <w:bottom w:val="single" w:sz="4" w:space="0" w:color="auto"/>
              <w:right w:val="single" w:sz="4" w:space="0" w:color="auto"/>
            </w:tcBorders>
            <w:shd w:val="clear" w:color="auto" w:fill="auto"/>
            <w:noWrap/>
            <w:vAlign w:val="center"/>
          </w:tcPr>
          <w:p w14:paraId="70DF3282"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12" w:space="0" w:color="002060"/>
              <w:left w:val="single" w:sz="4" w:space="0" w:color="auto"/>
              <w:bottom w:val="single" w:sz="4" w:space="0" w:color="auto"/>
              <w:right w:val="single" w:sz="4" w:space="0" w:color="auto"/>
            </w:tcBorders>
            <w:shd w:val="clear" w:color="auto" w:fill="auto"/>
            <w:noWrap/>
            <w:vAlign w:val="center"/>
          </w:tcPr>
          <w:p w14:paraId="3DA1AB6C" w14:textId="77777777" w:rsidR="007B600F" w:rsidRPr="000F54B7" w:rsidRDefault="007B600F" w:rsidP="007B600F">
            <w:pPr>
              <w:spacing w:before="0" w:after="0" w:line="240" w:lineRule="auto"/>
              <w:contextualSpacing w:val="0"/>
              <w:jc w:val="center"/>
              <w:rPr>
                <w:rFonts w:ascii="Andes" w:hAnsi="Andes" w:cs="Arial"/>
                <w:bCs/>
                <w:color w:val="000000"/>
                <w:sz w:val="18"/>
                <w:szCs w:val="18"/>
              </w:rPr>
            </w:pPr>
            <w:r w:rsidRPr="000F54B7">
              <w:rPr>
                <w:rFonts w:ascii="Andes" w:hAnsi="Andes" w:cs="Arial"/>
                <w:b/>
                <w:bCs/>
                <w:color w:val="000000"/>
                <w:sz w:val="20"/>
              </w:rPr>
              <w:t>x</w:t>
            </w:r>
          </w:p>
        </w:tc>
        <w:tc>
          <w:tcPr>
            <w:tcW w:w="267" w:type="pct"/>
            <w:tcBorders>
              <w:top w:val="single" w:sz="12" w:space="0" w:color="002060"/>
              <w:left w:val="single" w:sz="4" w:space="0" w:color="auto"/>
              <w:bottom w:val="single" w:sz="4" w:space="0" w:color="auto"/>
              <w:right w:val="single" w:sz="4" w:space="0" w:color="auto"/>
            </w:tcBorders>
            <w:vAlign w:val="center"/>
          </w:tcPr>
          <w:p w14:paraId="7E3A345C" w14:textId="77777777" w:rsidR="007B600F" w:rsidRPr="00C034F4" w:rsidRDefault="007B600F" w:rsidP="007B600F">
            <w:pPr>
              <w:spacing w:before="0" w:after="0" w:line="240" w:lineRule="auto"/>
              <w:contextualSpacing w:val="0"/>
              <w:jc w:val="center"/>
              <w:rPr>
                <w:rFonts w:ascii="Andes" w:hAnsi="Andes" w:cs="Arial"/>
                <w:b/>
                <w:bCs/>
                <w:color w:val="000000"/>
                <w:sz w:val="16"/>
                <w:szCs w:val="16"/>
              </w:rPr>
            </w:pPr>
            <w:r w:rsidRPr="00C034F4">
              <w:rPr>
                <w:rFonts w:ascii="Andes" w:hAnsi="Andes" w:cs="Arial"/>
                <w:bCs/>
                <w:color w:val="000000"/>
                <w:sz w:val="16"/>
                <w:szCs w:val="16"/>
              </w:rPr>
              <w:t>obligatoire</w:t>
            </w:r>
          </w:p>
        </w:tc>
        <w:tc>
          <w:tcPr>
            <w:tcW w:w="266" w:type="pct"/>
            <w:tcBorders>
              <w:top w:val="single" w:sz="12" w:space="0" w:color="002060"/>
              <w:left w:val="single" w:sz="4" w:space="0" w:color="auto"/>
              <w:bottom w:val="single" w:sz="4" w:space="0" w:color="auto"/>
              <w:right w:val="single" w:sz="4" w:space="0" w:color="auto"/>
            </w:tcBorders>
            <w:shd w:val="clear" w:color="auto" w:fill="auto"/>
            <w:noWrap/>
            <w:vAlign w:val="center"/>
          </w:tcPr>
          <w:p w14:paraId="19F79D5E"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97" w:type="pct"/>
            <w:tcBorders>
              <w:top w:val="single" w:sz="12" w:space="0" w:color="002060"/>
              <w:left w:val="single" w:sz="4" w:space="0" w:color="auto"/>
              <w:bottom w:val="single" w:sz="4" w:space="0" w:color="auto"/>
              <w:right w:val="single" w:sz="4" w:space="0" w:color="auto"/>
            </w:tcBorders>
            <w:shd w:val="clear" w:color="auto" w:fill="auto"/>
            <w:noWrap/>
            <w:vAlign w:val="center"/>
          </w:tcPr>
          <w:p w14:paraId="4B5CE103"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06" w:type="pct"/>
            <w:tcBorders>
              <w:top w:val="single" w:sz="12" w:space="0" w:color="002060"/>
              <w:left w:val="single" w:sz="4" w:space="0" w:color="auto"/>
              <w:bottom w:val="single" w:sz="4" w:space="0" w:color="auto"/>
              <w:right w:val="single" w:sz="4" w:space="0" w:color="auto"/>
            </w:tcBorders>
            <w:shd w:val="clear" w:color="auto" w:fill="auto"/>
            <w:noWrap/>
          </w:tcPr>
          <w:p w14:paraId="4530FCF7" w14:textId="77777777" w:rsidR="007B600F" w:rsidRPr="000F54B7" w:rsidRDefault="007B600F" w:rsidP="007B600F">
            <w:pPr>
              <w:spacing w:before="0" w:after="0" w:line="240" w:lineRule="auto"/>
              <w:contextualSpacing w:val="0"/>
              <w:jc w:val="center"/>
              <w:rPr>
                <w:rFonts w:ascii="Andes" w:hAnsi="Andes" w:cs="Arial"/>
                <w:b/>
                <w:color w:val="000000"/>
                <w:sz w:val="20"/>
              </w:rPr>
            </w:pPr>
            <w:r w:rsidRPr="000F54B7">
              <w:rPr>
                <w:rFonts w:ascii="Andes" w:hAnsi="Andes" w:cs="Arial"/>
                <w:b/>
                <w:bCs/>
                <w:color w:val="000000"/>
                <w:sz w:val="20"/>
              </w:rPr>
              <w:t>x</w:t>
            </w:r>
          </w:p>
        </w:tc>
        <w:tc>
          <w:tcPr>
            <w:tcW w:w="328" w:type="pct"/>
            <w:tcBorders>
              <w:top w:val="single" w:sz="12" w:space="0" w:color="002060"/>
              <w:left w:val="single" w:sz="4" w:space="0" w:color="auto"/>
              <w:bottom w:val="single" w:sz="4" w:space="0" w:color="auto"/>
              <w:right w:val="single" w:sz="4" w:space="0" w:color="auto"/>
            </w:tcBorders>
            <w:shd w:val="clear" w:color="auto" w:fill="auto"/>
            <w:noWrap/>
          </w:tcPr>
          <w:p w14:paraId="03657783" w14:textId="77777777" w:rsidR="007B600F" w:rsidRPr="000F54B7" w:rsidRDefault="007B600F" w:rsidP="007B600F">
            <w:pPr>
              <w:spacing w:before="0" w:after="0" w:line="240" w:lineRule="auto"/>
              <w:contextualSpacing w:val="0"/>
              <w:jc w:val="center"/>
              <w:rPr>
                <w:rFonts w:ascii="Andes" w:hAnsi="Andes" w:cs="Arial"/>
                <w:b/>
                <w:color w:val="000000"/>
                <w:sz w:val="20"/>
              </w:rPr>
            </w:pPr>
            <w:r w:rsidRPr="000F54B7">
              <w:rPr>
                <w:rFonts w:ascii="Andes" w:hAnsi="Andes" w:cs="Arial"/>
                <w:b/>
                <w:bCs/>
                <w:color w:val="000000"/>
                <w:sz w:val="20"/>
              </w:rPr>
              <w:t>x</w:t>
            </w:r>
          </w:p>
        </w:tc>
        <w:tc>
          <w:tcPr>
            <w:tcW w:w="401" w:type="pct"/>
            <w:tcBorders>
              <w:top w:val="single" w:sz="12" w:space="0" w:color="002060"/>
              <w:left w:val="single" w:sz="4" w:space="0" w:color="auto"/>
              <w:bottom w:val="single" w:sz="4" w:space="0" w:color="auto"/>
              <w:right w:val="single" w:sz="12" w:space="0" w:color="002060"/>
            </w:tcBorders>
            <w:vAlign w:val="center"/>
          </w:tcPr>
          <w:p w14:paraId="66A67FA7" w14:textId="77777777" w:rsidR="007B600F" w:rsidRPr="000F54B7" w:rsidRDefault="007B600F" w:rsidP="007B600F">
            <w:pPr>
              <w:spacing w:before="0" w:after="0" w:line="240" w:lineRule="auto"/>
              <w:contextualSpacing w:val="0"/>
              <w:jc w:val="center"/>
              <w:rPr>
                <w:rFonts w:ascii="Andes" w:hAnsi="Andes" w:cs="Arial"/>
                <w:b/>
                <w:color w:val="000000"/>
                <w:sz w:val="20"/>
              </w:rPr>
            </w:pPr>
            <w:r w:rsidRPr="000F54B7">
              <w:rPr>
                <w:rFonts w:ascii="Andes" w:hAnsi="Andes" w:cs="Arial"/>
                <w:b/>
                <w:bCs/>
                <w:color w:val="000000"/>
                <w:sz w:val="20"/>
              </w:rPr>
              <w:sym w:font="Wingdings 2" w:char="F050"/>
            </w:r>
          </w:p>
        </w:tc>
      </w:tr>
      <w:tr w:rsidR="00E76B76" w:rsidRPr="000F54B7" w14:paraId="41D4830E" w14:textId="77777777" w:rsidTr="00E76B76">
        <w:trPr>
          <w:trHeight w:val="315"/>
        </w:trPr>
        <w:tc>
          <w:tcPr>
            <w:tcW w:w="1220" w:type="pct"/>
            <w:tcBorders>
              <w:top w:val="single" w:sz="4" w:space="0" w:color="auto"/>
              <w:left w:val="single" w:sz="12" w:space="0" w:color="002060"/>
              <w:bottom w:val="single" w:sz="4" w:space="0" w:color="auto"/>
              <w:right w:val="single" w:sz="4" w:space="0" w:color="auto"/>
            </w:tcBorders>
            <w:shd w:val="clear" w:color="auto" w:fill="C45911"/>
            <w:noWrap/>
            <w:vAlign w:val="bottom"/>
          </w:tcPr>
          <w:p w14:paraId="626AA12A" w14:textId="77777777" w:rsidR="007B600F" w:rsidRPr="000F54B7" w:rsidRDefault="007B600F" w:rsidP="007B600F">
            <w:pPr>
              <w:spacing w:before="40" w:after="40" w:line="240" w:lineRule="auto"/>
              <w:contextualSpacing w:val="0"/>
              <w:jc w:val="left"/>
              <w:rPr>
                <w:rFonts w:ascii="Andes" w:hAnsi="Andes" w:cs="Arial"/>
                <w:color w:val="FFFFFF" w:themeColor="background1"/>
                <w:szCs w:val="24"/>
              </w:rPr>
            </w:pPr>
            <w:r w:rsidRPr="000F54B7">
              <w:rPr>
                <w:rFonts w:ascii="Andes" w:hAnsi="Andes" w:cs="Arial"/>
                <w:color w:val="FFFFFF" w:themeColor="background1"/>
                <w:szCs w:val="24"/>
              </w:rPr>
              <w:t xml:space="preserve">Partenariats Public-Privé </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B5B787"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4E85C4"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6E943D"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398815"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264FA4"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CA2164"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67" w:type="pct"/>
            <w:tcBorders>
              <w:top w:val="single" w:sz="4" w:space="0" w:color="auto"/>
              <w:left w:val="single" w:sz="4" w:space="0" w:color="auto"/>
              <w:bottom w:val="single" w:sz="4" w:space="0" w:color="auto"/>
              <w:right w:val="single" w:sz="4" w:space="0" w:color="auto"/>
            </w:tcBorders>
          </w:tcPr>
          <w:p w14:paraId="0C6FD8DD"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DF6077"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848853"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6EC2D9" w14:textId="77777777" w:rsidR="007B600F" w:rsidRPr="000F54B7" w:rsidRDefault="007B600F" w:rsidP="007B600F">
            <w:pPr>
              <w:spacing w:before="0" w:after="0" w:line="240" w:lineRule="auto"/>
              <w:contextualSpacing w:val="0"/>
              <w:jc w:val="center"/>
              <w:rPr>
                <w:rFonts w:ascii="Andes" w:hAnsi="Andes" w:cs="Arial"/>
                <w:b/>
                <w:color w:val="000000"/>
                <w:sz w:val="20"/>
              </w:rPr>
            </w:pPr>
            <w:r w:rsidRPr="000F54B7">
              <w:rPr>
                <w:rFonts w:ascii="Andes" w:hAnsi="Andes" w:cs="Arial"/>
                <w:b/>
                <w:bCs/>
                <w:color w:val="000000"/>
                <w:sz w:val="20"/>
              </w:rPr>
              <w:sym w:font="Wingdings 2" w:char="F050"/>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35F1D9" w14:textId="77777777" w:rsidR="007B600F" w:rsidRPr="000F54B7" w:rsidRDefault="007B600F" w:rsidP="007B600F">
            <w:pPr>
              <w:spacing w:before="0" w:after="0" w:line="240" w:lineRule="auto"/>
              <w:contextualSpacing w:val="0"/>
              <w:jc w:val="center"/>
              <w:rPr>
                <w:rFonts w:ascii="Andes" w:hAnsi="Andes" w:cs="Arial"/>
                <w:b/>
                <w:color w:val="000000"/>
                <w:sz w:val="20"/>
              </w:rPr>
            </w:pPr>
            <w:r w:rsidRPr="000F54B7">
              <w:rPr>
                <w:rFonts w:ascii="Andes" w:hAnsi="Andes" w:cs="Arial"/>
                <w:b/>
                <w:bCs/>
                <w:color w:val="000000"/>
                <w:sz w:val="20"/>
              </w:rPr>
              <w:sym w:font="Wingdings 2" w:char="F050"/>
            </w:r>
          </w:p>
        </w:tc>
        <w:tc>
          <w:tcPr>
            <w:tcW w:w="401" w:type="pct"/>
            <w:tcBorders>
              <w:top w:val="single" w:sz="4" w:space="0" w:color="auto"/>
              <w:left w:val="single" w:sz="4" w:space="0" w:color="auto"/>
              <w:bottom w:val="single" w:sz="4" w:space="0" w:color="auto"/>
              <w:right w:val="single" w:sz="12" w:space="0" w:color="002060"/>
            </w:tcBorders>
            <w:vAlign w:val="center"/>
          </w:tcPr>
          <w:p w14:paraId="708BE4C6" w14:textId="77777777" w:rsidR="007B600F" w:rsidRPr="000F54B7" w:rsidRDefault="007B600F" w:rsidP="007B600F">
            <w:pPr>
              <w:spacing w:before="0" w:after="0" w:line="240" w:lineRule="auto"/>
              <w:contextualSpacing w:val="0"/>
              <w:jc w:val="center"/>
              <w:rPr>
                <w:rFonts w:ascii="Andes" w:hAnsi="Andes" w:cs="Arial"/>
                <w:b/>
                <w:color w:val="000000"/>
                <w:sz w:val="20"/>
              </w:rPr>
            </w:pPr>
            <w:r w:rsidRPr="000F54B7">
              <w:rPr>
                <w:rFonts w:ascii="Andes" w:hAnsi="Andes" w:cs="Arial"/>
                <w:b/>
                <w:bCs/>
                <w:color w:val="000000"/>
                <w:sz w:val="20"/>
              </w:rPr>
              <w:sym w:font="Wingdings 2" w:char="F050"/>
            </w:r>
          </w:p>
        </w:tc>
      </w:tr>
      <w:tr w:rsidR="007B600F" w:rsidRPr="00D672E8" w14:paraId="34A157F4" w14:textId="77777777" w:rsidTr="00E76B76">
        <w:trPr>
          <w:trHeight w:val="315"/>
        </w:trPr>
        <w:tc>
          <w:tcPr>
            <w:tcW w:w="1220" w:type="pct"/>
            <w:tcBorders>
              <w:top w:val="single" w:sz="4" w:space="0" w:color="auto"/>
              <w:left w:val="single" w:sz="12" w:space="0" w:color="002060"/>
              <w:bottom w:val="single" w:sz="4" w:space="0" w:color="auto"/>
              <w:right w:val="single" w:sz="4" w:space="0" w:color="auto"/>
            </w:tcBorders>
            <w:shd w:val="clear" w:color="auto" w:fill="C45911"/>
            <w:noWrap/>
            <w:vAlign w:val="bottom"/>
          </w:tcPr>
          <w:p w14:paraId="10B48522" w14:textId="77777777" w:rsidR="007B600F" w:rsidRPr="000F54B7" w:rsidRDefault="007B600F" w:rsidP="007B600F">
            <w:pPr>
              <w:spacing w:before="40" w:after="40" w:line="240" w:lineRule="auto"/>
              <w:contextualSpacing w:val="0"/>
              <w:jc w:val="left"/>
              <w:rPr>
                <w:rFonts w:ascii="Andes" w:hAnsi="Andes" w:cs="Arial"/>
                <w:color w:val="FFFFFF" w:themeColor="background1"/>
                <w:szCs w:val="24"/>
              </w:rPr>
            </w:pPr>
            <w:r w:rsidRPr="000F54B7">
              <w:rPr>
                <w:rFonts w:ascii="Andes" w:hAnsi="Andes" w:cs="Arial"/>
                <w:color w:val="FFFFFF" w:themeColor="background1"/>
                <w:szCs w:val="24"/>
              </w:rPr>
              <w:t>Pratiques commerciales</w:t>
            </w:r>
          </w:p>
        </w:tc>
        <w:tc>
          <w:tcPr>
            <w:tcW w:w="3780" w:type="pct"/>
            <w:gridSpan w:val="12"/>
            <w:tcBorders>
              <w:top w:val="single" w:sz="4" w:space="0" w:color="auto"/>
              <w:left w:val="single" w:sz="4" w:space="0" w:color="auto"/>
              <w:bottom w:val="single" w:sz="4" w:space="0" w:color="auto"/>
              <w:right w:val="single" w:sz="12" w:space="0" w:color="002060"/>
            </w:tcBorders>
            <w:shd w:val="clear" w:color="auto" w:fill="FFFFFF" w:themeFill="background1"/>
            <w:noWrap/>
            <w:vAlign w:val="center"/>
          </w:tcPr>
          <w:p w14:paraId="7864230B" w14:textId="77777777" w:rsidR="007B600F" w:rsidRPr="000F54B7" w:rsidRDefault="007B600F" w:rsidP="007B600F">
            <w:pPr>
              <w:spacing w:before="0" w:after="0" w:line="240" w:lineRule="auto"/>
              <w:contextualSpacing w:val="0"/>
              <w:jc w:val="left"/>
              <w:rPr>
                <w:rFonts w:ascii="Andes" w:hAnsi="Andes" w:cs="Arial"/>
                <w:bCs/>
                <w:color w:val="000000"/>
                <w:sz w:val="20"/>
              </w:rPr>
            </w:pPr>
            <w:r>
              <w:rPr>
                <w:rFonts w:ascii="Andes" w:hAnsi="Andes" w:cs="Arial"/>
                <w:bCs/>
                <w:color w:val="000000"/>
                <w:sz w:val="20"/>
              </w:rPr>
              <w:t>Suivant d</w:t>
            </w:r>
            <w:r w:rsidRPr="000F54B7">
              <w:rPr>
                <w:rFonts w:ascii="Andes" w:hAnsi="Andes" w:cs="Arial"/>
                <w:bCs/>
                <w:color w:val="000000"/>
                <w:sz w:val="20"/>
              </w:rPr>
              <w:t>es pratiques commerciales acceptables de passation des marchés</w:t>
            </w:r>
          </w:p>
        </w:tc>
      </w:tr>
      <w:tr w:rsidR="007B600F" w:rsidRPr="00D672E8" w14:paraId="2A95614B" w14:textId="77777777" w:rsidTr="00E76B76">
        <w:trPr>
          <w:trHeight w:val="315"/>
        </w:trPr>
        <w:tc>
          <w:tcPr>
            <w:tcW w:w="1220" w:type="pct"/>
            <w:tcBorders>
              <w:top w:val="single" w:sz="4" w:space="0" w:color="auto"/>
              <w:left w:val="single" w:sz="12" w:space="0" w:color="002060"/>
              <w:bottom w:val="single" w:sz="4" w:space="0" w:color="auto"/>
              <w:right w:val="single" w:sz="4" w:space="0" w:color="auto"/>
            </w:tcBorders>
            <w:shd w:val="clear" w:color="auto" w:fill="C45911"/>
            <w:noWrap/>
            <w:vAlign w:val="bottom"/>
          </w:tcPr>
          <w:p w14:paraId="2CB80854" w14:textId="77777777" w:rsidR="007B600F" w:rsidRPr="000F54B7" w:rsidRDefault="007B600F" w:rsidP="007B600F">
            <w:pPr>
              <w:spacing w:before="40" w:after="40" w:line="240" w:lineRule="auto"/>
              <w:contextualSpacing w:val="0"/>
              <w:jc w:val="left"/>
              <w:rPr>
                <w:rFonts w:ascii="Andes" w:hAnsi="Andes" w:cs="Arial"/>
                <w:color w:val="FFFFFF" w:themeColor="background1"/>
                <w:szCs w:val="24"/>
              </w:rPr>
            </w:pPr>
            <w:r w:rsidRPr="000F54B7">
              <w:rPr>
                <w:rFonts w:ascii="Andes" w:hAnsi="Andes" w:cs="Arial"/>
                <w:color w:val="FFFFFF" w:themeColor="background1"/>
                <w:szCs w:val="24"/>
              </w:rPr>
              <w:t>Institutions des Nations Unies</w:t>
            </w:r>
          </w:p>
        </w:tc>
        <w:tc>
          <w:tcPr>
            <w:tcW w:w="3780" w:type="pct"/>
            <w:gridSpan w:val="12"/>
            <w:tcBorders>
              <w:top w:val="single" w:sz="4" w:space="0" w:color="auto"/>
              <w:left w:val="single" w:sz="4" w:space="0" w:color="auto"/>
              <w:bottom w:val="single" w:sz="4" w:space="0" w:color="auto"/>
              <w:right w:val="single" w:sz="12" w:space="0" w:color="002060"/>
            </w:tcBorders>
            <w:shd w:val="clear" w:color="auto" w:fill="FFFFFF" w:themeFill="background1"/>
            <w:noWrap/>
            <w:vAlign w:val="center"/>
          </w:tcPr>
          <w:p w14:paraId="2B244C71" w14:textId="77777777" w:rsidR="007B600F" w:rsidRPr="000F54B7" w:rsidRDefault="007B600F" w:rsidP="007B600F">
            <w:pPr>
              <w:spacing w:before="0" w:after="0" w:line="240" w:lineRule="auto"/>
              <w:contextualSpacing w:val="0"/>
              <w:jc w:val="left"/>
              <w:rPr>
                <w:rFonts w:ascii="Andes" w:hAnsi="Andes" w:cs="Arial"/>
                <w:color w:val="000000"/>
                <w:sz w:val="20"/>
              </w:rPr>
            </w:pPr>
            <w:r w:rsidRPr="000F54B7">
              <w:rPr>
                <w:rFonts w:ascii="Andes" w:hAnsi="Andes" w:cs="Arial"/>
                <w:color w:val="000000"/>
                <w:sz w:val="20"/>
              </w:rPr>
              <w:t xml:space="preserve">Suivant les dispositions des paragraphes 6.47 et </w:t>
            </w:r>
            <w:r>
              <w:rPr>
                <w:rFonts w:ascii="Andes" w:hAnsi="Andes" w:cs="Arial"/>
                <w:color w:val="000000"/>
                <w:sz w:val="20"/>
              </w:rPr>
              <w:t>6</w:t>
            </w:r>
            <w:r w:rsidRPr="000F54B7">
              <w:rPr>
                <w:rFonts w:ascii="Andes" w:hAnsi="Andes" w:cs="Arial"/>
                <w:color w:val="000000"/>
                <w:sz w:val="20"/>
              </w:rPr>
              <w:t>.48</w:t>
            </w:r>
          </w:p>
        </w:tc>
      </w:tr>
      <w:tr w:rsidR="00E76B76" w:rsidRPr="000F54B7" w14:paraId="29CE40F1" w14:textId="77777777" w:rsidTr="00E76B76">
        <w:trPr>
          <w:trHeight w:val="315"/>
        </w:trPr>
        <w:tc>
          <w:tcPr>
            <w:tcW w:w="1220" w:type="pct"/>
            <w:tcBorders>
              <w:top w:val="single" w:sz="4" w:space="0" w:color="auto"/>
              <w:left w:val="single" w:sz="12" w:space="0" w:color="002060"/>
              <w:bottom w:val="single" w:sz="4" w:space="0" w:color="auto"/>
              <w:right w:val="single" w:sz="4" w:space="0" w:color="auto"/>
            </w:tcBorders>
            <w:shd w:val="clear" w:color="auto" w:fill="C45911"/>
            <w:vAlign w:val="bottom"/>
          </w:tcPr>
          <w:p w14:paraId="3FC256B5" w14:textId="77777777" w:rsidR="007B600F" w:rsidRPr="000F54B7" w:rsidRDefault="007B600F" w:rsidP="007B600F">
            <w:pPr>
              <w:spacing w:before="40" w:after="40" w:line="240" w:lineRule="auto"/>
              <w:contextualSpacing w:val="0"/>
              <w:jc w:val="left"/>
              <w:rPr>
                <w:rFonts w:ascii="Andes" w:hAnsi="Andes" w:cs="Arial"/>
                <w:color w:val="FFFFFF" w:themeColor="background1"/>
                <w:szCs w:val="24"/>
              </w:rPr>
            </w:pPr>
            <w:r w:rsidRPr="000F54B7">
              <w:rPr>
                <w:rFonts w:ascii="Andes" w:hAnsi="Andes" w:cs="Arial"/>
                <w:color w:val="FFFFFF" w:themeColor="background1"/>
                <w:szCs w:val="24"/>
              </w:rPr>
              <w:t>Enchère</w:t>
            </w:r>
            <w:r>
              <w:rPr>
                <w:rFonts w:ascii="Andes" w:hAnsi="Andes" w:cs="Arial"/>
                <w:color w:val="FFFFFF" w:themeColor="background1"/>
                <w:szCs w:val="24"/>
              </w:rPr>
              <w:t>s</w:t>
            </w:r>
            <w:r w:rsidRPr="000F54B7">
              <w:rPr>
                <w:rFonts w:ascii="Andes" w:hAnsi="Andes" w:cs="Arial"/>
                <w:color w:val="FFFFFF" w:themeColor="background1"/>
                <w:szCs w:val="24"/>
              </w:rPr>
              <w:t xml:space="preserve"> électronique</w:t>
            </w:r>
            <w:r>
              <w:rPr>
                <w:rFonts w:ascii="Andes" w:hAnsi="Andes" w:cs="Arial"/>
                <w:color w:val="FFFFFF" w:themeColor="background1"/>
                <w:szCs w:val="24"/>
              </w:rPr>
              <w:t>s</w:t>
            </w:r>
            <w:r w:rsidRPr="000F54B7">
              <w:rPr>
                <w:rFonts w:ascii="Andes" w:hAnsi="Andes" w:cs="Arial"/>
                <w:color w:val="FFFFFF" w:themeColor="background1"/>
                <w:szCs w:val="24"/>
              </w:rPr>
              <w:t xml:space="preserve"> inversée</w:t>
            </w:r>
            <w:r>
              <w:rPr>
                <w:rFonts w:ascii="Andes" w:hAnsi="Andes" w:cs="Arial"/>
                <w:color w:val="FFFFFF" w:themeColor="background1"/>
                <w:szCs w:val="24"/>
              </w:rPr>
              <w:t>s</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853D24"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874A53"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66" w:type="pct"/>
            <w:tcBorders>
              <w:top w:val="single" w:sz="4" w:space="0" w:color="auto"/>
              <w:left w:val="single" w:sz="4" w:space="0" w:color="auto"/>
              <w:bottom w:val="single" w:sz="4" w:space="0" w:color="auto"/>
              <w:right w:val="single" w:sz="4" w:space="0" w:color="auto"/>
            </w:tcBorders>
            <w:shd w:val="clear" w:color="auto" w:fill="auto"/>
            <w:noWrap/>
          </w:tcPr>
          <w:p w14:paraId="303B0721"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8D4092"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F31B19"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6363CD"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67" w:type="pct"/>
            <w:tcBorders>
              <w:top w:val="single" w:sz="4" w:space="0" w:color="auto"/>
              <w:left w:val="single" w:sz="4" w:space="0" w:color="auto"/>
              <w:bottom w:val="single" w:sz="4" w:space="0" w:color="auto"/>
              <w:right w:val="single" w:sz="4" w:space="0" w:color="auto"/>
            </w:tcBorders>
          </w:tcPr>
          <w:p w14:paraId="60F88184"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8DA12F"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97" w:type="pct"/>
            <w:tcBorders>
              <w:top w:val="single" w:sz="4" w:space="0" w:color="auto"/>
              <w:left w:val="single" w:sz="4" w:space="0" w:color="auto"/>
              <w:bottom w:val="single" w:sz="4" w:space="0" w:color="auto"/>
              <w:right w:val="single" w:sz="4" w:space="0" w:color="auto"/>
            </w:tcBorders>
            <w:shd w:val="clear" w:color="auto" w:fill="auto"/>
            <w:noWrap/>
          </w:tcPr>
          <w:p w14:paraId="2C6D680F"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3DD512" w14:textId="77777777" w:rsidR="007B600F" w:rsidRPr="000F54B7" w:rsidRDefault="007B600F" w:rsidP="007B600F">
            <w:pPr>
              <w:spacing w:before="0" w:after="0" w:line="240" w:lineRule="auto"/>
              <w:contextualSpacing w:val="0"/>
              <w:jc w:val="center"/>
              <w:rPr>
                <w:rFonts w:ascii="Andes" w:hAnsi="Andes" w:cs="Arial"/>
                <w:color w:val="000000"/>
                <w:szCs w:val="24"/>
              </w:rPr>
            </w:pPr>
            <w:r w:rsidRPr="000F54B7">
              <w:rPr>
                <w:rFonts w:ascii="Andes" w:hAnsi="Andes" w:cs="Arial"/>
                <w:b/>
                <w:bCs/>
                <w:color w:val="000000"/>
                <w:sz w:val="20"/>
              </w:rPr>
              <w:t>x</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241AA2" w14:textId="77777777" w:rsidR="007B600F" w:rsidRPr="000F54B7" w:rsidRDefault="007B600F" w:rsidP="007B600F">
            <w:pPr>
              <w:spacing w:before="0" w:after="0" w:line="240" w:lineRule="auto"/>
              <w:contextualSpacing w:val="0"/>
              <w:jc w:val="center"/>
              <w:rPr>
                <w:rFonts w:ascii="Andes" w:hAnsi="Andes" w:cs="Arial"/>
                <w:color w:val="000000"/>
                <w:sz w:val="20"/>
              </w:rPr>
            </w:pPr>
            <w:r w:rsidRPr="000F54B7">
              <w:rPr>
                <w:rFonts w:ascii="Andes" w:hAnsi="Andes" w:cs="Arial"/>
                <w:b/>
                <w:bCs/>
                <w:color w:val="000000"/>
                <w:sz w:val="20"/>
              </w:rPr>
              <w:t>x</w:t>
            </w:r>
          </w:p>
        </w:tc>
        <w:tc>
          <w:tcPr>
            <w:tcW w:w="401" w:type="pct"/>
            <w:tcBorders>
              <w:top w:val="single" w:sz="4" w:space="0" w:color="auto"/>
              <w:left w:val="single" w:sz="4" w:space="0" w:color="auto"/>
              <w:bottom w:val="single" w:sz="4" w:space="0" w:color="auto"/>
              <w:right w:val="single" w:sz="12" w:space="0" w:color="002060"/>
            </w:tcBorders>
          </w:tcPr>
          <w:p w14:paraId="631EA5DF" w14:textId="77777777" w:rsidR="007B600F" w:rsidRPr="000F54B7" w:rsidRDefault="007B600F" w:rsidP="007B600F">
            <w:pPr>
              <w:spacing w:before="0" w:after="0" w:line="240" w:lineRule="auto"/>
              <w:contextualSpacing w:val="0"/>
              <w:jc w:val="center"/>
              <w:rPr>
                <w:rFonts w:ascii="Andes" w:hAnsi="Andes" w:cs="Arial"/>
                <w:color w:val="000000"/>
                <w:szCs w:val="24"/>
              </w:rPr>
            </w:pPr>
            <w:r w:rsidRPr="000F54B7">
              <w:rPr>
                <w:rFonts w:ascii="Andes" w:hAnsi="Andes" w:cs="Arial"/>
                <w:b/>
                <w:bCs/>
                <w:color w:val="000000"/>
                <w:sz w:val="20"/>
              </w:rPr>
              <w:t>x</w:t>
            </w:r>
          </w:p>
        </w:tc>
      </w:tr>
      <w:tr w:rsidR="00E76B76" w:rsidRPr="000F54B7" w14:paraId="6F3BA286" w14:textId="77777777" w:rsidTr="00E76B76">
        <w:trPr>
          <w:trHeight w:val="315"/>
        </w:trPr>
        <w:tc>
          <w:tcPr>
            <w:tcW w:w="1220" w:type="pct"/>
            <w:tcBorders>
              <w:top w:val="single" w:sz="4" w:space="0" w:color="auto"/>
              <w:left w:val="single" w:sz="12" w:space="0" w:color="002060"/>
              <w:bottom w:val="single" w:sz="4" w:space="0" w:color="auto"/>
              <w:right w:val="single" w:sz="4" w:space="0" w:color="auto"/>
            </w:tcBorders>
            <w:shd w:val="clear" w:color="auto" w:fill="C45911"/>
            <w:noWrap/>
            <w:vAlign w:val="bottom"/>
          </w:tcPr>
          <w:p w14:paraId="689E2ABA" w14:textId="77777777" w:rsidR="007B600F" w:rsidRPr="000F54B7" w:rsidRDefault="007B600F" w:rsidP="007B600F">
            <w:pPr>
              <w:spacing w:before="40" w:after="40" w:line="240" w:lineRule="auto"/>
              <w:contextualSpacing w:val="0"/>
              <w:jc w:val="left"/>
              <w:rPr>
                <w:rFonts w:ascii="Andes" w:hAnsi="Andes" w:cs="Arial"/>
                <w:color w:val="FFFFFF" w:themeColor="background1"/>
                <w:szCs w:val="24"/>
              </w:rPr>
            </w:pPr>
            <w:r w:rsidRPr="000F54B7">
              <w:rPr>
                <w:rFonts w:ascii="Andes" w:hAnsi="Andes" w:cs="Arial"/>
                <w:color w:val="FFFFFF" w:themeColor="background1"/>
                <w:szCs w:val="24"/>
              </w:rPr>
              <w:t>Importations</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D9FEDC"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12F6DE"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66" w:type="pct"/>
            <w:tcBorders>
              <w:top w:val="single" w:sz="4" w:space="0" w:color="auto"/>
              <w:left w:val="single" w:sz="4" w:space="0" w:color="auto"/>
              <w:bottom w:val="single" w:sz="4" w:space="0" w:color="auto"/>
              <w:right w:val="single" w:sz="4" w:space="0" w:color="auto"/>
            </w:tcBorders>
            <w:shd w:val="clear" w:color="auto" w:fill="auto"/>
            <w:noWrap/>
          </w:tcPr>
          <w:p w14:paraId="26957E4A"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1A95FA"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F88165"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88D6E9"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67" w:type="pct"/>
            <w:tcBorders>
              <w:top w:val="single" w:sz="4" w:space="0" w:color="auto"/>
              <w:left w:val="single" w:sz="4" w:space="0" w:color="auto"/>
              <w:bottom w:val="single" w:sz="4" w:space="0" w:color="auto"/>
              <w:right w:val="single" w:sz="4" w:space="0" w:color="auto"/>
            </w:tcBorders>
          </w:tcPr>
          <w:p w14:paraId="6AA96C9A"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B8467C"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97" w:type="pct"/>
            <w:tcBorders>
              <w:top w:val="single" w:sz="4" w:space="0" w:color="auto"/>
              <w:left w:val="single" w:sz="4" w:space="0" w:color="auto"/>
              <w:bottom w:val="single" w:sz="4" w:space="0" w:color="auto"/>
              <w:right w:val="single" w:sz="4" w:space="0" w:color="auto"/>
            </w:tcBorders>
            <w:shd w:val="clear" w:color="auto" w:fill="auto"/>
            <w:noWrap/>
          </w:tcPr>
          <w:p w14:paraId="3874C429"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962CD0" w14:textId="77777777" w:rsidR="007B600F" w:rsidRPr="000F54B7" w:rsidRDefault="007B600F" w:rsidP="007B600F">
            <w:pPr>
              <w:spacing w:before="0" w:after="0" w:line="240" w:lineRule="auto"/>
              <w:contextualSpacing w:val="0"/>
              <w:jc w:val="center"/>
              <w:rPr>
                <w:rFonts w:ascii="Andes" w:hAnsi="Andes" w:cs="Arial"/>
                <w:color w:val="000000"/>
                <w:sz w:val="20"/>
              </w:rPr>
            </w:pPr>
            <w:r w:rsidRPr="000F54B7">
              <w:rPr>
                <w:rFonts w:ascii="Andes" w:hAnsi="Andes" w:cs="Arial"/>
                <w:b/>
                <w:bCs/>
                <w:color w:val="000000"/>
                <w:sz w:val="20"/>
              </w:rPr>
              <w:sym w:font="Wingdings 2" w:char="F050"/>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421DA7" w14:textId="77777777" w:rsidR="007B600F" w:rsidRPr="000F54B7" w:rsidRDefault="007B600F" w:rsidP="007B600F">
            <w:pPr>
              <w:spacing w:before="0" w:after="0" w:line="240" w:lineRule="auto"/>
              <w:contextualSpacing w:val="0"/>
              <w:jc w:val="center"/>
              <w:rPr>
                <w:rFonts w:ascii="Andes" w:hAnsi="Andes" w:cs="Arial"/>
                <w:color w:val="000000"/>
                <w:sz w:val="20"/>
              </w:rPr>
            </w:pPr>
            <w:r w:rsidRPr="000F54B7">
              <w:rPr>
                <w:rFonts w:ascii="Andes" w:hAnsi="Andes" w:cs="Arial"/>
                <w:b/>
                <w:bCs/>
                <w:color w:val="000000"/>
                <w:sz w:val="20"/>
              </w:rPr>
              <w:t>x</w:t>
            </w:r>
          </w:p>
        </w:tc>
        <w:tc>
          <w:tcPr>
            <w:tcW w:w="401" w:type="pct"/>
            <w:tcBorders>
              <w:top w:val="single" w:sz="4" w:space="0" w:color="auto"/>
              <w:left w:val="single" w:sz="4" w:space="0" w:color="auto"/>
              <w:bottom w:val="single" w:sz="4" w:space="0" w:color="auto"/>
              <w:right w:val="single" w:sz="12" w:space="0" w:color="002060"/>
            </w:tcBorders>
          </w:tcPr>
          <w:p w14:paraId="31784D56" w14:textId="77777777" w:rsidR="007B600F" w:rsidRPr="000F54B7" w:rsidRDefault="007B600F" w:rsidP="007B600F">
            <w:pPr>
              <w:spacing w:before="0" w:after="0" w:line="240" w:lineRule="auto"/>
              <w:contextualSpacing w:val="0"/>
              <w:jc w:val="center"/>
              <w:rPr>
                <w:rFonts w:ascii="Andes" w:hAnsi="Andes" w:cs="Arial"/>
                <w:color w:val="000000"/>
                <w:szCs w:val="24"/>
              </w:rPr>
            </w:pPr>
            <w:r w:rsidRPr="000F54B7">
              <w:rPr>
                <w:rFonts w:ascii="Andes" w:hAnsi="Andes" w:cs="Arial"/>
                <w:b/>
                <w:bCs/>
                <w:color w:val="000000"/>
                <w:sz w:val="20"/>
              </w:rPr>
              <w:t>x</w:t>
            </w:r>
          </w:p>
        </w:tc>
      </w:tr>
      <w:tr w:rsidR="00E76B76" w:rsidRPr="000F54B7" w14:paraId="10925E09" w14:textId="77777777" w:rsidTr="00E76B76">
        <w:trPr>
          <w:trHeight w:val="315"/>
        </w:trPr>
        <w:tc>
          <w:tcPr>
            <w:tcW w:w="1220" w:type="pct"/>
            <w:tcBorders>
              <w:top w:val="single" w:sz="4" w:space="0" w:color="auto"/>
              <w:left w:val="single" w:sz="12" w:space="0" w:color="002060"/>
              <w:bottom w:val="single" w:sz="4" w:space="0" w:color="auto"/>
              <w:right w:val="single" w:sz="4" w:space="0" w:color="auto"/>
            </w:tcBorders>
            <w:shd w:val="clear" w:color="auto" w:fill="C45911"/>
            <w:noWrap/>
            <w:vAlign w:val="bottom"/>
          </w:tcPr>
          <w:p w14:paraId="5DD6D70E" w14:textId="77777777" w:rsidR="007B600F" w:rsidRPr="000F54B7" w:rsidRDefault="007B600F" w:rsidP="007B600F">
            <w:pPr>
              <w:spacing w:before="40" w:after="40" w:line="240" w:lineRule="auto"/>
              <w:contextualSpacing w:val="0"/>
              <w:jc w:val="left"/>
              <w:rPr>
                <w:rFonts w:ascii="Andes" w:hAnsi="Andes" w:cs="Arial"/>
                <w:color w:val="FFFFFF" w:themeColor="background1"/>
                <w:szCs w:val="24"/>
              </w:rPr>
            </w:pPr>
            <w:r>
              <w:rPr>
                <w:rFonts w:ascii="Andes" w:hAnsi="Andes" w:cs="Arial"/>
                <w:color w:val="FFFFFF" w:themeColor="background1"/>
                <w:szCs w:val="24"/>
              </w:rPr>
              <w:t>Matières premières</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050EFA"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1C4CF5"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66" w:type="pct"/>
            <w:tcBorders>
              <w:top w:val="single" w:sz="4" w:space="0" w:color="auto"/>
              <w:left w:val="single" w:sz="4" w:space="0" w:color="auto"/>
              <w:bottom w:val="single" w:sz="4" w:space="0" w:color="auto"/>
              <w:right w:val="single" w:sz="4" w:space="0" w:color="auto"/>
            </w:tcBorders>
            <w:shd w:val="clear" w:color="auto" w:fill="auto"/>
            <w:noWrap/>
          </w:tcPr>
          <w:p w14:paraId="67C13F6C"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AB0C11"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FACF5A"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F18E2F"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67" w:type="pct"/>
            <w:tcBorders>
              <w:top w:val="single" w:sz="4" w:space="0" w:color="auto"/>
              <w:left w:val="single" w:sz="4" w:space="0" w:color="auto"/>
              <w:bottom w:val="single" w:sz="4" w:space="0" w:color="auto"/>
              <w:right w:val="single" w:sz="4" w:space="0" w:color="auto"/>
            </w:tcBorders>
          </w:tcPr>
          <w:p w14:paraId="40E85680"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4B3389"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97" w:type="pct"/>
            <w:tcBorders>
              <w:top w:val="single" w:sz="4" w:space="0" w:color="auto"/>
              <w:left w:val="single" w:sz="4" w:space="0" w:color="auto"/>
              <w:bottom w:val="single" w:sz="4" w:space="0" w:color="auto"/>
              <w:right w:val="single" w:sz="4" w:space="0" w:color="auto"/>
            </w:tcBorders>
            <w:shd w:val="clear" w:color="auto" w:fill="auto"/>
            <w:noWrap/>
          </w:tcPr>
          <w:p w14:paraId="5C04C9BD"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06" w:type="pct"/>
            <w:tcBorders>
              <w:top w:val="single" w:sz="4" w:space="0" w:color="auto"/>
              <w:left w:val="single" w:sz="4" w:space="0" w:color="auto"/>
              <w:bottom w:val="single" w:sz="4" w:space="0" w:color="auto"/>
              <w:right w:val="single" w:sz="4" w:space="0" w:color="auto"/>
            </w:tcBorders>
            <w:shd w:val="clear" w:color="auto" w:fill="auto"/>
            <w:noWrap/>
          </w:tcPr>
          <w:p w14:paraId="3EBC2FA0" w14:textId="77777777" w:rsidR="007B600F" w:rsidRPr="000F54B7" w:rsidRDefault="007B600F" w:rsidP="007B600F">
            <w:pPr>
              <w:spacing w:before="0" w:after="0" w:line="240" w:lineRule="auto"/>
              <w:contextualSpacing w:val="0"/>
              <w:jc w:val="center"/>
              <w:rPr>
                <w:rFonts w:ascii="Andes" w:hAnsi="Andes" w:cs="Arial"/>
                <w:color w:val="000000"/>
                <w:szCs w:val="24"/>
              </w:rPr>
            </w:pPr>
            <w:r w:rsidRPr="000F54B7">
              <w:rPr>
                <w:rFonts w:ascii="Andes" w:hAnsi="Andes" w:cs="Arial"/>
                <w:b/>
                <w:bCs/>
                <w:color w:val="000000"/>
                <w:sz w:val="20"/>
              </w:rPr>
              <w:t>x</w:t>
            </w:r>
          </w:p>
        </w:tc>
        <w:tc>
          <w:tcPr>
            <w:tcW w:w="328" w:type="pct"/>
            <w:tcBorders>
              <w:top w:val="single" w:sz="4" w:space="0" w:color="auto"/>
              <w:left w:val="single" w:sz="4" w:space="0" w:color="auto"/>
              <w:bottom w:val="single" w:sz="4" w:space="0" w:color="auto"/>
              <w:right w:val="single" w:sz="4" w:space="0" w:color="auto"/>
            </w:tcBorders>
            <w:shd w:val="clear" w:color="auto" w:fill="auto"/>
            <w:noWrap/>
          </w:tcPr>
          <w:p w14:paraId="547BF067" w14:textId="77777777" w:rsidR="007B600F" w:rsidRPr="000F54B7" w:rsidRDefault="007B600F" w:rsidP="007B600F">
            <w:pPr>
              <w:spacing w:before="0" w:after="0" w:line="240" w:lineRule="auto"/>
              <w:contextualSpacing w:val="0"/>
              <w:jc w:val="center"/>
              <w:rPr>
                <w:rFonts w:ascii="Andes" w:hAnsi="Andes" w:cs="Arial"/>
                <w:color w:val="000000"/>
                <w:szCs w:val="24"/>
              </w:rPr>
            </w:pPr>
            <w:r w:rsidRPr="000F54B7">
              <w:rPr>
                <w:rFonts w:ascii="Andes" w:hAnsi="Andes" w:cs="Arial"/>
                <w:b/>
                <w:bCs/>
                <w:color w:val="000000"/>
                <w:sz w:val="20"/>
              </w:rPr>
              <w:t>x</w:t>
            </w:r>
          </w:p>
        </w:tc>
        <w:tc>
          <w:tcPr>
            <w:tcW w:w="401" w:type="pct"/>
            <w:tcBorders>
              <w:top w:val="single" w:sz="4" w:space="0" w:color="auto"/>
              <w:left w:val="single" w:sz="4" w:space="0" w:color="auto"/>
              <w:bottom w:val="single" w:sz="4" w:space="0" w:color="auto"/>
              <w:right w:val="single" w:sz="12" w:space="0" w:color="002060"/>
            </w:tcBorders>
          </w:tcPr>
          <w:p w14:paraId="31C2931C" w14:textId="77777777" w:rsidR="007B600F" w:rsidRPr="000F54B7" w:rsidRDefault="007B600F" w:rsidP="007B600F">
            <w:pPr>
              <w:spacing w:before="0" w:after="0" w:line="240" w:lineRule="auto"/>
              <w:contextualSpacing w:val="0"/>
              <w:jc w:val="center"/>
              <w:rPr>
                <w:rFonts w:ascii="Andes" w:hAnsi="Andes" w:cs="Arial"/>
                <w:color w:val="000000"/>
                <w:szCs w:val="24"/>
              </w:rPr>
            </w:pPr>
            <w:r w:rsidRPr="000F54B7">
              <w:rPr>
                <w:rFonts w:ascii="Andes" w:hAnsi="Andes" w:cs="Arial"/>
                <w:b/>
                <w:bCs/>
                <w:color w:val="000000"/>
                <w:sz w:val="20"/>
              </w:rPr>
              <w:t>x</w:t>
            </w:r>
          </w:p>
        </w:tc>
      </w:tr>
      <w:tr w:rsidR="00E76B76" w:rsidRPr="000F54B7" w14:paraId="67276456" w14:textId="77777777" w:rsidTr="00E76B76">
        <w:trPr>
          <w:trHeight w:val="315"/>
        </w:trPr>
        <w:tc>
          <w:tcPr>
            <w:tcW w:w="1220" w:type="pct"/>
            <w:tcBorders>
              <w:top w:val="single" w:sz="4" w:space="0" w:color="auto"/>
              <w:left w:val="single" w:sz="12" w:space="0" w:color="002060"/>
              <w:bottom w:val="single" w:sz="4" w:space="0" w:color="auto"/>
              <w:right w:val="single" w:sz="4" w:space="0" w:color="auto"/>
            </w:tcBorders>
            <w:shd w:val="clear" w:color="auto" w:fill="C45911"/>
            <w:noWrap/>
            <w:vAlign w:val="bottom"/>
          </w:tcPr>
          <w:p w14:paraId="5A2E2FF9" w14:textId="77777777" w:rsidR="007B600F" w:rsidRPr="000F54B7" w:rsidRDefault="007B600F" w:rsidP="007B600F">
            <w:pPr>
              <w:spacing w:before="40" w:after="40" w:line="240" w:lineRule="auto"/>
              <w:contextualSpacing w:val="0"/>
              <w:jc w:val="left"/>
              <w:rPr>
                <w:rFonts w:ascii="Andes" w:hAnsi="Andes" w:cs="Arial"/>
                <w:color w:val="FFFFFF" w:themeColor="background1"/>
                <w:szCs w:val="24"/>
              </w:rPr>
            </w:pPr>
            <w:r>
              <w:rPr>
                <w:rFonts w:ascii="Andes" w:hAnsi="Andes" w:cs="Arial"/>
                <w:color w:val="FFFFFF" w:themeColor="background1"/>
                <w:szCs w:val="24"/>
              </w:rPr>
              <w:t>Participation Communautaire au Développement</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F33FD8"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E519E2"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1ED9D3"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415" w:type="pct"/>
            <w:tcBorders>
              <w:top w:val="single" w:sz="4" w:space="0" w:color="auto"/>
              <w:left w:val="single" w:sz="4" w:space="0" w:color="auto"/>
              <w:bottom w:val="single" w:sz="4" w:space="0" w:color="auto"/>
              <w:right w:val="single" w:sz="4" w:space="0" w:color="auto"/>
            </w:tcBorders>
            <w:shd w:val="clear" w:color="auto" w:fill="auto"/>
            <w:noWrap/>
          </w:tcPr>
          <w:p w14:paraId="009774FC"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6F8871"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4" w:space="0" w:color="auto"/>
              <w:left w:val="single" w:sz="4" w:space="0" w:color="auto"/>
              <w:bottom w:val="single" w:sz="4" w:space="0" w:color="auto"/>
              <w:right w:val="single" w:sz="4" w:space="0" w:color="auto"/>
            </w:tcBorders>
            <w:shd w:val="clear" w:color="auto" w:fill="auto"/>
            <w:noWrap/>
          </w:tcPr>
          <w:p w14:paraId="4AD226ED"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67" w:type="pct"/>
            <w:tcBorders>
              <w:top w:val="single" w:sz="4" w:space="0" w:color="auto"/>
              <w:left w:val="single" w:sz="4" w:space="0" w:color="auto"/>
              <w:bottom w:val="single" w:sz="4" w:space="0" w:color="auto"/>
              <w:right w:val="single" w:sz="4" w:space="0" w:color="auto"/>
            </w:tcBorders>
          </w:tcPr>
          <w:p w14:paraId="7B2C2929"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340CA4"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297" w:type="pct"/>
            <w:tcBorders>
              <w:top w:val="single" w:sz="4" w:space="0" w:color="auto"/>
              <w:left w:val="single" w:sz="4" w:space="0" w:color="auto"/>
              <w:bottom w:val="single" w:sz="4" w:space="0" w:color="auto"/>
              <w:right w:val="single" w:sz="4" w:space="0" w:color="auto"/>
            </w:tcBorders>
            <w:shd w:val="clear" w:color="auto" w:fill="auto"/>
            <w:noWrap/>
          </w:tcPr>
          <w:p w14:paraId="2FD5EE6F"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06" w:type="pct"/>
            <w:tcBorders>
              <w:top w:val="single" w:sz="4" w:space="0" w:color="auto"/>
              <w:left w:val="single" w:sz="4" w:space="0" w:color="auto"/>
              <w:bottom w:val="single" w:sz="4" w:space="0" w:color="auto"/>
              <w:right w:val="single" w:sz="4" w:space="0" w:color="auto"/>
            </w:tcBorders>
            <w:shd w:val="clear" w:color="auto" w:fill="auto"/>
            <w:noWrap/>
          </w:tcPr>
          <w:p w14:paraId="3D28DFA8" w14:textId="77777777" w:rsidR="007B600F" w:rsidRPr="000F54B7" w:rsidRDefault="007B600F" w:rsidP="007B600F">
            <w:pPr>
              <w:spacing w:before="0" w:after="0" w:line="240" w:lineRule="auto"/>
              <w:contextualSpacing w:val="0"/>
              <w:jc w:val="center"/>
              <w:rPr>
                <w:rFonts w:ascii="Andes" w:hAnsi="Andes" w:cs="Arial"/>
                <w:color w:val="000000"/>
                <w:szCs w:val="24"/>
              </w:rPr>
            </w:pPr>
            <w:r w:rsidRPr="000F54B7">
              <w:rPr>
                <w:rFonts w:ascii="Andes" w:hAnsi="Andes" w:cs="Arial"/>
                <w:b/>
                <w:bCs/>
                <w:color w:val="000000"/>
                <w:sz w:val="20"/>
              </w:rPr>
              <w:t>x</w:t>
            </w:r>
          </w:p>
        </w:tc>
        <w:tc>
          <w:tcPr>
            <w:tcW w:w="328" w:type="pct"/>
            <w:tcBorders>
              <w:top w:val="single" w:sz="4" w:space="0" w:color="auto"/>
              <w:left w:val="single" w:sz="4" w:space="0" w:color="auto"/>
              <w:bottom w:val="single" w:sz="4" w:space="0" w:color="auto"/>
              <w:right w:val="single" w:sz="4" w:space="0" w:color="auto"/>
            </w:tcBorders>
            <w:shd w:val="clear" w:color="auto" w:fill="auto"/>
            <w:noWrap/>
          </w:tcPr>
          <w:p w14:paraId="641906DF" w14:textId="77777777" w:rsidR="007B600F" w:rsidRPr="000F54B7" w:rsidRDefault="007B600F" w:rsidP="007B600F">
            <w:pPr>
              <w:spacing w:before="0" w:after="0" w:line="240" w:lineRule="auto"/>
              <w:contextualSpacing w:val="0"/>
              <w:jc w:val="center"/>
              <w:rPr>
                <w:rFonts w:ascii="Andes" w:hAnsi="Andes" w:cs="Arial"/>
                <w:color w:val="000000"/>
                <w:szCs w:val="24"/>
              </w:rPr>
            </w:pPr>
            <w:r w:rsidRPr="000F54B7">
              <w:rPr>
                <w:rFonts w:ascii="Andes" w:hAnsi="Andes" w:cs="Arial"/>
                <w:b/>
                <w:bCs/>
                <w:color w:val="000000"/>
                <w:sz w:val="20"/>
              </w:rPr>
              <w:t>x</w:t>
            </w:r>
          </w:p>
        </w:tc>
        <w:tc>
          <w:tcPr>
            <w:tcW w:w="401" w:type="pct"/>
            <w:tcBorders>
              <w:top w:val="single" w:sz="4" w:space="0" w:color="auto"/>
              <w:left w:val="single" w:sz="4" w:space="0" w:color="auto"/>
              <w:bottom w:val="single" w:sz="4" w:space="0" w:color="auto"/>
              <w:right w:val="single" w:sz="12" w:space="0" w:color="002060"/>
            </w:tcBorders>
          </w:tcPr>
          <w:p w14:paraId="2F2986DC" w14:textId="77777777" w:rsidR="007B600F" w:rsidRPr="000F54B7" w:rsidRDefault="007B600F" w:rsidP="007B600F">
            <w:pPr>
              <w:spacing w:before="0" w:after="0" w:line="240" w:lineRule="auto"/>
              <w:contextualSpacing w:val="0"/>
              <w:jc w:val="center"/>
              <w:rPr>
                <w:rFonts w:ascii="Andes" w:hAnsi="Andes" w:cs="Arial"/>
                <w:color w:val="000000"/>
                <w:szCs w:val="24"/>
              </w:rPr>
            </w:pPr>
            <w:r w:rsidRPr="000F54B7">
              <w:rPr>
                <w:rFonts w:ascii="Andes" w:hAnsi="Andes" w:cs="Arial"/>
                <w:b/>
                <w:bCs/>
                <w:color w:val="000000"/>
                <w:sz w:val="20"/>
              </w:rPr>
              <w:t>x</w:t>
            </w:r>
          </w:p>
        </w:tc>
      </w:tr>
      <w:tr w:rsidR="00E76B76" w:rsidRPr="000F54B7" w14:paraId="19469386" w14:textId="77777777" w:rsidTr="00E76B76">
        <w:trPr>
          <w:trHeight w:val="315"/>
        </w:trPr>
        <w:tc>
          <w:tcPr>
            <w:tcW w:w="1220" w:type="pct"/>
            <w:tcBorders>
              <w:top w:val="single" w:sz="4" w:space="0" w:color="auto"/>
              <w:left w:val="single" w:sz="12" w:space="0" w:color="002060"/>
              <w:bottom w:val="single" w:sz="12" w:space="0" w:color="002060"/>
              <w:right w:val="single" w:sz="4" w:space="0" w:color="auto"/>
            </w:tcBorders>
            <w:shd w:val="clear" w:color="auto" w:fill="C45911"/>
            <w:noWrap/>
            <w:vAlign w:val="bottom"/>
          </w:tcPr>
          <w:p w14:paraId="6D411CD8" w14:textId="77777777" w:rsidR="007B600F" w:rsidRPr="000F54B7" w:rsidRDefault="007B600F" w:rsidP="007B600F">
            <w:pPr>
              <w:spacing w:before="40" w:after="40" w:line="240" w:lineRule="auto"/>
              <w:contextualSpacing w:val="0"/>
              <w:jc w:val="left"/>
              <w:rPr>
                <w:rFonts w:ascii="Andes" w:hAnsi="Andes" w:cs="Arial"/>
                <w:color w:val="FFFFFF" w:themeColor="background1"/>
                <w:szCs w:val="24"/>
              </w:rPr>
            </w:pPr>
            <w:r w:rsidRPr="000F54B7">
              <w:rPr>
                <w:rFonts w:ascii="Andes" w:hAnsi="Andes" w:cs="Arial"/>
                <w:color w:val="FFFFFF" w:themeColor="background1"/>
                <w:szCs w:val="24"/>
              </w:rPr>
              <w:t>Régies</w:t>
            </w:r>
          </w:p>
        </w:tc>
        <w:tc>
          <w:tcPr>
            <w:tcW w:w="297" w:type="pct"/>
            <w:tcBorders>
              <w:top w:val="single" w:sz="4" w:space="0" w:color="auto"/>
              <w:left w:val="single" w:sz="4" w:space="0" w:color="auto"/>
              <w:bottom w:val="single" w:sz="12" w:space="0" w:color="002060"/>
              <w:right w:val="single" w:sz="4" w:space="0" w:color="auto"/>
            </w:tcBorders>
            <w:shd w:val="clear" w:color="auto" w:fill="auto"/>
            <w:noWrap/>
          </w:tcPr>
          <w:p w14:paraId="75FC6FFE"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385" w:type="pct"/>
            <w:tcBorders>
              <w:top w:val="single" w:sz="4" w:space="0" w:color="auto"/>
              <w:left w:val="single" w:sz="4" w:space="0" w:color="auto"/>
              <w:bottom w:val="single" w:sz="12" w:space="0" w:color="002060"/>
              <w:right w:val="single" w:sz="4" w:space="0" w:color="auto"/>
            </w:tcBorders>
            <w:shd w:val="clear" w:color="auto" w:fill="auto"/>
            <w:noWrap/>
          </w:tcPr>
          <w:p w14:paraId="70616845"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66" w:type="pct"/>
            <w:tcBorders>
              <w:top w:val="single" w:sz="4" w:space="0" w:color="auto"/>
              <w:left w:val="single" w:sz="4" w:space="0" w:color="auto"/>
              <w:bottom w:val="single" w:sz="12" w:space="0" w:color="002060"/>
              <w:right w:val="single" w:sz="4" w:space="0" w:color="auto"/>
            </w:tcBorders>
            <w:shd w:val="clear" w:color="auto" w:fill="auto"/>
            <w:noWrap/>
            <w:vAlign w:val="center"/>
          </w:tcPr>
          <w:p w14:paraId="63EA08CA"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415" w:type="pct"/>
            <w:tcBorders>
              <w:top w:val="single" w:sz="4" w:space="0" w:color="auto"/>
              <w:left w:val="single" w:sz="4" w:space="0" w:color="auto"/>
              <w:bottom w:val="single" w:sz="12" w:space="0" w:color="002060"/>
              <w:right w:val="single" w:sz="4" w:space="0" w:color="auto"/>
            </w:tcBorders>
            <w:shd w:val="clear" w:color="auto" w:fill="auto"/>
            <w:noWrap/>
          </w:tcPr>
          <w:p w14:paraId="2460129D"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326" w:type="pct"/>
            <w:tcBorders>
              <w:top w:val="single" w:sz="4" w:space="0" w:color="auto"/>
              <w:left w:val="single" w:sz="4" w:space="0" w:color="auto"/>
              <w:bottom w:val="single" w:sz="12" w:space="0" w:color="002060"/>
              <w:right w:val="single" w:sz="4" w:space="0" w:color="auto"/>
            </w:tcBorders>
            <w:shd w:val="clear" w:color="auto" w:fill="auto"/>
            <w:noWrap/>
            <w:vAlign w:val="center"/>
          </w:tcPr>
          <w:p w14:paraId="14B6D3B9"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sym w:font="Wingdings 2" w:char="F050"/>
            </w:r>
          </w:p>
        </w:tc>
        <w:tc>
          <w:tcPr>
            <w:tcW w:w="326" w:type="pct"/>
            <w:tcBorders>
              <w:top w:val="single" w:sz="4" w:space="0" w:color="auto"/>
              <w:left w:val="single" w:sz="4" w:space="0" w:color="auto"/>
              <w:bottom w:val="single" w:sz="12" w:space="0" w:color="002060"/>
              <w:right w:val="single" w:sz="4" w:space="0" w:color="auto"/>
            </w:tcBorders>
            <w:shd w:val="clear" w:color="auto" w:fill="auto"/>
            <w:noWrap/>
          </w:tcPr>
          <w:p w14:paraId="44E52D02"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67" w:type="pct"/>
            <w:tcBorders>
              <w:top w:val="single" w:sz="4" w:space="0" w:color="auto"/>
              <w:left w:val="single" w:sz="4" w:space="0" w:color="auto"/>
              <w:bottom w:val="single" w:sz="12" w:space="0" w:color="002060"/>
              <w:right w:val="single" w:sz="4" w:space="0" w:color="auto"/>
            </w:tcBorders>
          </w:tcPr>
          <w:p w14:paraId="26FC8689"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66" w:type="pct"/>
            <w:tcBorders>
              <w:top w:val="single" w:sz="4" w:space="0" w:color="auto"/>
              <w:left w:val="single" w:sz="4" w:space="0" w:color="auto"/>
              <w:bottom w:val="single" w:sz="12" w:space="0" w:color="002060"/>
              <w:right w:val="single" w:sz="4" w:space="0" w:color="auto"/>
            </w:tcBorders>
            <w:shd w:val="clear" w:color="auto" w:fill="auto"/>
            <w:noWrap/>
            <w:vAlign w:val="center"/>
          </w:tcPr>
          <w:p w14:paraId="40C20352"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97" w:type="pct"/>
            <w:tcBorders>
              <w:top w:val="single" w:sz="4" w:space="0" w:color="auto"/>
              <w:left w:val="single" w:sz="4" w:space="0" w:color="auto"/>
              <w:bottom w:val="single" w:sz="12" w:space="0" w:color="002060"/>
              <w:right w:val="single" w:sz="4" w:space="0" w:color="auto"/>
            </w:tcBorders>
            <w:shd w:val="clear" w:color="auto" w:fill="auto"/>
            <w:noWrap/>
          </w:tcPr>
          <w:p w14:paraId="6E063A8D" w14:textId="77777777" w:rsidR="007B600F" w:rsidRPr="000F54B7" w:rsidRDefault="007B600F" w:rsidP="007B600F">
            <w:pPr>
              <w:spacing w:before="0" w:after="0" w:line="240" w:lineRule="auto"/>
              <w:contextualSpacing w:val="0"/>
              <w:jc w:val="center"/>
              <w:rPr>
                <w:rFonts w:ascii="Andes" w:hAnsi="Andes" w:cs="Arial"/>
                <w:b/>
                <w:bCs/>
                <w:color w:val="000000"/>
                <w:sz w:val="20"/>
              </w:rPr>
            </w:pPr>
            <w:r w:rsidRPr="000F54B7">
              <w:rPr>
                <w:rFonts w:ascii="Andes" w:hAnsi="Andes" w:cs="Arial"/>
                <w:b/>
                <w:bCs/>
                <w:color w:val="000000"/>
                <w:sz w:val="20"/>
              </w:rPr>
              <w:t>x</w:t>
            </w:r>
          </w:p>
        </w:tc>
        <w:tc>
          <w:tcPr>
            <w:tcW w:w="206" w:type="pct"/>
            <w:tcBorders>
              <w:top w:val="single" w:sz="4" w:space="0" w:color="auto"/>
              <w:left w:val="single" w:sz="4" w:space="0" w:color="auto"/>
              <w:bottom w:val="single" w:sz="12" w:space="0" w:color="002060"/>
              <w:right w:val="single" w:sz="4" w:space="0" w:color="auto"/>
            </w:tcBorders>
            <w:shd w:val="clear" w:color="auto" w:fill="auto"/>
            <w:noWrap/>
          </w:tcPr>
          <w:p w14:paraId="0001244B" w14:textId="77777777" w:rsidR="007B600F" w:rsidRPr="000F54B7" w:rsidRDefault="007B600F" w:rsidP="007B600F">
            <w:pPr>
              <w:spacing w:before="0" w:after="0" w:line="240" w:lineRule="auto"/>
              <w:contextualSpacing w:val="0"/>
              <w:jc w:val="center"/>
              <w:rPr>
                <w:rFonts w:ascii="Andes" w:hAnsi="Andes" w:cs="Arial"/>
                <w:color w:val="000000"/>
                <w:szCs w:val="24"/>
              </w:rPr>
            </w:pPr>
            <w:r w:rsidRPr="000F54B7">
              <w:rPr>
                <w:rFonts w:ascii="Andes" w:hAnsi="Andes" w:cs="Arial"/>
                <w:b/>
                <w:bCs/>
                <w:color w:val="000000"/>
                <w:sz w:val="20"/>
              </w:rPr>
              <w:t>x</w:t>
            </w:r>
          </w:p>
        </w:tc>
        <w:tc>
          <w:tcPr>
            <w:tcW w:w="328" w:type="pct"/>
            <w:tcBorders>
              <w:top w:val="single" w:sz="4" w:space="0" w:color="auto"/>
              <w:left w:val="single" w:sz="4" w:space="0" w:color="auto"/>
              <w:bottom w:val="single" w:sz="12" w:space="0" w:color="002060"/>
              <w:right w:val="single" w:sz="4" w:space="0" w:color="auto"/>
            </w:tcBorders>
            <w:shd w:val="clear" w:color="auto" w:fill="auto"/>
            <w:noWrap/>
          </w:tcPr>
          <w:p w14:paraId="46DA0878" w14:textId="77777777" w:rsidR="007B600F" w:rsidRPr="000F54B7" w:rsidRDefault="007B600F" w:rsidP="007B600F">
            <w:pPr>
              <w:spacing w:before="0" w:after="0" w:line="240" w:lineRule="auto"/>
              <w:contextualSpacing w:val="0"/>
              <w:jc w:val="center"/>
              <w:rPr>
                <w:rFonts w:ascii="Andes" w:hAnsi="Andes" w:cs="Arial"/>
                <w:color w:val="000000"/>
                <w:szCs w:val="24"/>
              </w:rPr>
            </w:pPr>
            <w:r w:rsidRPr="000F54B7">
              <w:rPr>
                <w:rFonts w:ascii="Andes" w:hAnsi="Andes" w:cs="Arial"/>
                <w:b/>
                <w:bCs/>
                <w:color w:val="000000"/>
                <w:sz w:val="20"/>
              </w:rPr>
              <w:t>x</w:t>
            </w:r>
          </w:p>
        </w:tc>
        <w:tc>
          <w:tcPr>
            <w:tcW w:w="401" w:type="pct"/>
            <w:tcBorders>
              <w:top w:val="single" w:sz="4" w:space="0" w:color="auto"/>
              <w:left w:val="single" w:sz="4" w:space="0" w:color="auto"/>
              <w:bottom w:val="single" w:sz="12" w:space="0" w:color="002060"/>
              <w:right w:val="single" w:sz="12" w:space="0" w:color="002060"/>
            </w:tcBorders>
          </w:tcPr>
          <w:p w14:paraId="3583B86A" w14:textId="77777777" w:rsidR="007B600F" w:rsidRPr="000F54B7" w:rsidRDefault="007B600F" w:rsidP="007B600F">
            <w:pPr>
              <w:spacing w:before="0" w:after="0" w:line="240" w:lineRule="auto"/>
              <w:contextualSpacing w:val="0"/>
              <w:jc w:val="center"/>
              <w:rPr>
                <w:rFonts w:ascii="Andes" w:hAnsi="Andes" w:cs="Arial"/>
                <w:color w:val="000000"/>
                <w:szCs w:val="24"/>
              </w:rPr>
            </w:pPr>
            <w:r w:rsidRPr="000F54B7">
              <w:rPr>
                <w:rFonts w:ascii="Andes" w:hAnsi="Andes" w:cs="Arial"/>
                <w:b/>
                <w:bCs/>
                <w:color w:val="000000"/>
                <w:sz w:val="20"/>
              </w:rPr>
              <w:t>x</w:t>
            </w:r>
          </w:p>
        </w:tc>
      </w:tr>
    </w:tbl>
    <w:p w14:paraId="09ACD471" w14:textId="77777777" w:rsidR="006D600B" w:rsidRPr="000F54B7" w:rsidRDefault="006D600B" w:rsidP="006D600B">
      <w:pPr>
        <w:rPr>
          <w:sz w:val="4"/>
          <w:szCs w:val="4"/>
        </w:rPr>
      </w:pPr>
    </w:p>
    <w:p w14:paraId="383899F1" w14:textId="3ABCF893" w:rsidR="006D600B" w:rsidRPr="000F54B7" w:rsidRDefault="006D600B" w:rsidP="006D600B">
      <w:pPr>
        <w:spacing w:before="0" w:after="0" w:line="240" w:lineRule="auto"/>
        <w:ind w:left="360" w:hanging="360"/>
        <w:contextualSpacing w:val="0"/>
        <w:jc w:val="left"/>
        <w:rPr>
          <w:rFonts w:ascii="Andes" w:hAnsi="Andes" w:cs="Arial"/>
          <w:b/>
          <w:bCs/>
          <w:color w:val="000000"/>
          <w:sz w:val="16"/>
          <w:szCs w:val="16"/>
        </w:rPr>
      </w:pPr>
      <w:r w:rsidRPr="000F54B7">
        <w:rPr>
          <w:rFonts w:ascii="Andes" w:hAnsi="Andes" w:cs="Arial"/>
          <w:b/>
          <w:bCs/>
          <w:color w:val="000000"/>
          <w:sz w:val="16"/>
          <w:szCs w:val="16"/>
        </w:rPr>
        <w:sym w:font="Wingdings 2" w:char="F050"/>
      </w:r>
      <w:r w:rsidRPr="000F54B7">
        <w:rPr>
          <w:rFonts w:ascii="Andes" w:hAnsi="Andes" w:cs="Arial"/>
          <w:b/>
          <w:bCs/>
          <w:color w:val="000000"/>
          <w:sz w:val="16"/>
          <w:szCs w:val="16"/>
        </w:rPr>
        <w:t xml:space="preserve"> </w:t>
      </w:r>
      <w:r w:rsidRPr="000F54B7">
        <w:rPr>
          <w:rFonts w:ascii="Andes" w:hAnsi="Andes" w:cs="Arial"/>
          <w:b/>
          <w:bCs/>
          <w:color w:val="000000"/>
          <w:sz w:val="16"/>
          <w:szCs w:val="16"/>
        </w:rPr>
        <w:tab/>
      </w:r>
      <w:r w:rsidR="007E5DEB">
        <w:rPr>
          <w:rFonts w:ascii="Andes" w:hAnsi="Andes" w:cs="Arial"/>
          <w:b/>
          <w:bCs/>
          <w:color w:val="000000"/>
          <w:sz w:val="16"/>
          <w:szCs w:val="16"/>
        </w:rPr>
        <w:t>O</w:t>
      </w:r>
      <w:r w:rsidR="007E5DEB" w:rsidRPr="007E5DEB">
        <w:rPr>
          <w:rFonts w:ascii="Andes" w:hAnsi="Andes" w:cs="Arial"/>
          <w:b/>
          <w:bCs/>
          <w:color w:val="000000"/>
          <w:sz w:val="16"/>
          <w:szCs w:val="16"/>
        </w:rPr>
        <w:t xml:space="preserve">ption d’approche de marché </w:t>
      </w:r>
      <w:r>
        <w:rPr>
          <w:rFonts w:ascii="Andes" w:hAnsi="Andes" w:cs="Arial"/>
          <w:b/>
          <w:bCs/>
          <w:color w:val="000000"/>
          <w:sz w:val="16"/>
          <w:szCs w:val="16"/>
        </w:rPr>
        <w:t>possible</w:t>
      </w:r>
      <w:r w:rsidRPr="000F54B7">
        <w:rPr>
          <w:rFonts w:ascii="Andes" w:hAnsi="Andes" w:cs="Arial"/>
          <w:b/>
          <w:bCs/>
          <w:color w:val="000000"/>
          <w:sz w:val="16"/>
          <w:szCs w:val="16"/>
        </w:rPr>
        <w:t xml:space="preserve">.                </w:t>
      </w:r>
      <w:r>
        <w:rPr>
          <w:rFonts w:ascii="Andes" w:hAnsi="Andes" w:cs="Arial"/>
          <w:b/>
          <w:bCs/>
          <w:color w:val="000000"/>
          <w:sz w:val="16"/>
          <w:szCs w:val="16"/>
        </w:rPr>
        <w:t xml:space="preserve">X     </w:t>
      </w:r>
      <w:r w:rsidR="00D75B95">
        <w:rPr>
          <w:rFonts w:ascii="Andes" w:hAnsi="Andes" w:cs="Arial"/>
          <w:b/>
          <w:bCs/>
          <w:color w:val="000000"/>
          <w:sz w:val="16"/>
          <w:szCs w:val="16"/>
        </w:rPr>
        <w:t>O</w:t>
      </w:r>
      <w:r w:rsidR="00D75B95" w:rsidRPr="00D75B95">
        <w:rPr>
          <w:rFonts w:ascii="Andes" w:hAnsi="Andes" w:cs="Arial"/>
          <w:b/>
          <w:bCs/>
          <w:color w:val="000000"/>
          <w:sz w:val="16"/>
          <w:szCs w:val="16"/>
        </w:rPr>
        <w:t xml:space="preserve">ption d’approche de </w:t>
      </w:r>
      <w:proofErr w:type="gramStart"/>
      <w:r w:rsidR="00D75B95" w:rsidRPr="00D75B95">
        <w:rPr>
          <w:rFonts w:ascii="Andes" w:hAnsi="Andes" w:cs="Arial"/>
          <w:b/>
          <w:bCs/>
          <w:color w:val="000000"/>
          <w:sz w:val="16"/>
          <w:szCs w:val="16"/>
        </w:rPr>
        <w:t>marché</w:t>
      </w:r>
      <w:r w:rsidR="00D75B95">
        <w:rPr>
          <w:rFonts w:ascii="Andes" w:hAnsi="Andes" w:cs="Arial"/>
          <w:b/>
          <w:bCs/>
          <w:color w:val="000000"/>
          <w:sz w:val="16"/>
          <w:szCs w:val="16"/>
        </w:rPr>
        <w:t xml:space="preserve">  </w:t>
      </w:r>
      <w:r>
        <w:rPr>
          <w:rFonts w:ascii="Andes" w:hAnsi="Andes" w:cs="Arial"/>
          <w:b/>
          <w:bCs/>
          <w:color w:val="000000"/>
          <w:sz w:val="16"/>
          <w:szCs w:val="16"/>
        </w:rPr>
        <w:t>impossible</w:t>
      </w:r>
      <w:proofErr w:type="gramEnd"/>
      <w:r w:rsidRPr="000F54B7">
        <w:rPr>
          <w:rFonts w:ascii="Andes" w:hAnsi="Andes" w:cs="Arial"/>
          <w:b/>
          <w:bCs/>
          <w:color w:val="000000"/>
          <w:sz w:val="16"/>
          <w:szCs w:val="16"/>
        </w:rPr>
        <w:t>.</w:t>
      </w:r>
    </w:p>
    <w:p w14:paraId="3B5E32CE" w14:textId="77777777" w:rsidR="00AA6387" w:rsidRDefault="006D600B" w:rsidP="006D600B">
      <w:pPr>
        <w:spacing w:before="0" w:after="0" w:line="240" w:lineRule="auto"/>
        <w:ind w:left="360" w:hanging="360"/>
        <w:contextualSpacing w:val="0"/>
        <w:jc w:val="left"/>
        <w:rPr>
          <w:rFonts w:ascii="Andes" w:hAnsi="Andes" w:cs="Arial"/>
          <w:b/>
          <w:bCs/>
          <w:color w:val="000000"/>
          <w:sz w:val="16"/>
          <w:szCs w:val="16"/>
        </w:rPr>
      </w:pPr>
      <w:r w:rsidRPr="000F54B7">
        <w:rPr>
          <w:rFonts w:ascii="Andes" w:hAnsi="Andes" w:cs="Arial"/>
          <w:b/>
          <w:bCs/>
          <w:color w:val="000000"/>
          <w:sz w:val="16"/>
          <w:szCs w:val="16"/>
        </w:rPr>
        <w:t>PQ</w:t>
      </w:r>
      <w:r w:rsidRPr="000F54B7">
        <w:rPr>
          <w:rFonts w:ascii="Andes" w:hAnsi="Andes" w:cs="Arial"/>
          <w:b/>
          <w:bCs/>
          <w:color w:val="000000"/>
          <w:sz w:val="16"/>
          <w:szCs w:val="16"/>
        </w:rPr>
        <w:tab/>
        <w:t xml:space="preserve">= </w:t>
      </w:r>
      <w:r w:rsidR="000A7F1B">
        <w:rPr>
          <w:rFonts w:ascii="Andes" w:hAnsi="Andes" w:cs="Arial"/>
          <w:b/>
          <w:bCs/>
          <w:color w:val="000000"/>
          <w:sz w:val="16"/>
          <w:szCs w:val="16"/>
        </w:rPr>
        <w:t>Préqualification</w:t>
      </w:r>
      <w:r w:rsidRPr="000F54B7">
        <w:rPr>
          <w:rFonts w:ascii="Andes" w:hAnsi="Andes" w:cs="Arial"/>
          <w:b/>
          <w:bCs/>
          <w:color w:val="000000"/>
          <w:sz w:val="16"/>
          <w:szCs w:val="16"/>
        </w:rPr>
        <w:t xml:space="preserve">  </w:t>
      </w:r>
      <w:r>
        <w:rPr>
          <w:rFonts w:ascii="Andes" w:hAnsi="Andes" w:cs="Arial"/>
          <w:b/>
          <w:bCs/>
          <w:color w:val="000000"/>
          <w:sz w:val="16"/>
          <w:szCs w:val="16"/>
        </w:rPr>
        <w:t xml:space="preserve">        </w:t>
      </w:r>
      <w:r w:rsidRPr="000F54B7">
        <w:rPr>
          <w:rFonts w:ascii="Andes" w:hAnsi="Andes" w:cs="Arial"/>
          <w:b/>
          <w:bCs/>
          <w:color w:val="000000"/>
          <w:sz w:val="16"/>
          <w:szCs w:val="16"/>
        </w:rPr>
        <w:t>SI</w:t>
      </w:r>
      <w:r w:rsidRPr="000F54B7">
        <w:rPr>
          <w:rFonts w:ascii="Andes" w:hAnsi="Andes" w:cs="Arial"/>
          <w:b/>
          <w:bCs/>
          <w:color w:val="000000"/>
          <w:sz w:val="16"/>
          <w:szCs w:val="16"/>
        </w:rPr>
        <w:tab/>
        <w:t>= Sélection Initiale</w:t>
      </w:r>
      <w:r w:rsidR="00402B32">
        <w:rPr>
          <w:rFonts w:ascii="Andes" w:hAnsi="Andes" w:cs="Arial"/>
          <w:b/>
          <w:bCs/>
          <w:color w:val="000000"/>
          <w:sz w:val="16"/>
          <w:szCs w:val="16"/>
        </w:rPr>
        <w:t xml:space="preserve">       </w:t>
      </w:r>
    </w:p>
    <w:p w14:paraId="63D0EEF2" w14:textId="75D55BD7" w:rsidR="00AE1219" w:rsidRPr="000F54B7" w:rsidRDefault="006D600B" w:rsidP="006D600B">
      <w:pPr>
        <w:spacing w:before="0" w:after="0" w:line="240" w:lineRule="auto"/>
        <w:contextualSpacing w:val="0"/>
        <w:jc w:val="left"/>
        <w:rPr>
          <w:rFonts w:ascii="Andes" w:hAnsi="Andes" w:cs="Arial"/>
          <w:b/>
          <w:bCs/>
          <w:color w:val="000000"/>
          <w:sz w:val="16"/>
          <w:szCs w:val="16"/>
        </w:rPr>
      </w:pPr>
      <w:r w:rsidRPr="000F54B7">
        <w:rPr>
          <w:rFonts w:ascii="Andes" w:hAnsi="Andes" w:cs="Arial"/>
          <w:b/>
          <w:bCs/>
          <w:color w:val="000000"/>
          <w:sz w:val="16"/>
          <w:szCs w:val="16"/>
        </w:rPr>
        <w:t>*</w:t>
      </w:r>
      <w:r w:rsidRPr="000F54B7">
        <w:rPr>
          <w:rFonts w:ascii="Andes" w:hAnsi="Andes" w:cs="Arial"/>
          <w:b/>
          <w:bCs/>
          <w:color w:val="000000"/>
          <w:sz w:val="16"/>
          <w:szCs w:val="16"/>
        </w:rPr>
        <w:tab/>
      </w:r>
      <w:r w:rsidR="007E5DEB">
        <w:rPr>
          <w:rFonts w:ascii="Andes" w:hAnsi="Andes" w:cs="Arial"/>
          <w:b/>
          <w:bCs/>
          <w:color w:val="000000"/>
          <w:sz w:val="16"/>
          <w:szCs w:val="16"/>
        </w:rPr>
        <w:t>Ceci concerne des</w:t>
      </w:r>
      <w:r w:rsidRPr="000F54B7">
        <w:rPr>
          <w:rFonts w:ascii="Andes" w:hAnsi="Andes" w:cs="Arial"/>
          <w:b/>
          <w:bCs/>
          <w:color w:val="000000"/>
          <w:sz w:val="16"/>
          <w:szCs w:val="16"/>
        </w:rPr>
        <w:t xml:space="preserve"> négociations après un processus de mise en concurrence suivant les dispositions des paragraphes 6.34 à 6.36</w:t>
      </w:r>
    </w:p>
    <w:p w14:paraId="616B95C6" w14:textId="53403796" w:rsidR="00AE1219" w:rsidRPr="000F54B7" w:rsidRDefault="00AE1219" w:rsidP="00AE1219">
      <w:pPr>
        <w:spacing w:before="0" w:after="0" w:line="240" w:lineRule="auto"/>
        <w:ind w:left="360" w:hanging="360"/>
        <w:contextualSpacing w:val="0"/>
        <w:jc w:val="left"/>
        <w:rPr>
          <w:rFonts w:ascii="Andes" w:hAnsi="Andes" w:cs="Arial"/>
          <w:b/>
          <w:bCs/>
          <w:color w:val="000000"/>
          <w:sz w:val="16"/>
          <w:szCs w:val="16"/>
        </w:rPr>
      </w:pPr>
      <w:r>
        <w:rPr>
          <w:rFonts w:ascii="Andes" w:hAnsi="Andes" w:cs="Arial"/>
          <w:b/>
          <w:bCs/>
          <w:color w:val="000000"/>
          <w:sz w:val="16"/>
          <w:szCs w:val="16"/>
        </w:rPr>
        <w:t>** Voir para 5.5</w:t>
      </w:r>
      <w:r w:rsidR="00D42AB7">
        <w:rPr>
          <w:rFonts w:ascii="Andes" w:hAnsi="Andes" w:cs="Arial"/>
          <w:b/>
          <w:bCs/>
          <w:color w:val="000000"/>
          <w:sz w:val="16"/>
          <w:szCs w:val="16"/>
        </w:rPr>
        <w:t>1</w:t>
      </w:r>
      <w:r>
        <w:rPr>
          <w:rFonts w:ascii="Andes" w:hAnsi="Andes" w:cs="Arial"/>
          <w:b/>
          <w:bCs/>
          <w:color w:val="000000"/>
          <w:sz w:val="16"/>
          <w:szCs w:val="16"/>
        </w:rPr>
        <w:t xml:space="preserve"> Critères d’Evaluation sur application obligatoire de Critères Notés</w:t>
      </w:r>
      <w:r w:rsidR="00D42AB7">
        <w:rPr>
          <w:rFonts w:ascii="Andes" w:hAnsi="Andes" w:cs="Arial"/>
          <w:b/>
          <w:bCs/>
          <w:color w:val="000000"/>
          <w:sz w:val="16"/>
          <w:szCs w:val="16"/>
        </w:rPr>
        <w:t xml:space="preserve"> et pondérations minimales</w:t>
      </w:r>
    </w:p>
    <w:p w14:paraId="0CBFA048" w14:textId="2E800059" w:rsidR="003E7F7D" w:rsidRPr="000F54B7" w:rsidRDefault="003E7F7D" w:rsidP="004967F3">
      <w:pPr>
        <w:spacing w:before="0" w:after="0" w:line="240" w:lineRule="auto"/>
        <w:contextualSpacing w:val="0"/>
        <w:jc w:val="left"/>
        <w:rPr>
          <w:rFonts w:ascii="Andes" w:hAnsi="Andes" w:cs="Arial"/>
          <w:szCs w:val="24"/>
        </w:rPr>
        <w:sectPr w:rsidR="003E7F7D" w:rsidRPr="000F54B7" w:rsidSect="00EA632A">
          <w:footnotePr>
            <w:numRestart w:val="eachSect"/>
          </w:footnotePr>
          <w:pgSz w:w="15840" w:h="12240" w:orient="landscape"/>
          <w:pgMar w:top="720" w:right="432" w:bottom="1008" w:left="432" w:header="720" w:footer="416" w:gutter="0"/>
          <w:cols w:space="720"/>
          <w:docGrid w:linePitch="360"/>
        </w:sectPr>
      </w:pPr>
    </w:p>
    <w:p w14:paraId="2E74952B" w14:textId="77777777"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Pr>
          <w:rFonts w:ascii="Andes" w:hAnsi="Andes" w:cs="Arial"/>
          <w:sz w:val="22"/>
          <w:szCs w:val="22"/>
        </w:rPr>
        <w:lastRenderedPageBreak/>
        <w:t>L</w:t>
      </w:r>
      <w:r w:rsidRPr="000F54B7">
        <w:rPr>
          <w:rFonts w:ascii="Andes" w:hAnsi="Andes" w:cs="Arial"/>
          <w:sz w:val="22"/>
          <w:szCs w:val="22"/>
        </w:rPr>
        <w:t xml:space="preserve">es méthodes suivantes </w:t>
      </w:r>
      <w:r>
        <w:rPr>
          <w:rFonts w:ascii="Andes" w:hAnsi="Andes" w:cs="Arial"/>
          <w:sz w:val="22"/>
          <w:szCs w:val="22"/>
        </w:rPr>
        <w:t xml:space="preserve">sont définies par la Banque </w:t>
      </w:r>
      <w:r w:rsidRPr="000F54B7">
        <w:rPr>
          <w:rFonts w:ascii="Andes" w:hAnsi="Andes" w:cs="Arial"/>
          <w:sz w:val="22"/>
          <w:szCs w:val="22"/>
        </w:rPr>
        <w:t>comme étant les méthodes de sélection agréées pour la passation des marchés de Fournitures, de Travaux et de Services Autres que des Services de Consultants :</w:t>
      </w:r>
    </w:p>
    <w:p w14:paraId="498B5023" w14:textId="568EB9A7" w:rsidR="006D600B" w:rsidRPr="000F54B7" w:rsidRDefault="006D600B" w:rsidP="006D600B">
      <w:pPr>
        <w:pStyle w:val="Paragraphedeliste"/>
        <w:numPr>
          <w:ilvl w:val="0"/>
          <w:numId w:val="171"/>
        </w:numPr>
        <w:spacing w:before="0" w:line="240" w:lineRule="auto"/>
        <w:contextualSpacing w:val="0"/>
        <w:rPr>
          <w:rFonts w:ascii="Andes" w:eastAsia="Calibri" w:hAnsi="Andes" w:cs="Arial"/>
          <w:color w:val="000000"/>
          <w:sz w:val="22"/>
          <w:szCs w:val="22"/>
        </w:rPr>
      </w:pPr>
      <w:r w:rsidRPr="000F54B7">
        <w:rPr>
          <w:rFonts w:ascii="Andes" w:eastAsia="Calibri" w:hAnsi="Andes" w:cs="Arial"/>
          <w:color w:val="000000"/>
          <w:sz w:val="22"/>
          <w:szCs w:val="22"/>
        </w:rPr>
        <w:t xml:space="preserve">Appel à Propositions (AP) ; </w:t>
      </w:r>
    </w:p>
    <w:p w14:paraId="008E2D6E" w14:textId="3C752BD6" w:rsidR="006D600B" w:rsidRPr="000F54B7" w:rsidRDefault="006D600B" w:rsidP="006D600B">
      <w:pPr>
        <w:pStyle w:val="Paragraphedeliste"/>
        <w:numPr>
          <w:ilvl w:val="0"/>
          <w:numId w:val="171"/>
        </w:numPr>
        <w:spacing w:before="0" w:line="240" w:lineRule="auto"/>
        <w:contextualSpacing w:val="0"/>
        <w:rPr>
          <w:rFonts w:ascii="Andes" w:eastAsia="Calibri" w:hAnsi="Andes" w:cs="Arial"/>
          <w:color w:val="000000"/>
          <w:sz w:val="22"/>
          <w:szCs w:val="22"/>
        </w:rPr>
      </w:pPr>
      <w:r w:rsidRPr="000F54B7">
        <w:rPr>
          <w:rFonts w:ascii="Andes" w:eastAsia="Calibri" w:hAnsi="Andes" w:cs="Arial"/>
          <w:color w:val="000000"/>
          <w:sz w:val="22"/>
          <w:szCs w:val="22"/>
        </w:rPr>
        <w:t>Appel d’Offres (AO) ;</w:t>
      </w:r>
    </w:p>
    <w:p w14:paraId="697178D9" w14:textId="3298AD5D" w:rsidR="006D600B" w:rsidRPr="000F54B7" w:rsidRDefault="006D600B" w:rsidP="006D600B">
      <w:pPr>
        <w:pStyle w:val="Paragraphedeliste"/>
        <w:numPr>
          <w:ilvl w:val="0"/>
          <w:numId w:val="171"/>
        </w:numPr>
        <w:spacing w:before="0" w:line="240" w:lineRule="auto"/>
        <w:contextualSpacing w:val="0"/>
        <w:rPr>
          <w:rFonts w:ascii="Andes" w:eastAsia="Calibri" w:hAnsi="Andes" w:cs="Arial"/>
          <w:color w:val="000000"/>
          <w:sz w:val="22"/>
          <w:szCs w:val="22"/>
        </w:rPr>
      </w:pPr>
      <w:r w:rsidRPr="000F54B7">
        <w:rPr>
          <w:rFonts w:ascii="Andes" w:eastAsia="Calibri" w:hAnsi="Andes" w:cs="Arial"/>
          <w:color w:val="000000"/>
          <w:sz w:val="22"/>
          <w:szCs w:val="22"/>
        </w:rPr>
        <w:t xml:space="preserve">Demande de </w:t>
      </w:r>
      <w:r w:rsidR="0090219F">
        <w:rPr>
          <w:rFonts w:ascii="Andes" w:eastAsia="Calibri" w:hAnsi="Andes" w:cs="Arial"/>
          <w:color w:val="000000"/>
          <w:sz w:val="22"/>
          <w:szCs w:val="22"/>
        </w:rPr>
        <w:t>Cotation</w:t>
      </w:r>
      <w:r w:rsidR="0090219F" w:rsidRPr="000F54B7">
        <w:rPr>
          <w:rFonts w:ascii="Andes" w:eastAsia="Calibri" w:hAnsi="Andes" w:cs="Arial"/>
          <w:color w:val="000000"/>
          <w:sz w:val="22"/>
          <w:szCs w:val="22"/>
        </w:rPr>
        <w:t xml:space="preserve"> </w:t>
      </w:r>
      <w:r w:rsidRPr="000F54B7">
        <w:rPr>
          <w:rFonts w:ascii="Andes" w:eastAsia="Calibri" w:hAnsi="Andes" w:cs="Arial"/>
          <w:color w:val="000000"/>
          <w:sz w:val="22"/>
          <w:szCs w:val="22"/>
        </w:rPr>
        <w:t>(</w:t>
      </w:r>
      <w:r w:rsidR="0090219F" w:rsidRPr="000F54B7">
        <w:rPr>
          <w:rFonts w:ascii="Andes" w:eastAsia="Calibri" w:hAnsi="Andes" w:cs="Arial"/>
          <w:color w:val="000000"/>
          <w:sz w:val="22"/>
          <w:szCs w:val="22"/>
        </w:rPr>
        <w:t>D</w:t>
      </w:r>
      <w:r w:rsidR="0090219F">
        <w:rPr>
          <w:rFonts w:ascii="Andes" w:eastAsia="Calibri" w:hAnsi="Andes" w:cs="Arial"/>
          <w:color w:val="000000"/>
          <w:sz w:val="22"/>
          <w:szCs w:val="22"/>
        </w:rPr>
        <w:t>C</w:t>
      </w:r>
      <w:r w:rsidRPr="000F54B7">
        <w:rPr>
          <w:rFonts w:ascii="Andes" w:eastAsia="Calibri" w:hAnsi="Andes" w:cs="Arial"/>
          <w:color w:val="000000"/>
          <w:sz w:val="22"/>
          <w:szCs w:val="22"/>
        </w:rPr>
        <w:t>) ; et</w:t>
      </w:r>
    </w:p>
    <w:p w14:paraId="41361D43" w14:textId="77777777" w:rsidR="006D600B" w:rsidRPr="000F54B7" w:rsidRDefault="006D600B" w:rsidP="006D600B">
      <w:pPr>
        <w:pStyle w:val="Paragraphedeliste"/>
        <w:numPr>
          <w:ilvl w:val="0"/>
          <w:numId w:val="171"/>
        </w:numPr>
        <w:spacing w:before="0" w:line="240" w:lineRule="auto"/>
        <w:contextualSpacing w:val="0"/>
        <w:rPr>
          <w:rFonts w:ascii="Andes" w:eastAsiaTheme="minorHAnsi" w:hAnsi="Andes" w:cs="Arial"/>
          <w:color w:val="000000"/>
          <w:sz w:val="22"/>
          <w:szCs w:val="22"/>
        </w:rPr>
      </w:pPr>
      <w:r>
        <w:rPr>
          <w:rFonts w:ascii="Andes" w:eastAsia="Calibri" w:hAnsi="Andes" w:cs="Arial"/>
          <w:color w:val="000000"/>
          <w:sz w:val="22"/>
          <w:szCs w:val="22"/>
        </w:rPr>
        <w:t>Sélection</w:t>
      </w:r>
      <w:r w:rsidRPr="000F54B7">
        <w:rPr>
          <w:rFonts w:ascii="Andes" w:eastAsia="Calibri" w:hAnsi="Andes" w:cs="Arial"/>
          <w:color w:val="000000"/>
          <w:sz w:val="22"/>
          <w:szCs w:val="22"/>
        </w:rPr>
        <w:t xml:space="preserve"> directe</w:t>
      </w:r>
      <w:r w:rsidRPr="000F54B7">
        <w:rPr>
          <w:rFonts w:ascii="Andes" w:eastAsiaTheme="minorHAnsi" w:hAnsi="Andes" w:cs="Arial"/>
          <w:color w:val="000000"/>
          <w:sz w:val="22"/>
          <w:szCs w:val="22"/>
        </w:rPr>
        <w:t xml:space="preserve">. </w:t>
      </w:r>
    </w:p>
    <w:p w14:paraId="540D5F04" w14:textId="77777777" w:rsidR="006D600B" w:rsidRPr="000F54B7" w:rsidRDefault="006D600B" w:rsidP="006D600B">
      <w:pPr>
        <w:spacing w:before="240" w:line="240" w:lineRule="auto"/>
        <w:contextualSpacing w:val="0"/>
        <w:rPr>
          <w:rFonts w:ascii="Andes" w:hAnsi="Andes"/>
          <w:sz w:val="28"/>
        </w:rPr>
      </w:pPr>
      <w:bookmarkStart w:id="2645" w:name="_Toc453170895"/>
      <w:r w:rsidRPr="000F54B7">
        <w:rPr>
          <w:rFonts w:ascii="Andes" w:hAnsi="Andes"/>
          <w:b/>
          <w:sz w:val="28"/>
          <w:szCs w:val="28"/>
        </w:rPr>
        <w:t>Appel à Propositions</w:t>
      </w:r>
      <w:bookmarkEnd w:id="2645"/>
    </w:p>
    <w:p w14:paraId="200307D4" w14:textId="32579268" w:rsidR="006D600B" w:rsidRPr="000F54B7" w:rsidRDefault="006D600B" w:rsidP="006D600B">
      <w:pPr>
        <w:pStyle w:val="Paragraphedeliste"/>
        <w:numPr>
          <w:ilvl w:val="0"/>
          <w:numId w:val="79"/>
        </w:numPr>
        <w:spacing w:before="0" w:line="240" w:lineRule="auto"/>
        <w:ind w:left="634" w:hanging="634"/>
        <w:contextualSpacing w:val="0"/>
        <w:rPr>
          <w:rFonts w:ascii="Andes" w:hAnsi="Andes" w:cs="Arial"/>
          <w:sz w:val="22"/>
          <w:szCs w:val="22"/>
        </w:rPr>
      </w:pPr>
      <w:r w:rsidRPr="000F54B7">
        <w:rPr>
          <w:rFonts w:ascii="Andes" w:hAnsi="Andes" w:cs="Arial"/>
          <w:sz w:val="22"/>
          <w:szCs w:val="22"/>
        </w:rPr>
        <w:t>L’</w:t>
      </w:r>
      <w:r>
        <w:rPr>
          <w:rFonts w:ascii="Andes" w:hAnsi="Andes" w:cs="Arial"/>
          <w:sz w:val="22"/>
          <w:szCs w:val="22"/>
        </w:rPr>
        <w:t>Appel à Propositions (</w:t>
      </w:r>
      <w:r w:rsidRPr="000F54B7">
        <w:rPr>
          <w:rFonts w:ascii="Andes" w:hAnsi="Andes" w:cs="Arial"/>
          <w:sz w:val="22"/>
          <w:szCs w:val="22"/>
        </w:rPr>
        <w:t>AP</w:t>
      </w:r>
      <w:r>
        <w:rPr>
          <w:rFonts w:ascii="Andes" w:hAnsi="Andes" w:cs="Arial"/>
          <w:sz w:val="22"/>
          <w:szCs w:val="22"/>
        </w:rPr>
        <w:t>)</w:t>
      </w:r>
      <w:r w:rsidRPr="000F54B7">
        <w:rPr>
          <w:rFonts w:ascii="Andes" w:hAnsi="Andes" w:cs="Arial"/>
          <w:sz w:val="22"/>
          <w:szCs w:val="22"/>
        </w:rPr>
        <w:t xml:space="preserve"> est une méthode de mise en concurrence utilisée pour obtenir des Propositions. Elle doit être employée lorsque, du fait de la nature et de la complexité des Fournitures, des Travaux ou des Services Autres que des Services de Consultants pour lesquels un marché doit être passé, la solution qui permet de satisfaire le mieux les besoins de l’Emprunteur consiste à inviter des Proposants à présenter des solutions personnalisées ou des Propositions pouvant varier dans la manière dont elles répondent aux exigences du dossier d’</w:t>
      </w:r>
      <w:r w:rsidR="00C317B4">
        <w:rPr>
          <w:rFonts w:ascii="Andes" w:hAnsi="Andes" w:cs="Arial"/>
          <w:sz w:val="22"/>
          <w:szCs w:val="22"/>
        </w:rPr>
        <w:t>A</w:t>
      </w:r>
      <w:r w:rsidRPr="000F54B7">
        <w:rPr>
          <w:rFonts w:ascii="Andes" w:hAnsi="Andes" w:cs="Arial"/>
          <w:sz w:val="22"/>
          <w:szCs w:val="22"/>
        </w:rPr>
        <w:t xml:space="preserve">ppel à </w:t>
      </w:r>
      <w:r w:rsidR="00C317B4">
        <w:rPr>
          <w:rFonts w:ascii="Andes" w:hAnsi="Andes" w:cs="Arial"/>
          <w:sz w:val="22"/>
          <w:szCs w:val="22"/>
        </w:rPr>
        <w:t>P</w:t>
      </w:r>
      <w:r w:rsidRPr="000F54B7">
        <w:rPr>
          <w:rFonts w:ascii="Andes" w:hAnsi="Andes" w:cs="Arial"/>
          <w:sz w:val="22"/>
          <w:szCs w:val="22"/>
        </w:rPr>
        <w:t>ropositions ou dont elles les dépassent.</w:t>
      </w:r>
    </w:p>
    <w:p w14:paraId="2F500EA8" w14:textId="40D13623" w:rsidR="006D600B" w:rsidRPr="000F54B7" w:rsidRDefault="006D600B" w:rsidP="006D600B">
      <w:pPr>
        <w:pStyle w:val="Paragraphedeliste"/>
        <w:numPr>
          <w:ilvl w:val="0"/>
          <w:numId w:val="79"/>
        </w:numPr>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Un AP </w:t>
      </w:r>
      <w:r>
        <w:rPr>
          <w:rFonts w:ascii="Andes" w:hAnsi="Andes" w:cs="Arial"/>
          <w:sz w:val="22"/>
          <w:szCs w:val="22"/>
        </w:rPr>
        <w:t xml:space="preserve">se déroule </w:t>
      </w:r>
      <w:r w:rsidRPr="000F54B7">
        <w:rPr>
          <w:rFonts w:ascii="Andes" w:hAnsi="Andes" w:cs="Arial"/>
          <w:sz w:val="22"/>
          <w:szCs w:val="22"/>
        </w:rPr>
        <w:t xml:space="preserve">normalement en plusieurs étapes. Afin de pouvoir évaluer dans quelle mesure les Propositions satisfont </w:t>
      </w:r>
      <w:r w:rsidR="00675D94">
        <w:rPr>
          <w:rFonts w:ascii="Andes" w:hAnsi="Andes" w:cs="Arial"/>
          <w:sz w:val="22"/>
          <w:szCs w:val="22"/>
        </w:rPr>
        <w:t xml:space="preserve">ou dépassent </w:t>
      </w:r>
      <w:r w:rsidRPr="000F54B7">
        <w:rPr>
          <w:rFonts w:ascii="Andes" w:hAnsi="Andes" w:cs="Arial"/>
          <w:sz w:val="22"/>
          <w:szCs w:val="22"/>
        </w:rPr>
        <w:t>les exigences du dossier d’</w:t>
      </w:r>
      <w:r w:rsidR="00675D94">
        <w:rPr>
          <w:rFonts w:ascii="Andes" w:hAnsi="Andes" w:cs="Arial"/>
          <w:sz w:val="22"/>
          <w:szCs w:val="22"/>
        </w:rPr>
        <w:t>A</w:t>
      </w:r>
      <w:r w:rsidRPr="000F54B7">
        <w:rPr>
          <w:rFonts w:ascii="Andes" w:hAnsi="Andes" w:cs="Arial"/>
          <w:sz w:val="22"/>
          <w:szCs w:val="22"/>
        </w:rPr>
        <w:t xml:space="preserve">ppel à </w:t>
      </w:r>
      <w:r w:rsidR="00675D94">
        <w:rPr>
          <w:rFonts w:ascii="Andes" w:hAnsi="Andes" w:cs="Arial"/>
          <w:sz w:val="22"/>
          <w:szCs w:val="22"/>
        </w:rPr>
        <w:t>P</w:t>
      </w:r>
      <w:r w:rsidRPr="000F54B7">
        <w:rPr>
          <w:rFonts w:ascii="Andes" w:hAnsi="Andes" w:cs="Arial"/>
          <w:sz w:val="22"/>
          <w:szCs w:val="22"/>
        </w:rPr>
        <w:t xml:space="preserve">ropositions, </w:t>
      </w:r>
      <w:r>
        <w:rPr>
          <w:rFonts w:ascii="Andes" w:hAnsi="Andes" w:cs="Arial"/>
          <w:sz w:val="22"/>
          <w:szCs w:val="22"/>
        </w:rPr>
        <w:t xml:space="preserve">la procédure </w:t>
      </w:r>
      <w:r w:rsidRPr="000F54B7">
        <w:rPr>
          <w:rFonts w:ascii="Andes" w:hAnsi="Andes" w:cs="Arial"/>
          <w:sz w:val="22"/>
          <w:szCs w:val="22"/>
        </w:rPr>
        <w:t xml:space="preserve">comprend des </w:t>
      </w:r>
      <w:r w:rsidR="00675D94">
        <w:rPr>
          <w:rFonts w:ascii="Andes" w:hAnsi="Andes" w:cs="Arial"/>
          <w:sz w:val="22"/>
          <w:szCs w:val="22"/>
        </w:rPr>
        <w:t>C</w:t>
      </w:r>
      <w:r w:rsidRPr="000F54B7">
        <w:rPr>
          <w:rFonts w:ascii="Andes" w:hAnsi="Andes" w:cs="Arial"/>
          <w:sz w:val="22"/>
          <w:szCs w:val="22"/>
        </w:rPr>
        <w:t xml:space="preserve">ritères </w:t>
      </w:r>
      <w:r w:rsidR="00675D94">
        <w:rPr>
          <w:rFonts w:ascii="Andes" w:hAnsi="Andes" w:cs="Arial"/>
          <w:sz w:val="22"/>
          <w:szCs w:val="22"/>
        </w:rPr>
        <w:t>N</w:t>
      </w:r>
      <w:r w:rsidRPr="000F54B7">
        <w:rPr>
          <w:rFonts w:ascii="Andes" w:hAnsi="Andes" w:cs="Arial"/>
          <w:sz w:val="22"/>
          <w:szCs w:val="22"/>
        </w:rPr>
        <w:t>otés</w:t>
      </w:r>
      <w:r w:rsidR="003B7600">
        <w:rPr>
          <w:rFonts w:ascii="Andes" w:hAnsi="Andes" w:cs="Arial"/>
          <w:sz w:val="22"/>
          <w:szCs w:val="22"/>
        </w:rPr>
        <w:t xml:space="preserve">, </w:t>
      </w:r>
      <w:r w:rsidR="006307B9">
        <w:rPr>
          <w:rFonts w:ascii="Andes" w:hAnsi="Andes" w:cs="Arial"/>
          <w:sz w:val="22"/>
          <w:szCs w:val="22"/>
        </w:rPr>
        <w:t>des pondérations ainsi qu’</w:t>
      </w:r>
      <w:r w:rsidRPr="000F54B7">
        <w:rPr>
          <w:rFonts w:ascii="Andes" w:hAnsi="Andes" w:cs="Arial"/>
          <w:sz w:val="22"/>
          <w:szCs w:val="22"/>
        </w:rPr>
        <w:t>une méthodologie d’évaluation. Pour plus de détails, voir l’</w:t>
      </w:r>
      <w:r w:rsidR="006307B9">
        <w:rPr>
          <w:rFonts w:ascii="Andes" w:hAnsi="Andes" w:cs="Arial"/>
          <w:sz w:val="22"/>
          <w:szCs w:val="22"/>
        </w:rPr>
        <w:t>A</w:t>
      </w:r>
      <w:r w:rsidRPr="000F54B7">
        <w:rPr>
          <w:rFonts w:ascii="Andes" w:hAnsi="Andes" w:cs="Arial"/>
          <w:sz w:val="22"/>
          <w:szCs w:val="22"/>
        </w:rPr>
        <w:t>nnexe XII Méthodes de sélection.</w:t>
      </w:r>
    </w:p>
    <w:p w14:paraId="2D4F172D" w14:textId="77777777" w:rsidR="006D600B" w:rsidRPr="000F54B7" w:rsidRDefault="006D600B" w:rsidP="006D600B">
      <w:pPr>
        <w:spacing w:before="240" w:line="240" w:lineRule="auto"/>
        <w:contextualSpacing w:val="0"/>
        <w:rPr>
          <w:rFonts w:ascii="Andes" w:hAnsi="Andes"/>
          <w:sz w:val="28"/>
        </w:rPr>
      </w:pPr>
      <w:bookmarkStart w:id="2646" w:name="_Toc453170896"/>
      <w:r w:rsidRPr="000F54B7">
        <w:rPr>
          <w:rFonts w:ascii="Andes" w:hAnsi="Andes"/>
          <w:b/>
          <w:sz w:val="28"/>
          <w:szCs w:val="28"/>
        </w:rPr>
        <w:t>Appel d’Offres</w:t>
      </w:r>
      <w:bookmarkEnd w:id="2646"/>
    </w:p>
    <w:p w14:paraId="4E38F283" w14:textId="2738A25E"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L’A</w:t>
      </w:r>
      <w:r>
        <w:rPr>
          <w:rFonts w:ascii="Andes" w:hAnsi="Andes" w:cs="Arial"/>
          <w:sz w:val="22"/>
          <w:szCs w:val="22"/>
        </w:rPr>
        <w:t>ppel d’Offres (A</w:t>
      </w:r>
      <w:r w:rsidRPr="000F54B7">
        <w:rPr>
          <w:rFonts w:ascii="Andes" w:hAnsi="Andes" w:cs="Arial"/>
          <w:sz w:val="22"/>
          <w:szCs w:val="22"/>
        </w:rPr>
        <w:t>O</w:t>
      </w:r>
      <w:r>
        <w:rPr>
          <w:rFonts w:ascii="Andes" w:hAnsi="Andes" w:cs="Arial"/>
          <w:sz w:val="22"/>
          <w:szCs w:val="22"/>
        </w:rPr>
        <w:t>)</w:t>
      </w:r>
      <w:r w:rsidRPr="000F54B7">
        <w:rPr>
          <w:rFonts w:ascii="Andes" w:hAnsi="Andes" w:cs="Arial"/>
          <w:sz w:val="22"/>
          <w:szCs w:val="22"/>
        </w:rPr>
        <w:t xml:space="preserve"> est une méthode de mise en concurrence utilisée pour obtenir des Offres. Elle doit être employée lorsque, du fait de la nature des Fournitures, des Travaux ou des Services Autres que des Services de Consultants à fournir, l’Emprunteur est à même de préciser en détail les exigences auxquelles les Soumissionnaires doivent satisfaire dans leurs Offres.</w:t>
      </w:r>
    </w:p>
    <w:p w14:paraId="79BC6B45" w14:textId="1BA43D50"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La passation de marchés par cette méthode se fait en une seule étape. </w:t>
      </w:r>
      <w:r w:rsidR="008514F4">
        <w:rPr>
          <w:rFonts w:ascii="Andes" w:hAnsi="Andes" w:cs="Arial"/>
          <w:sz w:val="22"/>
          <w:szCs w:val="22"/>
        </w:rPr>
        <w:t xml:space="preserve">Les Critères de Qualification </w:t>
      </w:r>
      <w:r w:rsidR="00A71875">
        <w:rPr>
          <w:rFonts w:ascii="Andes" w:hAnsi="Andes" w:cs="Arial"/>
          <w:sz w:val="22"/>
          <w:szCs w:val="22"/>
        </w:rPr>
        <w:t xml:space="preserve">peuvent être exprimés comme des exigences minimales </w:t>
      </w:r>
      <w:r w:rsidR="005D4C4D">
        <w:rPr>
          <w:rFonts w:ascii="Andes" w:hAnsi="Andes" w:cs="Arial"/>
          <w:sz w:val="22"/>
          <w:szCs w:val="22"/>
        </w:rPr>
        <w:t xml:space="preserve">qui sont évaluées selon la méthode </w:t>
      </w:r>
      <w:r w:rsidR="00E5516B">
        <w:rPr>
          <w:rFonts w:ascii="Andes" w:hAnsi="Andes" w:cs="Arial"/>
          <w:sz w:val="22"/>
          <w:szCs w:val="22"/>
        </w:rPr>
        <w:t xml:space="preserve">passe/manque ; et </w:t>
      </w:r>
      <w:r w:rsidR="0030044C">
        <w:rPr>
          <w:rFonts w:ascii="Andes" w:hAnsi="Andes" w:cs="Arial"/>
          <w:sz w:val="22"/>
          <w:szCs w:val="22"/>
        </w:rPr>
        <w:t>o</w:t>
      </w:r>
      <w:r w:rsidR="00E5516B">
        <w:rPr>
          <w:rFonts w:ascii="Andes" w:hAnsi="Andes" w:cs="Arial"/>
          <w:sz w:val="22"/>
          <w:szCs w:val="22"/>
        </w:rPr>
        <w:t xml:space="preserve">ù les Critères Notés </w:t>
      </w:r>
      <w:r w:rsidR="00747E9A">
        <w:rPr>
          <w:rFonts w:ascii="Andes" w:hAnsi="Andes" w:cs="Arial"/>
          <w:sz w:val="22"/>
          <w:szCs w:val="22"/>
        </w:rPr>
        <w:t xml:space="preserve">sont aussi utilisés, pondérés et </w:t>
      </w:r>
      <w:r w:rsidR="00D232EB">
        <w:rPr>
          <w:rFonts w:ascii="Andes" w:hAnsi="Andes" w:cs="Arial"/>
          <w:sz w:val="22"/>
          <w:szCs w:val="22"/>
        </w:rPr>
        <w:t>donnant lieu à un score</w:t>
      </w:r>
      <w:r w:rsidR="00C227BC">
        <w:rPr>
          <w:rFonts w:ascii="Andes" w:hAnsi="Andes" w:cs="Arial"/>
          <w:sz w:val="22"/>
          <w:szCs w:val="22"/>
        </w:rPr>
        <w:t xml:space="preserve">. Les Critères Notés </w:t>
      </w:r>
      <w:r w:rsidR="0072752C">
        <w:rPr>
          <w:rFonts w:ascii="Andes" w:hAnsi="Andes" w:cs="Arial"/>
          <w:sz w:val="22"/>
          <w:szCs w:val="22"/>
        </w:rPr>
        <w:t>devront être utilisés dans</w:t>
      </w:r>
      <w:r w:rsidR="00ED3808">
        <w:rPr>
          <w:rFonts w:ascii="Andes" w:hAnsi="Andes" w:cs="Arial"/>
          <w:sz w:val="22"/>
          <w:szCs w:val="22"/>
        </w:rPr>
        <w:t xml:space="preserve"> l’Appel d’Offres </w:t>
      </w:r>
      <w:r w:rsidR="00CA30E2">
        <w:rPr>
          <w:rFonts w:ascii="Andes" w:hAnsi="Andes" w:cs="Arial"/>
          <w:sz w:val="22"/>
          <w:szCs w:val="22"/>
        </w:rPr>
        <w:t xml:space="preserve">conformément au </w:t>
      </w:r>
      <w:r w:rsidR="00DA23D6">
        <w:rPr>
          <w:rFonts w:ascii="Andes" w:hAnsi="Andes" w:cs="Arial"/>
          <w:sz w:val="22"/>
          <w:szCs w:val="22"/>
        </w:rPr>
        <w:t>P</w:t>
      </w:r>
      <w:r w:rsidR="00CA30E2">
        <w:rPr>
          <w:rFonts w:ascii="Andes" w:hAnsi="Andes" w:cs="Arial"/>
          <w:sz w:val="22"/>
          <w:szCs w:val="22"/>
        </w:rPr>
        <w:t>aragraphe 5.5</w:t>
      </w:r>
      <w:r w:rsidR="00DA23D6">
        <w:rPr>
          <w:rFonts w:ascii="Andes" w:hAnsi="Andes" w:cs="Arial"/>
          <w:sz w:val="22"/>
          <w:szCs w:val="22"/>
        </w:rPr>
        <w:t>1</w:t>
      </w:r>
      <w:r w:rsidRPr="000F54B7">
        <w:rPr>
          <w:rFonts w:ascii="Andes" w:hAnsi="Andes" w:cs="Arial"/>
          <w:sz w:val="22"/>
          <w:szCs w:val="22"/>
        </w:rPr>
        <w:t>. Pour plus de détails, voir l’</w:t>
      </w:r>
      <w:r w:rsidR="00CA30E2">
        <w:rPr>
          <w:rFonts w:ascii="Andes" w:hAnsi="Andes" w:cs="Arial"/>
          <w:sz w:val="22"/>
          <w:szCs w:val="22"/>
        </w:rPr>
        <w:t>A</w:t>
      </w:r>
      <w:r w:rsidRPr="000F54B7">
        <w:rPr>
          <w:rFonts w:ascii="Andes" w:hAnsi="Andes" w:cs="Arial"/>
          <w:sz w:val="22"/>
          <w:szCs w:val="22"/>
        </w:rPr>
        <w:t xml:space="preserve">nnexe XII Méthodes de </w:t>
      </w:r>
      <w:r w:rsidR="00971D73">
        <w:rPr>
          <w:rFonts w:ascii="Andes" w:hAnsi="Andes" w:cs="Arial"/>
          <w:sz w:val="22"/>
          <w:szCs w:val="22"/>
        </w:rPr>
        <w:t>S</w:t>
      </w:r>
      <w:r w:rsidRPr="000F54B7">
        <w:rPr>
          <w:rFonts w:ascii="Andes" w:hAnsi="Andes" w:cs="Arial"/>
          <w:sz w:val="22"/>
          <w:szCs w:val="22"/>
        </w:rPr>
        <w:t>élection.</w:t>
      </w:r>
    </w:p>
    <w:p w14:paraId="4C6C348C" w14:textId="42B9C03F" w:rsidR="006D600B" w:rsidRPr="000F54B7" w:rsidRDefault="006D600B" w:rsidP="006D600B">
      <w:pPr>
        <w:spacing w:before="240" w:line="240" w:lineRule="auto"/>
        <w:contextualSpacing w:val="0"/>
        <w:rPr>
          <w:rFonts w:ascii="Andes" w:hAnsi="Andes"/>
          <w:sz w:val="28"/>
        </w:rPr>
      </w:pPr>
      <w:bookmarkStart w:id="2647" w:name="_Toc453170897"/>
      <w:r w:rsidRPr="000F54B7">
        <w:rPr>
          <w:rFonts w:ascii="Andes" w:hAnsi="Andes"/>
          <w:b/>
          <w:sz w:val="28"/>
          <w:szCs w:val="28"/>
        </w:rPr>
        <w:t xml:space="preserve">Demande de </w:t>
      </w:r>
      <w:bookmarkEnd w:id="2647"/>
      <w:r w:rsidR="0090219F">
        <w:rPr>
          <w:rFonts w:ascii="Andes" w:hAnsi="Andes"/>
          <w:b/>
          <w:sz w:val="28"/>
          <w:szCs w:val="28"/>
        </w:rPr>
        <w:t>Cotation</w:t>
      </w:r>
    </w:p>
    <w:p w14:paraId="6E28A9B6" w14:textId="705A7FF2" w:rsidR="006D600B"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La </w:t>
      </w:r>
      <w:r>
        <w:rPr>
          <w:rFonts w:ascii="Andes" w:hAnsi="Andes" w:cs="Arial"/>
          <w:sz w:val="22"/>
          <w:szCs w:val="22"/>
        </w:rPr>
        <w:t xml:space="preserve">Demande de </w:t>
      </w:r>
      <w:r w:rsidR="0090219F">
        <w:rPr>
          <w:rFonts w:ascii="Andes" w:hAnsi="Andes" w:cs="Arial"/>
          <w:sz w:val="22"/>
          <w:szCs w:val="22"/>
        </w:rPr>
        <w:t xml:space="preserve">Cotation </w:t>
      </w:r>
      <w:r>
        <w:rPr>
          <w:rFonts w:ascii="Andes" w:hAnsi="Andes" w:cs="Arial"/>
          <w:sz w:val="22"/>
          <w:szCs w:val="22"/>
        </w:rPr>
        <w:t>(</w:t>
      </w:r>
      <w:r w:rsidR="0090219F" w:rsidRPr="000F54B7">
        <w:rPr>
          <w:rFonts w:ascii="Andes" w:hAnsi="Andes" w:cs="Arial"/>
          <w:sz w:val="22"/>
          <w:szCs w:val="22"/>
        </w:rPr>
        <w:t>D</w:t>
      </w:r>
      <w:r w:rsidR="0090219F">
        <w:rPr>
          <w:rFonts w:ascii="Andes" w:hAnsi="Andes" w:cs="Arial"/>
          <w:sz w:val="22"/>
          <w:szCs w:val="22"/>
        </w:rPr>
        <w:t>C</w:t>
      </w:r>
      <w:r>
        <w:rPr>
          <w:rFonts w:ascii="Andes" w:hAnsi="Andes" w:cs="Arial"/>
          <w:sz w:val="22"/>
          <w:szCs w:val="22"/>
        </w:rPr>
        <w:t>)</w:t>
      </w:r>
      <w:r w:rsidRPr="000F54B7">
        <w:rPr>
          <w:rFonts w:ascii="Andes" w:hAnsi="Andes" w:cs="Arial"/>
          <w:sz w:val="22"/>
          <w:szCs w:val="22"/>
        </w:rPr>
        <w:t xml:space="preserve"> est une méthode de mise en concurrence qui repose sur la comparaison de devis d’entreprises. Cette méthode peut être plus efficiente que les méthodes plus complexes pour acheter des quantités limitées de Fournitures ou de Services Autres que des Services de Consultants directement disponibles dans le commerce, des biens standard, ou des Travaux de génie civil simples d’une valeur minime. Pour plus de détails, voir l’</w:t>
      </w:r>
      <w:r w:rsidR="00AC71A3">
        <w:rPr>
          <w:rFonts w:ascii="Andes" w:hAnsi="Andes" w:cs="Arial"/>
          <w:sz w:val="22"/>
          <w:szCs w:val="22"/>
        </w:rPr>
        <w:t>A</w:t>
      </w:r>
      <w:r w:rsidRPr="000F54B7">
        <w:rPr>
          <w:rFonts w:ascii="Andes" w:hAnsi="Andes" w:cs="Arial"/>
          <w:sz w:val="22"/>
          <w:szCs w:val="22"/>
        </w:rPr>
        <w:t>nnexe XII Méthodes de sélection.</w:t>
      </w:r>
    </w:p>
    <w:p w14:paraId="4FDB053A" w14:textId="77777777" w:rsidR="00C07243" w:rsidRPr="00C07243" w:rsidRDefault="00C07243" w:rsidP="00C07243">
      <w:pPr>
        <w:tabs>
          <w:tab w:val="left" w:pos="630"/>
        </w:tabs>
        <w:spacing w:before="0" w:line="240" w:lineRule="auto"/>
        <w:contextualSpacing w:val="0"/>
        <w:rPr>
          <w:rFonts w:ascii="Andes" w:hAnsi="Andes" w:cs="Arial"/>
          <w:sz w:val="22"/>
          <w:szCs w:val="22"/>
        </w:rPr>
      </w:pPr>
    </w:p>
    <w:p w14:paraId="29039691" w14:textId="77777777" w:rsidR="006D600B" w:rsidRPr="000F54B7" w:rsidRDefault="006D600B" w:rsidP="006D600B">
      <w:pPr>
        <w:spacing w:before="240" w:line="240" w:lineRule="auto"/>
        <w:contextualSpacing w:val="0"/>
        <w:rPr>
          <w:rFonts w:ascii="Andes" w:hAnsi="Andes"/>
          <w:sz w:val="28"/>
        </w:rPr>
      </w:pPr>
      <w:bookmarkStart w:id="2648" w:name="_Toc453170898"/>
      <w:r>
        <w:rPr>
          <w:rFonts w:ascii="Andes" w:hAnsi="Andes"/>
          <w:b/>
          <w:sz w:val="28"/>
          <w:szCs w:val="28"/>
        </w:rPr>
        <w:lastRenderedPageBreak/>
        <w:t>Sélection</w:t>
      </w:r>
      <w:r w:rsidRPr="000F54B7">
        <w:rPr>
          <w:rFonts w:ascii="Andes" w:hAnsi="Andes"/>
          <w:b/>
          <w:sz w:val="28"/>
          <w:szCs w:val="28"/>
        </w:rPr>
        <w:t xml:space="preserve"> directe</w:t>
      </w:r>
      <w:bookmarkEnd w:id="2648"/>
    </w:p>
    <w:p w14:paraId="09B3FE70" w14:textId="77777777"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La méthode de </w:t>
      </w:r>
      <w:r>
        <w:rPr>
          <w:rFonts w:ascii="Andes" w:hAnsi="Andes" w:cs="Arial"/>
          <w:sz w:val="22"/>
          <w:szCs w:val="22"/>
        </w:rPr>
        <w:t xml:space="preserve">la sélection </w:t>
      </w:r>
      <w:r w:rsidRPr="000F54B7">
        <w:rPr>
          <w:rFonts w:ascii="Andes" w:hAnsi="Andes" w:cs="Arial"/>
          <w:sz w:val="22"/>
          <w:szCs w:val="22"/>
        </w:rPr>
        <w:t xml:space="preserve">directe, qui consiste à contacter </w:t>
      </w:r>
      <w:r>
        <w:rPr>
          <w:rFonts w:ascii="Andes" w:hAnsi="Andes" w:cs="Arial"/>
          <w:sz w:val="22"/>
          <w:szCs w:val="22"/>
        </w:rPr>
        <w:t xml:space="preserve">et négocier avec </w:t>
      </w:r>
      <w:r w:rsidRPr="000F54B7">
        <w:rPr>
          <w:rFonts w:ascii="Andes" w:hAnsi="Andes" w:cs="Arial"/>
          <w:sz w:val="22"/>
          <w:szCs w:val="22"/>
        </w:rPr>
        <w:t xml:space="preserve">une seule entreprise, peut s’imposer pour des raisons </w:t>
      </w:r>
      <w:r>
        <w:rPr>
          <w:rFonts w:ascii="Andes" w:hAnsi="Andes" w:cs="Arial"/>
          <w:sz w:val="22"/>
          <w:szCs w:val="22"/>
        </w:rPr>
        <w:t>de proportionnalité, d’adaptation à l’objectif visé et d’optimisation des ressources</w:t>
      </w:r>
      <w:r w:rsidRPr="000F54B7">
        <w:rPr>
          <w:rFonts w:ascii="Andes" w:hAnsi="Andes" w:cs="Arial"/>
          <w:sz w:val="22"/>
          <w:szCs w:val="22"/>
        </w:rPr>
        <w:t xml:space="preserve">. Elle peut être appropriée </w:t>
      </w:r>
      <w:r>
        <w:rPr>
          <w:rFonts w:ascii="Andes" w:hAnsi="Andes" w:cs="Arial"/>
          <w:sz w:val="22"/>
          <w:szCs w:val="22"/>
        </w:rPr>
        <w:t xml:space="preserve">lorsqu’il </w:t>
      </w:r>
      <w:r w:rsidRPr="000F54B7">
        <w:rPr>
          <w:rFonts w:ascii="Andes" w:hAnsi="Andes" w:cs="Arial"/>
          <w:sz w:val="22"/>
          <w:szCs w:val="22"/>
        </w:rPr>
        <w:t xml:space="preserve">n’existe qu’une </w:t>
      </w:r>
      <w:r>
        <w:rPr>
          <w:rFonts w:ascii="Andes" w:hAnsi="Andes" w:cs="Arial"/>
          <w:sz w:val="22"/>
          <w:szCs w:val="22"/>
        </w:rPr>
        <w:t xml:space="preserve">seule </w:t>
      </w:r>
      <w:r w:rsidRPr="000F54B7">
        <w:rPr>
          <w:rFonts w:ascii="Andes" w:hAnsi="Andes" w:cs="Arial"/>
          <w:sz w:val="22"/>
          <w:szCs w:val="22"/>
        </w:rPr>
        <w:t xml:space="preserve">entreprise </w:t>
      </w:r>
      <w:r>
        <w:rPr>
          <w:rFonts w:ascii="Andes" w:hAnsi="Andes" w:cs="Arial"/>
          <w:sz w:val="22"/>
          <w:szCs w:val="22"/>
        </w:rPr>
        <w:t xml:space="preserve">acceptable </w:t>
      </w:r>
      <w:r w:rsidRPr="000F54B7">
        <w:rPr>
          <w:rFonts w:ascii="Andes" w:hAnsi="Andes" w:cs="Arial"/>
          <w:sz w:val="22"/>
          <w:szCs w:val="22"/>
        </w:rPr>
        <w:t xml:space="preserve">ou </w:t>
      </w:r>
      <w:r>
        <w:rPr>
          <w:rFonts w:ascii="Andes" w:hAnsi="Andes" w:cs="Arial"/>
          <w:sz w:val="22"/>
          <w:szCs w:val="22"/>
        </w:rPr>
        <w:t>que la préférence donnée à une entreprise en particulier est justifiée.</w:t>
      </w:r>
      <w:r w:rsidRPr="000F54B7">
        <w:rPr>
          <w:rFonts w:ascii="Andes" w:hAnsi="Andes" w:cs="Arial"/>
          <w:sz w:val="22"/>
          <w:szCs w:val="22"/>
        </w:rPr>
        <w:t xml:space="preserve"> </w:t>
      </w:r>
    </w:p>
    <w:p w14:paraId="5934C648" w14:textId="77777777"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L</w:t>
      </w:r>
      <w:r>
        <w:rPr>
          <w:rFonts w:ascii="Andes" w:hAnsi="Andes" w:cs="Arial"/>
          <w:sz w:val="22"/>
          <w:szCs w:val="22"/>
        </w:rPr>
        <w:t xml:space="preserve">a sélection </w:t>
      </w:r>
      <w:r w:rsidRPr="000F54B7">
        <w:rPr>
          <w:rFonts w:ascii="Andes" w:hAnsi="Andes" w:cs="Arial"/>
          <w:sz w:val="22"/>
          <w:szCs w:val="22"/>
        </w:rPr>
        <w:t xml:space="preserve">directe peut </w:t>
      </w:r>
      <w:r>
        <w:rPr>
          <w:rFonts w:ascii="Andes" w:hAnsi="Andes" w:cs="Arial"/>
          <w:sz w:val="22"/>
          <w:szCs w:val="22"/>
        </w:rPr>
        <w:t xml:space="preserve">convenir </w:t>
      </w:r>
      <w:r w:rsidRPr="000F54B7">
        <w:rPr>
          <w:rFonts w:ascii="Andes" w:hAnsi="Andes" w:cs="Arial"/>
          <w:sz w:val="22"/>
          <w:szCs w:val="22"/>
        </w:rPr>
        <w:t>dans les situations suivantes :</w:t>
      </w:r>
    </w:p>
    <w:p w14:paraId="58A7AFD1" w14:textId="74621B41" w:rsidR="006D600B" w:rsidRPr="000F54B7" w:rsidRDefault="006D600B" w:rsidP="006D600B">
      <w:pPr>
        <w:pStyle w:val="Paragraphedeliste"/>
        <w:numPr>
          <w:ilvl w:val="0"/>
          <w:numId w:val="172"/>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un marché existant, </w:t>
      </w:r>
      <w:r w:rsidR="00A01A86">
        <w:rPr>
          <w:rFonts w:ascii="Andes" w:eastAsiaTheme="minorHAnsi" w:hAnsi="Andes" w:cs="Arial"/>
          <w:color w:val="000000"/>
          <w:sz w:val="22"/>
          <w:szCs w:val="22"/>
        </w:rPr>
        <w:t>y compris</w:t>
      </w:r>
      <w:r w:rsidRPr="000F54B7">
        <w:rPr>
          <w:rFonts w:ascii="Andes" w:eastAsiaTheme="minorHAnsi" w:hAnsi="Andes" w:cs="Arial"/>
          <w:color w:val="000000"/>
          <w:sz w:val="22"/>
          <w:szCs w:val="22"/>
        </w:rPr>
        <w:t xml:space="preserve"> un marché n’ayant pas été financé initialement par la Banque, portant sur des Fournitures, des Travaux ou des Services Autres que des Services de Consultants, attribué selon des procédures jugées acceptables par la Banque, peut être </w:t>
      </w:r>
      <w:r>
        <w:rPr>
          <w:rFonts w:ascii="Andes" w:eastAsiaTheme="minorHAnsi" w:hAnsi="Andes" w:cs="Arial"/>
          <w:color w:val="000000"/>
          <w:sz w:val="22"/>
          <w:szCs w:val="22"/>
        </w:rPr>
        <w:t xml:space="preserve">reconduit </w:t>
      </w:r>
      <w:r w:rsidRPr="000F54B7">
        <w:rPr>
          <w:rFonts w:ascii="Andes" w:eastAsiaTheme="minorHAnsi" w:hAnsi="Andes" w:cs="Arial"/>
          <w:color w:val="000000"/>
          <w:sz w:val="22"/>
          <w:szCs w:val="22"/>
        </w:rPr>
        <w:t xml:space="preserve">pour </w:t>
      </w:r>
      <w:r>
        <w:rPr>
          <w:rFonts w:ascii="Andes" w:eastAsiaTheme="minorHAnsi" w:hAnsi="Andes" w:cs="Arial"/>
          <w:color w:val="000000"/>
          <w:sz w:val="22"/>
          <w:szCs w:val="22"/>
        </w:rPr>
        <w:t xml:space="preserve">des quantités supplémentaires </w:t>
      </w:r>
      <w:r w:rsidRPr="000F54B7">
        <w:rPr>
          <w:rFonts w:ascii="Andes" w:eastAsiaTheme="minorHAnsi" w:hAnsi="Andes" w:cs="Arial"/>
          <w:color w:val="000000"/>
          <w:sz w:val="22"/>
          <w:szCs w:val="22"/>
        </w:rPr>
        <w:t>d</w:t>
      </w:r>
      <w:r>
        <w:rPr>
          <w:rFonts w:ascii="Andes" w:eastAsiaTheme="minorHAnsi" w:hAnsi="Andes" w:cs="Arial"/>
          <w:color w:val="000000"/>
          <w:sz w:val="22"/>
          <w:szCs w:val="22"/>
        </w:rPr>
        <w:t>e</w:t>
      </w:r>
      <w:r w:rsidRPr="000F54B7">
        <w:rPr>
          <w:rFonts w:ascii="Andes" w:eastAsiaTheme="minorHAnsi" w:hAnsi="Andes" w:cs="Arial"/>
          <w:color w:val="000000"/>
          <w:sz w:val="22"/>
          <w:szCs w:val="22"/>
        </w:rPr>
        <w:t xml:space="preserve"> Fournitures, de</w:t>
      </w:r>
      <w:r>
        <w:rPr>
          <w:rFonts w:ascii="Andes" w:eastAsiaTheme="minorHAnsi" w:hAnsi="Andes" w:cs="Arial"/>
          <w:color w:val="000000"/>
          <w:sz w:val="22"/>
          <w:szCs w:val="22"/>
        </w:rPr>
        <w:t xml:space="preserve"> Travaux ou de</w:t>
      </w:r>
      <w:r w:rsidRPr="000F54B7">
        <w:rPr>
          <w:rFonts w:ascii="Andes" w:eastAsiaTheme="minorHAnsi" w:hAnsi="Andes" w:cs="Arial"/>
          <w:color w:val="000000"/>
          <w:sz w:val="22"/>
          <w:szCs w:val="22"/>
        </w:rPr>
        <w:t xml:space="preserve"> Services Autres que des Services de Consultants de même nature, si :</w:t>
      </w:r>
    </w:p>
    <w:p w14:paraId="3410C1D7" w14:textId="77777777" w:rsidR="006D600B" w:rsidRPr="000F54B7" w:rsidRDefault="006D600B" w:rsidP="006D600B">
      <w:pPr>
        <w:pStyle w:val="Paragraphedeliste"/>
        <w:numPr>
          <w:ilvl w:val="0"/>
          <w:numId w:val="269"/>
        </w:numPr>
        <w:spacing w:before="0" w:line="240" w:lineRule="auto"/>
        <w:ind w:left="1800" w:hanging="90"/>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il est convenablement justifié ; </w:t>
      </w:r>
    </w:p>
    <w:p w14:paraId="01E91194" w14:textId="77777777" w:rsidR="006D600B" w:rsidRPr="000F54B7" w:rsidRDefault="006D600B" w:rsidP="006D600B">
      <w:pPr>
        <w:pStyle w:val="Paragraphedeliste"/>
        <w:numPr>
          <w:ilvl w:val="0"/>
          <w:numId w:val="269"/>
        </w:numPr>
        <w:spacing w:before="0" w:line="240" w:lineRule="auto"/>
        <w:ind w:left="1800" w:hanging="90"/>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une mise en concurrence n’apporterait aucun avantage ; </w:t>
      </w:r>
    </w:p>
    <w:p w14:paraId="6553FE48" w14:textId="77777777" w:rsidR="006D600B" w:rsidRPr="000F54B7" w:rsidRDefault="006D600B" w:rsidP="006D600B">
      <w:pPr>
        <w:pStyle w:val="Paragraphedeliste"/>
        <w:numPr>
          <w:ilvl w:val="0"/>
          <w:numId w:val="269"/>
        </w:numPr>
        <w:spacing w:before="0" w:line="240" w:lineRule="auto"/>
        <w:ind w:left="1800" w:hanging="90"/>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les prix du marché </w:t>
      </w:r>
      <w:r>
        <w:rPr>
          <w:rFonts w:ascii="Andes" w:eastAsiaTheme="minorHAnsi" w:hAnsi="Andes" w:cs="Arial"/>
          <w:color w:val="000000"/>
          <w:sz w:val="22"/>
          <w:szCs w:val="22"/>
        </w:rPr>
        <w:t xml:space="preserve">reconduit </w:t>
      </w:r>
      <w:r w:rsidRPr="000F54B7">
        <w:rPr>
          <w:rFonts w:ascii="Andes" w:eastAsiaTheme="minorHAnsi" w:hAnsi="Andes" w:cs="Arial"/>
          <w:color w:val="000000"/>
          <w:sz w:val="22"/>
          <w:szCs w:val="22"/>
        </w:rPr>
        <w:t>sont raisonnables ;</w:t>
      </w:r>
    </w:p>
    <w:p w14:paraId="624EEDBE" w14:textId="77777777" w:rsidR="006D600B" w:rsidRPr="000F54B7" w:rsidRDefault="006D600B" w:rsidP="006D600B">
      <w:pPr>
        <w:pStyle w:val="Paragraphedeliste"/>
        <w:numPr>
          <w:ilvl w:val="0"/>
          <w:numId w:val="172"/>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il </w:t>
      </w:r>
      <w:r>
        <w:rPr>
          <w:rFonts w:ascii="Andes" w:eastAsiaTheme="minorHAnsi" w:hAnsi="Andes" w:cs="Arial"/>
          <w:color w:val="000000"/>
          <w:sz w:val="22"/>
          <w:szCs w:val="22"/>
        </w:rPr>
        <w:t>y a un impératif justifiable de ré</w:t>
      </w:r>
      <w:r w:rsidRPr="000F54B7">
        <w:rPr>
          <w:rFonts w:ascii="Andes" w:eastAsiaTheme="minorHAnsi" w:hAnsi="Andes" w:cs="Arial"/>
          <w:color w:val="000000"/>
          <w:sz w:val="22"/>
          <w:szCs w:val="22"/>
        </w:rPr>
        <w:t>engager une entreprise ayant mené à bien un précédent contrat au cours des 12 derniers mois pour l’Emprunteur, pour un marché du même type. Les documents justificatifs doivent montrer que :</w:t>
      </w:r>
    </w:p>
    <w:p w14:paraId="09037DD9" w14:textId="77777777" w:rsidR="006D600B" w:rsidRPr="000F54B7" w:rsidRDefault="006D600B" w:rsidP="006D600B">
      <w:pPr>
        <w:pStyle w:val="Paragraphedeliste"/>
        <w:numPr>
          <w:ilvl w:val="0"/>
          <w:numId w:val="270"/>
        </w:numPr>
        <w:spacing w:before="0" w:line="240" w:lineRule="auto"/>
        <w:ind w:left="1800" w:hanging="90"/>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l’entreprise a mené à bien le contrat précédent de façon satisfaisante ;</w:t>
      </w:r>
    </w:p>
    <w:p w14:paraId="65FFAFEB" w14:textId="77777777" w:rsidR="006D600B" w:rsidRPr="000F54B7" w:rsidRDefault="006D600B" w:rsidP="006D600B">
      <w:pPr>
        <w:pStyle w:val="Paragraphedeliste"/>
        <w:numPr>
          <w:ilvl w:val="0"/>
          <w:numId w:val="270"/>
        </w:numPr>
        <w:spacing w:before="0" w:line="240" w:lineRule="auto"/>
        <w:ind w:left="1800" w:hanging="90"/>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une mise en concurrence n’apporterait aucun avantage ;</w:t>
      </w:r>
    </w:p>
    <w:p w14:paraId="1D0CAC28" w14:textId="77777777" w:rsidR="006D600B" w:rsidRPr="000F54B7" w:rsidRDefault="006D600B" w:rsidP="006D600B">
      <w:pPr>
        <w:pStyle w:val="Paragraphedeliste"/>
        <w:numPr>
          <w:ilvl w:val="0"/>
          <w:numId w:val="270"/>
        </w:numPr>
        <w:spacing w:before="0" w:line="240" w:lineRule="auto"/>
        <w:ind w:left="1800" w:hanging="90"/>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les prix du marché </w:t>
      </w:r>
      <w:r>
        <w:rPr>
          <w:rFonts w:ascii="Andes" w:eastAsiaTheme="minorHAnsi" w:hAnsi="Andes" w:cs="Arial"/>
          <w:color w:val="000000"/>
          <w:sz w:val="22"/>
          <w:szCs w:val="22"/>
        </w:rPr>
        <w:t xml:space="preserve">qui serait passé </w:t>
      </w:r>
      <w:r w:rsidRPr="000F54B7">
        <w:rPr>
          <w:rFonts w:ascii="Andes" w:eastAsiaTheme="minorHAnsi" w:hAnsi="Andes" w:cs="Arial"/>
          <w:color w:val="000000"/>
          <w:sz w:val="22"/>
          <w:szCs w:val="22"/>
        </w:rPr>
        <w:t xml:space="preserve">par </w:t>
      </w:r>
      <w:r>
        <w:rPr>
          <w:rFonts w:ascii="Andes" w:eastAsiaTheme="minorHAnsi" w:hAnsi="Andes" w:cs="Arial"/>
          <w:color w:val="000000"/>
          <w:sz w:val="22"/>
          <w:szCs w:val="22"/>
        </w:rPr>
        <w:t>sélection</w:t>
      </w:r>
      <w:r w:rsidRPr="000F54B7">
        <w:rPr>
          <w:rFonts w:ascii="Andes" w:eastAsiaTheme="minorHAnsi" w:hAnsi="Andes" w:cs="Arial"/>
          <w:color w:val="000000"/>
          <w:sz w:val="22"/>
          <w:szCs w:val="22"/>
        </w:rPr>
        <w:t xml:space="preserve"> directe sont raisonnables ;</w:t>
      </w:r>
    </w:p>
    <w:p w14:paraId="0A352F96" w14:textId="77777777" w:rsidR="006D600B" w:rsidRPr="000F54B7" w:rsidRDefault="006D600B" w:rsidP="006D600B">
      <w:pPr>
        <w:pStyle w:val="Paragraphedeliste"/>
        <w:numPr>
          <w:ilvl w:val="0"/>
          <w:numId w:val="172"/>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le marché est </w:t>
      </w:r>
      <w:r>
        <w:rPr>
          <w:rFonts w:ascii="Andes" w:eastAsiaTheme="minorHAnsi" w:hAnsi="Andes" w:cs="Arial"/>
          <w:color w:val="000000"/>
          <w:sz w:val="22"/>
          <w:szCs w:val="22"/>
        </w:rPr>
        <w:t xml:space="preserve">à la fois </w:t>
      </w:r>
      <w:r w:rsidRPr="000F54B7">
        <w:rPr>
          <w:rFonts w:ascii="Andes" w:eastAsiaTheme="minorHAnsi" w:hAnsi="Andes" w:cs="Arial"/>
          <w:color w:val="000000"/>
          <w:sz w:val="22"/>
          <w:szCs w:val="22"/>
        </w:rPr>
        <w:t xml:space="preserve">d’un montant très faible et </w:t>
      </w:r>
      <w:r>
        <w:rPr>
          <w:rFonts w:ascii="Andes" w:eastAsiaTheme="minorHAnsi" w:hAnsi="Andes" w:cs="Arial"/>
          <w:color w:val="000000"/>
          <w:sz w:val="22"/>
          <w:szCs w:val="22"/>
        </w:rPr>
        <w:t xml:space="preserve">peu </w:t>
      </w:r>
      <w:r w:rsidRPr="000F54B7">
        <w:rPr>
          <w:rFonts w:ascii="Andes" w:eastAsiaTheme="minorHAnsi" w:hAnsi="Andes" w:cs="Arial"/>
          <w:color w:val="000000"/>
          <w:sz w:val="22"/>
          <w:szCs w:val="22"/>
        </w:rPr>
        <w:t>risqu</w:t>
      </w:r>
      <w:r>
        <w:rPr>
          <w:rFonts w:ascii="Andes" w:eastAsiaTheme="minorHAnsi" w:hAnsi="Andes" w:cs="Arial"/>
          <w:color w:val="000000"/>
          <w:sz w:val="22"/>
          <w:szCs w:val="22"/>
        </w:rPr>
        <w:t>é</w:t>
      </w:r>
      <w:r w:rsidRPr="000F54B7">
        <w:rPr>
          <w:rFonts w:ascii="Andes" w:eastAsiaTheme="minorHAnsi" w:hAnsi="Andes" w:cs="Arial"/>
          <w:color w:val="000000"/>
          <w:sz w:val="22"/>
          <w:szCs w:val="22"/>
        </w:rPr>
        <w:t xml:space="preserve">, comme convenu dans le Plan de Passation des Marchés ; </w:t>
      </w:r>
    </w:p>
    <w:p w14:paraId="356F31AF" w14:textId="77777777" w:rsidR="006D600B" w:rsidRPr="000F54B7" w:rsidRDefault="006D600B" w:rsidP="006D600B">
      <w:pPr>
        <w:pStyle w:val="Paragraphedeliste"/>
        <w:numPr>
          <w:ilvl w:val="0"/>
          <w:numId w:val="172"/>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le cas est exceptionnel, par exemple face à des Situations d’Urgence ;</w:t>
      </w:r>
    </w:p>
    <w:p w14:paraId="05D1D627" w14:textId="77777777" w:rsidR="006D600B" w:rsidRPr="000F54B7" w:rsidRDefault="006D600B" w:rsidP="006D600B">
      <w:pPr>
        <w:pStyle w:val="Paragraphedeliste"/>
        <w:numPr>
          <w:ilvl w:val="0"/>
          <w:numId w:val="172"/>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la standardisation de Fournitures devant être compatibles avec des Fournitures existantes peut justifier des achats supplémentaires auprès de l’entreprise initiale, si les avantages et inconvénients associés à une autre marque ou une autre source de matériel ont été examinés selon des critères jugés acceptables par la Banque ;</w:t>
      </w:r>
    </w:p>
    <w:p w14:paraId="5E1145E5" w14:textId="77777777" w:rsidR="006D600B" w:rsidRPr="000F54B7" w:rsidRDefault="006D600B" w:rsidP="006D600B">
      <w:pPr>
        <w:pStyle w:val="Paragraphedeliste"/>
        <w:numPr>
          <w:ilvl w:val="0"/>
          <w:numId w:val="172"/>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l</w:t>
      </w:r>
      <w:r>
        <w:rPr>
          <w:rFonts w:ascii="Andes" w:eastAsiaTheme="minorHAnsi" w:hAnsi="Andes" w:cs="Arial"/>
          <w:color w:val="000000"/>
          <w:sz w:val="22"/>
          <w:szCs w:val="22"/>
        </w:rPr>
        <w:t xml:space="preserve">’équipement </w:t>
      </w:r>
      <w:r w:rsidRPr="000F54B7">
        <w:rPr>
          <w:rFonts w:ascii="Andes" w:eastAsiaTheme="minorHAnsi" w:hAnsi="Andes" w:cs="Arial"/>
          <w:color w:val="000000"/>
          <w:sz w:val="22"/>
          <w:szCs w:val="22"/>
        </w:rPr>
        <w:t>nécessaire est protégé par des droits de propriété et ne peut être obtenu qu’auprès d’une source unique ;</w:t>
      </w:r>
    </w:p>
    <w:p w14:paraId="57B35714" w14:textId="77777777" w:rsidR="006D600B" w:rsidRPr="000F54B7" w:rsidRDefault="006D600B" w:rsidP="006D600B">
      <w:pPr>
        <w:pStyle w:val="Paragraphedeliste"/>
        <w:numPr>
          <w:ilvl w:val="0"/>
          <w:numId w:val="172"/>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l’achat de certaines Fournitures auprès d’une entreprise particulière est </w:t>
      </w:r>
      <w:r>
        <w:rPr>
          <w:rFonts w:ascii="Andes" w:eastAsiaTheme="minorHAnsi" w:hAnsi="Andes" w:cs="Arial"/>
          <w:color w:val="000000"/>
          <w:sz w:val="22"/>
          <w:szCs w:val="22"/>
        </w:rPr>
        <w:t xml:space="preserve">déterminant </w:t>
      </w:r>
      <w:r w:rsidRPr="000F54B7">
        <w:rPr>
          <w:rFonts w:ascii="Andes" w:eastAsiaTheme="minorHAnsi" w:hAnsi="Andes" w:cs="Arial"/>
          <w:color w:val="000000"/>
          <w:sz w:val="22"/>
          <w:szCs w:val="22"/>
        </w:rPr>
        <w:t xml:space="preserve">pour atteindre les performances nécessaires ou assurer la garantie de fonctionnement d’un </w:t>
      </w:r>
      <w:r>
        <w:rPr>
          <w:rFonts w:ascii="Andes" w:eastAsiaTheme="minorHAnsi" w:hAnsi="Andes" w:cs="Arial"/>
          <w:color w:val="000000"/>
          <w:sz w:val="22"/>
          <w:szCs w:val="22"/>
        </w:rPr>
        <w:t>équipement</w:t>
      </w:r>
      <w:r w:rsidRPr="000F54B7">
        <w:rPr>
          <w:rFonts w:ascii="Andes" w:eastAsiaTheme="minorHAnsi" w:hAnsi="Andes" w:cs="Arial"/>
          <w:color w:val="000000"/>
          <w:sz w:val="22"/>
          <w:szCs w:val="22"/>
        </w:rPr>
        <w:t>, d’un</w:t>
      </w:r>
      <w:r>
        <w:rPr>
          <w:rFonts w:ascii="Andes" w:eastAsiaTheme="minorHAnsi" w:hAnsi="Andes" w:cs="Arial"/>
          <w:color w:val="000000"/>
          <w:sz w:val="22"/>
          <w:szCs w:val="22"/>
        </w:rPr>
        <w:t xml:space="preserve"> Ouvrage </w:t>
      </w:r>
      <w:r w:rsidRPr="000F54B7">
        <w:rPr>
          <w:rFonts w:ascii="Andes" w:eastAsiaTheme="minorHAnsi" w:hAnsi="Andes" w:cs="Arial"/>
          <w:color w:val="000000"/>
          <w:sz w:val="22"/>
          <w:szCs w:val="22"/>
        </w:rPr>
        <w:t>ou d’une installation ;</w:t>
      </w:r>
    </w:p>
    <w:p w14:paraId="162081E5" w14:textId="12B1E94D" w:rsidR="006D600B" w:rsidRPr="000F54B7" w:rsidRDefault="006D600B" w:rsidP="006D600B">
      <w:pPr>
        <w:pStyle w:val="Paragraphedeliste"/>
        <w:numPr>
          <w:ilvl w:val="0"/>
          <w:numId w:val="172"/>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les Fournitures, Travaux ou Services Autres que </w:t>
      </w:r>
      <w:r w:rsidR="00D75B95">
        <w:rPr>
          <w:rFonts w:ascii="Andes" w:eastAsiaTheme="minorHAnsi" w:hAnsi="Andes" w:cs="Arial"/>
          <w:color w:val="000000"/>
          <w:sz w:val="22"/>
          <w:szCs w:val="22"/>
        </w:rPr>
        <w:t>l</w:t>
      </w:r>
      <w:r w:rsidRPr="000F54B7">
        <w:rPr>
          <w:rFonts w:ascii="Andes" w:eastAsiaTheme="minorHAnsi" w:hAnsi="Andes" w:cs="Arial"/>
          <w:color w:val="000000"/>
          <w:sz w:val="22"/>
          <w:szCs w:val="22"/>
        </w:rPr>
        <w:t xml:space="preserve">es Services de Consultants fournis dans le pays de l’Emprunteur par une EIP, une université, un centre de recherches ou une institution du pays de l’Emprunteur sont d’une nature unique et exceptionnelle au sens du </w:t>
      </w:r>
      <w:r w:rsidR="00AA247A">
        <w:rPr>
          <w:rFonts w:ascii="Andes" w:eastAsiaTheme="minorHAnsi" w:hAnsi="Andes" w:cs="Arial"/>
          <w:color w:val="000000"/>
          <w:sz w:val="22"/>
          <w:szCs w:val="22"/>
        </w:rPr>
        <w:t>P</w:t>
      </w:r>
      <w:r w:rsidRPr="000F54B7">
        <w:rPr>
          <w:rFonts w:ascii="Andes" w:eastAsiaTheme="minorHAnsi" w:hAnsi="Andes" w:cs="Arial"/>
          <w:color w:val="000000"/>
          <w:sz w:val="22"/>
          <w:szCs w:val="22"/>
        </w:rPr>
        <w:t>aragraphe 3.2</w:t>
      </w:r>
      <w:r w:rsidR="003D46EF">
        <w:rPr>
          <w:rFonts w:ascii="Andes" w:eastAsiaTheme="minorHAnsi" w:hAnsi="Andes" w:cs="Arial"/>
          <w:color w:val="000000"/>
          <w:sz w:val="22"/>
          <w:szCs w:val="22"/>
        </w:rPr>
        <w:t>2</w:t>
      </w:r>
      <w:r w:rsidRPr="000F54B7">
        <w:rPr>
          <w:rFonts w:ascii="Andes" w:eastAsiaTheme="minorHAnsi" w:hAnsi="Andes" w:cs="Arial"/>
          <w:color w:val="000000"/>
          <w:sz w:val="22"/>
          <w:szCs w:val="22"/>
        </w:rPr>
        <w:t> </w:t>
      </w:r>
      <w:r w:rsidR="00332FCD" w:rsidRPr="000F54B7">
        <w:rPr>
          <w:rFonts w:ascii="Andes" w:eastAsiaTheme="minorHAnsi" w:hAnsi="Andes" w:cs="Arial"/>
          <w:color w:val="000000"/>
          <w:sz w:val="22"/>
          <w:szCs w:val="22"/>
        </w:rPr>
        <w:t>c;</w:t>
      </w:r>
      <w:r w:rsidRPr="000F54B7">
        <w:rPr>
          <w:rFonts w:ascii="Andes" w:eastAsiaTheme="minorHAnsi" w:hAnsi="Andes" w:cs="Arial"/>
          <w:color w:val="000000"/>
          <w:sz w:val="22"/>
          <w:szCs w:val="22"/>
        </w:rPr>
        <w:t xml:space="preserve"> ou </w:t>
      </w:r>
    </w:p>
    <w:p w14:paraId="7823E9AE" w14:textId="77777777" w:rsidR="006D600B" w:rsidRPr="000F54B7" w:rsidRDefault="006D600B" w:rsidP="006D600B">
      <w:pPr>
        <w:pStyle w:val="Paragraphedeliste"/>
        <w:numPr>
          <w:ilvl w:val="0"/>
          <w:numId w:val="172"/>
        </w:numPr>
        <w:spacing w:before="0" w:line="240" w:lineRule="auto"/>
        <w:contextualSpacing w:val="0"/>
        <w:rPr>
          <w:rFonts w:ascii="Andes" w:hAnsi="Andes" w:cs="Arial"/>
          <w:sz w:val="22"/>
          <w:szCs w:val="22"/>
        </w:rPr>
      </w:pPr>
      <w:r>
        <w:rPr>
          <w:rFonts w:ascii="Andes" w:hAnsi="Andes" w:cs="Arial"/>
          <w:sz w:val="22"/>
          <w:szCs w:val="22"/>
        </w:rPr>
        <w:t xml:space="preserve">sélection </w:t>
      </w:r>
      <w:r w:rsidRPr="000F54B7">
        <w:rPr>
          <w:rFonts w:ascii="Andes" w:hAnsi="Andes" w:cs="Arial"/>
          <w:sz w:val="22"/>
          <w:szCs w:val="22"/>
        </w:rPr>
        <w:t>directe d</w:t>
      </w:r>
      <w:r>
        <w:rPr>
          <w:rFonts w:ascii="Andes" w:hAnsi="Andes" w:cs="Arial"/>
          <w:sz w:val="22"/>
          <w:szCs w:val="22"/>
        </w:rPr>
        <w:t>’</w:t>
      </w:r>
      <w:r w:rsidRPr="000F54B7">
        <w:rPr>
          <w:rFonts w:ascii="Andes" w:hAnsi="Andes" w:cs="Arial"/>
          <w:sz w:val="22"/>
          <w:szCs w:val="22"/>
        </w:rPr>
        <w:t>Institutions des Nations Unies conformément aux dispositions des paragraphes 6.47 et 6.48.</w:t>
      </w:r>
    </w:p>
    <w:p w14:paraId="14C8C0F5" w14:textId="77777777"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lastRenderedPageBreak/>
        <w:t>Dans tous les cas d</w:t>
      </w:r>
      <w:r>
        <w:rPr>
          <w:rFonts w:ascii="Andes" w:hAnsi="Andes" w:cs="Arial"/>
          <w:sz w:val="22"/>
          <w:szCs w:val="22"/>
        </w:rPr>
        <w:t xml:space="preserve">e sélection </w:t>
      </w:r>
      <w:r w:rsidRPr="000F54B7">
        <w:rPr>
          <w:rFonts w:ascii="Andes" w:hAnsi="Andes" w:cs="Arial"/>
          <w:sz w:val="22"/>
          <w:szCs w:val="22"/>
        </w:rPr>
        <w:t xml:space="preserve">directe, l’Emprunteur doit s’assurer que : </w:t>
      </w:r>
    </w:p>
    <w:p w14:paraId="749F3D82" w14:textId="4E4FFAA6" w:rsidR="006D600B" w:rsidRPr="00FD3849" w:rsidRDefault="006D600B" w:rsidP="006D600B">
      <w:pPr>
        <w:pStyle w:val="Paragraphedeliste"/>
        <w:numPr>
          <w:ilvl w:val="0"/>
          <w:numId w:val="173"/>
        </w:numPr>
        <w:spacing w:before="0" w:line="240" w:lineRule="auto"/>
        <w:contextualSpacing w:val="0"/>
        <w:rPr>
          <w:rFonts w:ascii="Andes" w:eastAsiaTheme="minorHAnsi" w:hAnsi="Andes" w:cs="Arial"/>
          <w:sz w:val="22"/>
          <w:szCs w:val="22"/>
        </w:rPr>
      </w:pPr>
      <w:r w:rsidRPr="000F54B7">
        <w:rPr>
          <w:rFonts w:ascii="Andes" w:eastAsiaTheme="minorHAnsi" w:hAnsi="Andes" w:cs="Arial"/>
          <w:color w:val="000000"/>
          <w:sz w:val="22"/>
          <w:szCs w:val="22"/>
        </w:rPr>
        <w:t xml:space="preserve">les prix sont raisonnables et conformes aux prix </w:t>
      </w:r>
      <w:r w:rsidR="003D46EF">
        <w:rPr>
          <w:rFonts w:ascii="Andes" w:eastAsiaTheme="minorHAnsi" w:hAnsi="Andes" w:cs="Arial"/>
          <w:color w:val="000000"/>
          <w:sz w:val="22"/>
          <w:szCs w:val="22"/>
        </w:rPr>
        <w:t xml:space="preserve">pratiqués sur le </w:t>
      </w:r>
      <w:r w:rsidRPr="000F54B7">
        <w:rPr>
          <w:rFonts w:ascii="Andes" w:eastAsiaTheme="minorHAnsi" w:hAnsi="Andes" w:cs="Arial"/>
          <w:color w:val="000000"/>
          <w:sz w:val="22"/>
          <w:szCs w:val="22"/>
        </w:rPr>
        <w:t>marché pour des articles de même nature ;</w:t>
      </w:r>
    </w:p>
    <w:p w14:paraId="1C07A182" w14:textId="77777777" w:rsidR="006D600B" w:rsidRPr="00FD3849" w:rsidRDefault="006D600B" w:rsidP="006D600B">
      <w:pPr>
        <w:pStyle w:val="Paragraphedeliste"/>
        <w:numPr>
          <w:ilvl w:val="0"/>
          <w:numId w:val="173"/>
        </w:numPr>
        <w:spacing w:before="0" w:line="240" w:lineRule="auto"/>
        <w:contextualSpacing w:val="0"/>
        <w:rPr>
          <w:rFonts w:ascii="Andes" w:eastAsiaTheme="minorHAnsi" w:hAnsi="Andes" w:cs="Arial"/>
          <w:sz w:val="22"/>
          <w:szCs w:val="22"/>
        </w:rPr>
      </w:pPr>
      <w:r w:rsidRPr="00FD3849">
        <w:rPr>
          <w:rFonts w:ascii="Andes" w:eastAsiaTheme="minorHAnsi" w:hAnsi="Andes" w:cs="Arial"/>
          <w:sz w:val="22"/>
          <w:szCs w:val="22"/>
        </w:rPr>
        <w:t>les Fournitures, les T</w:t>
      </w:r>
      <w:r w:rsidRPr="00FD3849">
        <w:rPr>
          <w:rFonts w:ascii="Andes" w:eastAsiaTheme="minorHAnsi" w:hAnsi="Andes" w:cs="Arial"/>
          <w:color w:val="000000"/>
          <w:sz w:val="22"/>
          <w:szCs w:val="22"/>
        </w:rPr>
        <w:t>ravaux ou les Services Autres que des Services de Consultants</w:t>
      </w:r>
      <w:r>
        <w:rPr>
          <w:rFonts w:ascii="Andes" w:eastAsiaTheme="minorHAnsi" w:hAnsi="Andes" w:cs="Arial"/>
          <w:color w:val="000000"/>
          <w:sz w:val="22"/>
          <w:szCs w:val="22"/>
        </w:rPr>
        <w:t xml:space="preserve"> qui sont requis</w:t>
      </w:r>
      <w:r w:rsidRPr="00FD3849">
        <w:rPr>
          <w:rFonts w:ascii="Andes" w:eastAsiaTheme="minorHAnsi" w:hAnsi="Andes" w:cs="Arial"/>
          <w:color w:val="000000"/>
          <w:sz w:val="22"/>
          <w:szCs w:val="22"/>
        </w:rPr>
        <w:t xml:space="preserve"> ne sont pas divisés en marchés de plus petite taille dans le but d’éviter une mise en concurrence.</w:t>
      </w:r>
    </w:p>
    <w:p w14:paraId="0391BB82" w14:textId="027787A4" w:rsidR="006D600B" w:rsidRPr="000F54B7" w:rsidRDefault="00D75B95" w:rsidP="006D600B">
      <w:pPr>
        <w:pStyle w:val="Style2"/>
        <w:keepNext/>
        <w:keepLines/>
        <w:widowControl/>
        <w:tabs>
          <w:tab w:val="left" w:pos="1710"/>
        </w:tabs>
        <w:autoSpaceDE/>
        <w:autoSpaceDN/>
        <w:adjustRightInd/>
        <w:spacing w:before="240" w:after="120" w:line="259" w:lineRule="auto"/>
        <w:ind w:left="-23"/>
        <w:contextualSpacing w:val="0"/>
        <w:outlineLvl w:val="0"/>
        <w:rPr>
          <w:rFonts w:ascii="Andes" w:eastAsiaTheme="majorEastAsia" w:hAnsi="Andes" w:cstheme="majorBidi"/>
          <w:bCs w:val="0"/>
          <w:color w:val="C45911"/>
          <w:sz w:val="32"/>
          <w:szCs w:val="32"/>
        </w:rPr>
      </w:pPr>
      <w:bookmarkStart w:id="2649" w:name="_Toc409085793"/>
      <w:bookmarkStart w:id="2650" w:name="_Toc409086070"/>
      <w:bookmarkStart w:id="2651" w:name="_Toc409086347"/>
      <w:bookmarkStart w:id="2652" w:name="_Toc409248957"/>
      <w:bookmarkStart w:id="2653" w:name="_Toc409255537"/>
      <w:bookmarkStart w:id="2654" w:name="_Toc409255817"/>
      <w:bookmarkStart w:id="2655" w:name="_Toc409256097"/>
      <w:bookmarkStart w:id="2656" w:name="_Toc409256377"/>
      <w:bookmarkStart w:id="2657" w:name="_Toc409256657"/>
      <w:bookmarkStart w:id="2658" w:name="_Toc409270352"/>
      <w:bookmarkStart w:id="2659" w:name="_Toc409270632"/>
      <w:bookmarkStart w:id="2660" w:name="_Toc409509242"/>
      <w:bookmarkStart w:id="2661" w:name="_Toc409509525"/>
      <w:bookmarkStart w:id="2662" w:name="_Toc409509808"/>
      <w:bookmarkStart w:id="2663" w:name="_Toc409510091"/>
      <w:bookmarkStart w:id="2664" w:name="_Toc409510372"/>
      <w:bookmarkStart w:id="2665" w:name="_Toc409595851"/>
      <w:bookmarkStart w:id="2666" w:name="_Toc409607027"/>
      <w:bookmarkStart w:id="2667" w:name="_Toc409085794"/>
      <w:bookmarkStart w:id="2668" w:name="_Toc409086071"/>
      <w:bookmarkStart w:id="2669" w:name="_Toc409086348"/>
      <w:bookmarkStart w:id="2670" w:name="_Toc409248958"/>
      <w:bookmarkStart w:id="2671" w:name="_Toc409255538"/>
      <w:bookmarkStart w:id="2672" w:name="_Toc409255818"/>
      <w:bookmarkStart w:id="2673" w:name="_Toc409256098"/>
      <w:bookmarkStart w:id="2674" w:name="_Toc409256378"/>
      <w:bookmarkStart w:id="2675" w:name="_Toc409256658"/>
      <w:bookmarkStart w:id="2676" w:name="_Toc409270353"/>
      <w:bookmarkStart w:id="2677" w:name="_Toc409270633"/>
      <w:bookmarkStart w:id="2678" w:name="_Toc409509243"/>
      <w:bookmarkStart w:id="2679" w:name="_Toc409509526"/>
      <w:bookmarkStart w:id="2680" w:name="_Toc409509809"/>
      <w:bookmarkStart w:id="2681" w:name="_Toc409510092"/>
      <w:bookmarkStart w:id="2682" w:name="_Toc409510373"/>
      <w:bookmarkStart w:id="2683" w:name="_Toc409595852"/>
      <w:bookmarkStart w:id="2684" w:name="_Toc409607028"/>
      <w:bookmarkStart w:id="2685" w:name="_Toc409085795"/>
      <w:bookmarkStart w:id="2686" w:name="_Toc409086072"/>
      <w:bookmarkStart w:id="2687" w:name="_Toc409086349"/>
      <w:bookmarkStart w:id="2688" w:name="_Toc409248959"/>
      <w:bookmarkStart w:id="2689" w:name="_Toc409255539"/>
      <w:bookmarkStart w:id="2690" w:name="_Toc409255819"/>
      <w:bookmarkStart w:id="2691" w:name="_Toc409256099"/>
      <w:bookmarkStart w:id="2692" w:name="_Toc409256379"/>
      <w:bookmarkStart w:id="2693" w:name="_Toc409256659"/>
      <w:bookmarkStart w:id="2694" w:name="_Toc409270354"/>
      <w:bookmarkStart w:id="2695" w:name="_Toc409270634"/>
      <w:bookmarkStart w:id="2696" w:name="_Toc409509244"/>
      <w:bookmarkStart w:id="2697" w:name="_Toc409509527"/>
      <w:bookmarkStart w:id="2698" w:name="_Toc409509810"/>
      <w:bookmarkStart w:id="2699" w:name="_Toc409510093"/>
      <w:bookmarkStart w:id="2700" w:name="_Toc409510374"/>
      <w:bookmarkStart w:id="2701" w:name="_Toc409595853"/>
      <w:bookmarkStart w:id="2702" w:name="_Toc409607029"/>
      <w:bookmarkStart w:id="2703" w:name="_Toc409085796"/>
      <w:bookmarkStart w:id="2704" w:name="_Toc409086073"/>
      <w:bookmarkStart w:id="2705" w:name="_Toc409086350"/>
      <w:bookmarkStart w:id="2706" w:name="_Toc409248960"/>
      <w:bookmarkStart w:id="2707" w:name="_Toc409255540"/>
      <w:bookmarkStart w:id="2708" w:name="_Toc409255820"/>
      <w:bookmarkStart w:id="2709" w:name="_Toc409256100"/>
      <w:bookmarkStart w:id="2710" w:name="_Toc409256380"/>
      <w:bookmarkStart w:id="2711" w:name="_Toc409256660"/>
      <w:bookmarkStart w:id="2712" w:name="_Toc409270355"/>
      <w:bookmarkStart w:id="2713" w:name="_Toc409270635"/>
      <w:bookmarkStart w:id="2714" w:name="_Toc409509245"/>
      <w:bookmarkStart w:id="2715" w:name="_Toc409509528"/>
      <w:bookmarkStart w:id="2716" w:name="_Toc409509811"/>
      <w:bookmarkStart w:id="2717" w:name="_Toc409510094"/>
      <w:bookmarkStart w:id="2718" w:name="_Toc409510375"/>
      <w:bookmarkStart w:id="2719" w:name="_Toc409595854"/>
      <w:bookmarkStart w:id="2720" w:name="_Toc409607030"/>
      <w:bookmarkStart w:id="2721" w:name="_Toc409085797"/>
      <w:bookmarkStart w:id="2722" w:name="_Toc409086074"/>
      <w:bookmarkStart w:id="2723" w:name="_Toc409086351"/>
      <w:bookmarkStart w:id="2724" w:name="_Toc409248961"/>
      <w:bookmarkStart w:id="2725" w:name="_Toc409255541"/>
      <w:bookmarkStart w:id="2726" w:name="_Toc409255821"/>
      <w:bookmarkStart w:id="2727" w:name="_Toc409256101"/>
      <w:bookmarkStart w:id="2728" w:name="_Toc409256381"/>
      <w:bookmarkStart w:id="2729" w:name="_Toc409256661"/>
      <w:bookmarkStart w:id="2730" w:name="_Toc409270356"/>
      <w:bookmarkStart w:id="2731" w:name="_Toc409270636"/>
      <w:bookmarkStart w:id="2732" w:name="_Toc409509246"/>
      <w:bookmarkStart w:id="2733" w:name="_Toc409509529"/>
      <w:bookmarkStart w:id="2734" w:name="_Toc409509812"/>
      <w:bookmarkStart w:id="2735" w:name="_Toc409510095"/>
      <w:bookmarkStart w:id="2736" w:name="_Toc409510376"/>
      <w:bookmarkStart w:id="2737" w:name="_Toc409595855"/>
      <w:bookmarkStart w:id="2738" w:name="_Toc409607031"/>
      <w:bookmarkStart w:id="2739" w:name="_Toc409085798"/>
      <w:bookmarkStart w:id="2740" w:name="_Toc409086075"/>
      <w:bookmarkStart w:id="2741" w:name="_Toc409086352"/>
      <w:bookmarkStart w:id="2742" w:name="_Toc409248962"/>
      <w:bookmarkStart w:id="2743" w:name="_Toc409255542"/>
      <w:bookmarkStart w:id="2744" w:name="_Toc409255822"/>
      <w:bookmarkStart w:id="2745" w:name="_Toc409256102"/>
      <w:bookmarkStart w:id="2746" w:name="_Toc409256382"/>
      <w:bookmarkStart w:id="2747" w:name="_Toc409256662"/>
      <w:bookmarkStart w:id="2748" w:name="_Toc409270357"/>
      <w:bookmarkStart w:id="2749" w:name="_Toc409270637"/>
      <w:bookmarkStart w:id="2750" w:name="_Toc409509247"/>
      <w:bookmarkStart w:id="2751" w:name="_Toc409509530"/>
      <w:bookmarkStart w:id="2752" w:name="_Toc409509813"/>
      <w:bookmarkStart w:id="2753" w:name="_Toc409510096"/>
      <w:bookmarkStart w:id="2754" w:name="_Toc409510377"/>
      <w:bookmarkStart w:id="2755" w:name="_Toc409595856"/>
      <w:bookmarkStart w:id="2756" w:name="_Toc409607032"/>
      <w:bookmarkStart w:id="2757" w:name="_Toc409085799"/>
      <w:bookmarkStart w:id="2758" w:name="_Toc409086076"/>
      <w:bookmarkStart w:id="2759" w:name="_Toc409086353"/>
      <w:bookmarkStart w:id="2760" w:name="_Toc409248963"/>
      <w:bookmarkStart w:id="2761" w:name="_Toc409255543"/>
      <w:bookmarkStart w:id="2762" w:name="_Toc409255823"/>
      <w:bookmarkStart w:id="2763" w:name="_Toc409256103"/>
      <w:bookmarkStart w:id="2764" w:name="_Toc409256383"/>
      <w:bookmarkStart w:id="2765" w:name="_Toc409256663"/>
      <w:bookmarkStart w:id="2766" w:name="_Toc409270358"/>
      <w:bookmarkStart w:id="2767" w:name="_Toc409270638"/>
      <w:bookmarkStart w:id="2768" w:name="_Toc409509248"/>
      <w:bookmarkStart w:id="2769" w:name="_Toc409509531"/>
      <w:bookmarkStart w:id="2770" w:name="_Toc409509814"/>
      <w:bookmarkStart w:id="2771" w:name="_Toc409510097"/>
      <w:bookmarkStart w:id="2772" w:name="_Toc409510378"/>
      <w:bookmarkStart w:id="2773" w:name="_Toc409595857"/>
      <w:bookmarkStart w:id="2774" w:name="_Toc409607033"/>
      <w:bookmarkStart w:id="2775" w:name="_Toc409085800"/>
      <w:bookmarkStart w:id="2776" w:name="_Toc409086077"/>
      <w:bookmarkStart w:id="2777" w:name="_Toc409086354"/>
      <w:bookmarkStart w:id="2778" w:name="_Toc409248964"/>
      <w:bookmarkStart w:id="2779" w:name="_Toc409255544"/>
      <w:bookmarkStart w:id="2780" w:name="_Toc409255824"/>
      <w:bookmarkStart w:id="2781" w:name="_Toc409256104"/>
      <w:bookmarkStart w:id="2782" w:name="_Toc409256384"/>
      <w:bookmarkStart w:id="2783" w:name="_Toc409256664"/>
      <w:bookmarkStart w:id="2784" w:name="_Toc409270359"/>
      <w:bookmarkStart w:id="2785" w:name="_Toc409270639"/>
      <w:bookmarkStart w:id="2786" w:name="_Toc409509249"/>
      <w:bookmarkStart w:id="2787" w:name="_Toc409509532"/>
      <w:bookmarkStart w:id="2788" w:name="_Toc409509815"/>
      <w:bookmarkStart w:id="2789" w:name="_Toc409510098"/>
      <w:bookmarkStart w:id="2790" w:name="_Toc409510379"/>
      <w:bookmarkStart w:id="2791" w:name="_Toc409595858"/>
      <w:bookmarkStart w:id="2792" w:name="_Toc409607034"/>
      <w:bookmarkStart w:id="2793" w:name="_Toc409085801"/>
      <w:bookmarkStart w:id="2794" w:name="_Toc409086078"/>
      <w:bookmarkStart w:id="2795" w:name="_Toc409086355"/>
      <w:bookmarkStart w:id="2796" w:name="_Toc409248965"/>
      <w:bookmarkStart w:id="2797" w:name="_Toc409255545"/>
      <w:bookmarkStart w:id="2798" w:name="_Toc409255825"/>
      <w:bookmarkStart w:id="2799" w:name="_Toc409256105"/>
      <w:bookmarkStart w:id="2800" w:name="_Toc409256385"/>
      <w:bookmarkStart w:id="2801" w:name="_Toc409256665"/>
      <w:bookmarkStart w:id="2802" w:name="_Toc409270360"/>
      <w:bookmarkStart w:id="2803" w:name="_Toc409270640"/>
      <w:bookmarkStart w:id="2804" w:name="_Toc409509250"/>
      <w:bookmarkStart w:id="2805" w:name="_Toc409509533"/>
      <w:bookmarkStart w:id="2806" w:name="_Toc409509816"/>
      <w:bookmarkStart w:id="2807" w:name="_Toc409510099"/>
      <w:bookmarkStart w:id="2808" w:name="_Toc409510380"/>
      <w:bookmarkStart w:id="2809" w:name="_Toc409595859"/>
      <w:bookmarkStart w:id="2810" w:name="_Toc409607035"/>
      <w:bookmarkStart w:id="2811" w:name="_Toc409085802"/>
      <w:bookmarkStart w:id="2812" w:name="_Toc409086079"/>
      <w:bookmarkStart w:id="2813" w:name="_Toc409086356"/>
      <w:bookmarkStart w:id="2814" w:name="_Toc409248966"/>
      <w:bookmarkStart w:id="2815" w:name="_Toc409255546"/>
      <w:bookmarkStart w:id="2816" w:name="_Toc409255826"/>
      <w:bookmarkStart w:id="2817" w:name="_Toc409256106"/>
      <w:bookmarkStart w:id="2818" w:name="_Toc409256386"/>
      <w:bookmarkStart w:id="2819" w:name="_Toc409256666"/>
      <w:bookmarkStart w:id="2820" w:name="_Toc409270361"/>
      <w:bookmarkStart w:id="2821" w:name="_Toc409270641"/>
      <w:bookmarkStart w:id="2822" w:name="_Toc409509251"/>
      <w:bookmarkStart w:id="2823" w:name="_Toc409509534"/>
      <w:bookmarkStart w:id="2824" w:name="_Toc409509817"/>
      <w:bookmarkStart w:id="2825" w:name="_Toc409510100"/>
      <w:bookmarkStart w:id="2826" w:name="_Toc409510381"/>
      <w:bookmarkStart w:id="2827" w:name="_Toc409595860"/>
      <w:bookmarkStart w:id="2828" w:name="_Toc409607036"/>
      <w:bookmarkStart w:id="2829" w:name="_Toc409085803"/>
      <w:bookmarkStart w:id="2830" w:name="_Toc409086080"/>
      <w:bookmarkStart w:id="2831" w:name="_Toc409086357"/>
      <w:bookmarkStart w:id="2832" w:name="_Toc409248967"/>
      <w:bookmarkStart w:id="2833" w:name="_Toc409255547"/>
      <w:bookmarkStart w:id="2834" w:name="_Toc409255827"/>
      <w:bookmarkStart w:id="2835" w:name="_Toc409256107"/>
      <w:bookmarkStart w:id="2836" w:name="_Toc409256387"/>
      <w:bookmarkStart w:id="2837" w:name="_Toc409256667"/>
      <w:bookmarkStart w:id="2838" w:name="_Toc409270362"/>
      <w:bookmarkStart w:id="2839" w:name="_Toc409270642"/>
      <w:bookmarkStart w:id="2840" w:name="_Toc409509252"/>
      <w:bookmarkStart w:id="2841" w:name="_Toc409509535"/>
      <w:bookmarkStart w:id="2842" w:name="_Toc409509818"/>
      <w:bookmarkStart w:id="2843" w:name="_Toc409510101"/>
      <w:bookmarkStart w:id="2844" w:name="_Toc409510382"/>
      <w:bookmarkStart w:id="2845" w:name="_Toc409595861"/>
      <w:bookmarkStart w:id="2846" w:name="_Toc409607037"/>
      <w:bookmarkStart w:id="2847" w:name="_Toc409085804"/>
      <w:bookmarkStart w:id="2848" w:name="_Toc409086081"/>
      <w:bookmarkStart w:id="2849" w:name="_Toc409086358"/>
      <w:bookmarkStart w:id="2850" w:name="_Toc409248968"/>
      <w:bookmarkStart w:id="2851" w:name="_Toc409255548"/>
      <w:bookmarkStart w:id="2852" w:name="_Toc409255828"/>
      <w:bookmarkStart w:id="2853" w:name="_Toc409256108"/>
      <w:bookmarkStart w:id="2854" w:name="_Toc409256388"/>
      <w:bookmarkStart w:id="2855" w:name="_Toc409256668"/>
      <w:bookmarkStart w:id="2856" w:name="_Toc409270363"/>
      <w:bookmarkStart w:id="2857" w:name="_Toc409270643"/>
      <w:bookmarkStart w:id="2858" w:name="_Toc409509253"/>
      <w:bookmarkStart w:id="2859" w:name="_Toc409509536"/>
      <w:bookmarkStart w:id="2860" w:name="_Toc409509819"/>
      <w:bookmarkStart w:id="2861" w:name="_Toc409510102"/>
      <w:bookmarkStart w:id="2862" w:name="_Toc409510383"/>
      <w:bookmarkStart w:id="2863" w:name="_Toc409595862"/>
      <w:bookmarkStart w:id="2864" w:name="_Toc409607038"/>
      <w:bookmarkStart w:id="2865" w:name="_Toc409085805"/>
      <w:bookmarkStart w:id="2866" w:name="_Toc409086082"/>
      <w:bookmarkStart w:id="2867" w:name="_Toc409086359"/>
      <w:bookmarkStart w:id="2868" w:name="_Toc409248969"/>
      <w:bookmarkStart w:id="2869" w:name="_Toc409255549"/>
      <w:bookmarkStart w:id="2870" w:name="_Toc409255829"/>
      <w:bookmarkStart w:id="2871" w:name="_Toc409256109"/>
      <w:bookmarkStart w:id="2872" w:name="_Toc409256389"/>
      <w:bookmarkStart w:id="2873" w:name="_Toc409256669"/>
      <w:bookmarkStart w:id="2874" w:name="_Toc409270364"/>
      <w:bookmarkStart w:id="2875" w:name="_Toc409270644"/>
      <w:bookmarkStart w:id="2876" w:name="_Toc409509254"/>
      <w:bookmarkStart w:id="2877" w:name="_Toc409509537"/>
      <w:bookmarkStart w:id="2878" w:name="_Toc409509820"/>
      <w:bookmarkStart w:id="2879" w:name="_Toc409510103"/>
      <w:bookmarkStart w:id="2880" w:name="_Toc409510384"/>
      <w:bookmarkStart w:id="2881" w:name="_Toc409595863"/>
      <w:bookmarkStart w:id="2882" w:name="_Toc409607039"/>
      <w:bookmarkStart w:id="2883" w:name="_Toc409085806"/>
      <w:bookmarkStart w:id="2884" w:name="_Toc409086083"/>
      <w:bookmarkStart w:id="2885" w:name="_Toc409086360"/>
      <w:bookmarkStart w:id="2886" w:name="_Toc409248970"/>
      <w:bookmarkStart w:id="2887" w:name="_Toc409255550"/>
      <w:bookmarkStart w:id="2888" w:name="_Toc409255830"/>
      <w:bookmarkStart w:id="2889" w:name="_Toc409256110"/>
      <w:bookmarkStart w:id="2890" w:name="_Toc409256390"/>
      <w:bookmarkStart w:id="2891" w:name="_Toc409256670"/>
      <w:bookmarkStart w:id="2892" w:name="_Toc409270365"/>
      <w:bookmarkStart w:id="2893" w:name="_Toc409270645"/>
      <w:bookmarkStart w:id="2894" w:name="_Toc409509255"/>
      <w:bookmarkStart w:id="2895" w:name="_Toc409509538"/>
      <w:bookmarkStart w:id="2896" w:name="_Toc409509821"/>
      <w:bookmarkStart w:id="2897" w:name="_Toc409510104"/>
      <w:bookmarkStart w:id="2898" w:name="_Toc409510385"/>
      <w:bookmarkStart w:id="2899" w:name="_Toc409595864"/>
      <w:bookmarkStart w:id="2900" w:name="_Toc409607040"/>
      <w:bookmarkStart w:id="2901" w:name="_Toc409085807"/>
      <w:bookmarkStart w:id="2902" w:name="_Toc409086084"/>
      <w:bookmarkStart w:id="2903" w:name="_Toc409086361"/>
      <w:bookmarkStart w:id="2904" w:name="_Toc409248971"/>
      <w:bookmarkStart w:id="2905" w:name="_Toc409255551"/>
      <w:bookmarkStart w:id="2906" w:name="_Toc409255831"/>
      <w:bookmarkStart w:id="2907" w:name="_Toc409256111"/>
      <w:bookmarkStart w:id="2908" w:name="_Toc409256391"/>
      <w:bookmarkStart w:id="2909" w:name="_Toc409256671"/>
      <w:bookmarkStart w:id="2910" w:name="_Toc409270366"/>
      <w:bookmarkStart w:id="2911" w:name="_Toc409270646"/>
      <w:bookmarkStart w:id="2912" w:name="_Toc409509256"/>
      <w:bookmarkStart w:id="2913" w:name="_Toc409509539"/>
      <w:bookmarkStart w:id="2914" w:name="_Toc409509822"/>
      <w:bookmarkStart w:id="2915" w:name="_Toc409510105"/>
      <w:bookmarkStart w:id="2916" w:name="_Toc409510386"/>
      <w:bookmarkStart w:id="2917" w:name="_Toc409595865"/>
      <w:bookmarkStart w:id="2918" w:name="_Toc409607041"/>
      <w:bookmarkStart w:id="2919" w:name="_Toc409085808"/>
      <w:bookmarkStart w:id="2920" w:name="_Toc409086085"/>
      <w:bookmarkStart w:id="2921" w:name="_Toc409086362"/>
      <w:bookmarkStart w:id="2922" w:name="_Toc409248972"/>
      <w:bookmarkStart w:id="2923" w:name="_Toc409255552"/>
      <w:bookmarkStart w:id="2924" w:name="_Toc409255832"/>
      <w:bookmarkStart w:id="2925" w:name="_Toc409256112"/>
      <w:bookmarkStart w:id="2926" w:name="_Toc409256392"/>
      <w:bookmarkStart w:id="2927" w:name="_Toc409256672"/>
      <w:bookmarkStart w:id="2928" w:name="_Toc409270367"/>
      <w:bookmarkStart w:id="2929" w:name="_Toc409270647"/>
      <w:bookmarkStart w:id="2930" w:name="_Toc409509257"/>
      <w:bookmarkStart w:id="2931" w:name="_Toc409509540"/>
      <w:bookmarkStart w:id="2932" w:name="_Toc409509823"/>
      <w:bookmarkStart w:id="2933" w:name="_Toc409510106"/>
      <w:bookmarkStart w:id="2934" w:name="_Toc409510387"/>
      <w:bookmarkStart w:id="2935" w:name="_Toc409595866"/>
      <w:bookmarkStart w:id="2936" w:name="_Toc409607042"/>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r>
        <w:rPr>
          <w:rFonts w:ascii="Andes" w:eastAsiaTheme="majorEastAsia" w:hAnsi="Andes" w:cstheme="majorBidi"/>
          <w:bCs w:val="0"/>
          <w:color w:val="C45911"/>
          <w:sz w:val="32"/>
          <w:szCs w:val="32"/>
        </w:rPr>
        <w:t xml:space="preserve"> Option d’approche du marché</w:t>
      </w:r>
    </w:p>
    <w:p w14:paraId="08D329FF" w14:textId="77777777" w:rsidR="006D600B" w:rsidRPr="000F54B7" w:rsidRDefault="006D600B" w:rsidP="006D600B">
      <w:pPr>
        <w:rPr>
          <w:rFonts w:ascii="Andes" w:hAnsi="Andes"/>
          <w:sz w:val="28"/>
        </w:rPr>
      </w:pPr>
      <w:bookmarkStart w:id="2937" w:name="_Toc453170900"/>
      <w:r w:rsidRPr="000F54B7">
        <w:rPr>
          <w:rFonts w:ascii="Andes" w:hAnsi="Andes"/>
          <w:b/>
          <w:sz w:val="28"/>
          <w:szCs w:val="28"/>
        </w:rPr>
        <w:t>Co</w:t>
      </w:r>
      <w:bookmarkEnd w:id="2937"/>
      <w:r w:rsidRPr="000F54B7">
        <w:rPr>
          <w:rFonts w:ascii="Andes" w:hAnsi="Andes"/>
          <w:b/>
          <w:sz w:val="28"/>
          <w:szCs w:val="28"/>
        </w:rPr>
        <w:t>ncurrence ouverte</w:t>
      </w:r>
    </w:p>
    <w:p w14:paraId="27FEBEDB" w14:textId="41D92FE8"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La Banque privilégie la </w:t>
      </w:r>
      <w:r>
        <w:rPr>
          <w:rFonts w:ascii="Andes" w:hAnsi="Andes" w:cs="Arial"/>
          <w:sz w:val="22"/>
          <w:szCs w:val="22"/>
        </w:rPr>
        <w:t xml:space="preserve">mise en </w:t>
      </w:r>
      <w:r w:rsidRPr="000F54B7">
        <w:rPr>
          <w:rFonts w:ascii="Andes" w:hAnsi="Andes" w:cs="Arial"/>
          <w:sz w:val="22"/>
          <w:szCs w:val="22"/>
        </w:rPr>
        <w:t>concurrence ouverte</w:t>
      </w:r>
      <w:r>
        <w:rPr>
          <w:rFonts w:ascii="Andes" w:hAnsi="Andes" w:cs="Arial"/>
          <w:sz w:val="22"/>
          <w:szCs w:val="22"/>
        </w:rPr>
        <w:t xml:space="preserve"> (</w:t>
      </w:r>
      <w:r w:rsidR="00C51DF5">
        <w:rPr>
          <w:rFonts w:ascii="Andes" w:hAnsi="Andes" w:cs="Arial"/>
          <w:sz w:val="22"/>
          <w:szCs w:val="22"/>
        </w:rPr>
        <w:t>Appel d’Offres/ à Propositions</w:t>
      </w:r>
      <w:r>
        <w:rPr>
          <w:rFonts w:ascii="Andes" w:hAnsi="Andes" w:cs="Arial"/>
          <w:sz w:val="22"/>
          <w:szCs w:val="22"/>
        </w:rPr>
        <w:t xml:space="preserve"> ouvert)</w:t>
      </w:r>
      <w:r w:rsidRPr="000F54B7">
        <w:rPr>
          <w:rFonts w:ascii="Andes" w:hAnsi="Andes" w:cs="Arial"/>
          <w:sz w:val="22"/>
          <w:szCs w:val="22"/>
        </w:rPr>
        <w:t xml:space="preserve">, qui permet de </w:t>
      </w:r>
      <w:r>
        <w:rPr>
          <w:rFonts w:ascii="Andes" w:hAnsi="Andes" w:cs="Arial"/>
          <w:sz w:val="22"/>
          <w:szCs w:val="22"/>
        </w:rPr>
        <w:t xml:space="preserve">communiquer </w:t>
      </w:r>
      <w:r w:rsidRPr="000F54B7">
        <w:rPr>
          <w:rFonts w:ascii="Andes" w:hAnsi="Andes" w:cs="Arial"/>
          <w:sz w:val="22"/>
          <w:szCs w:val="22"/>
        </w:rPr>
        <w:t>en temps voulu à tous les Soumissionnaires</w:t>
      </w:r>
      <w:r>
        <w:rPr>
          <w:rFonts w:ascii="Andes" w:hAnsi="Andes" w:cs="Arial"/>
          <w:sz w:val="22"/>
          <w:szCs w:val="22"/>
        </w:rPr>
        <w:t>/</w:t>
      </w:r>
      <w:r w:rsidRPr="000F54B7">
        <w:rPr>
          <w:rFonts w:ascii="Andes" w:hAnsi="Andes" w:cs="Arial"/>
          <w:sz w:val="22"/>
          <w:szCs w:val="22"/>
        </w:rPr>
        <w:t xml:space="preserve">Proposants </w:t>
      </w:r>
      <w:r>
        <w:rPr>
          <w:rFonts w:ascii="Andes" w:hAnsi="Andes" w:cs="Arial"/>
          <w:sz w:val="22"/>
          <w:szCs w:val="22"/>
        </w:rPr>
        <w:t xml:space="preserve">potentiels </w:t>
      </w:r>
      <w:r w:rsidRPr="000F54B7">
        <w:rPr>
          <w:rFonts w:ascii="Andes" w:hAnsi="Andes" w:cs="Arial"/>
          <w:sz w:val="22"/>
          <w:szCs w:val="22"/>
        </w:rPr>
        <w:t>répondant aux critères d’éligibilité des informations suffisantes sur les besoins de l’Emprunteur et de donner à tous des chances égales de concourir pour l’obtention d</w:t>
      </w:r>
      <w:r>
        <w:rPr>
          <w:rFonts w:ascii="Andes" w:hAnsi="Andes" w:cs="Arial"/>
          <w:sz w:val="22"/>
          <w:szCs w:val="22"/>
        </w:rPr>
        <w:t xml:space="preserve">’un </w:t>
      </w:r>
      <w:r w:rsidRPr="000F54B7">
        <w:rPr>
          <w:rFonts w:ascii="Andes" w:hAnsi="Andes" w:cs="Arial"/>
          <w:sz w:val="22"/>
          <w:szCs w:val="22"/>
        </w:rPr>
        <w:t xml:space="preserve">marché de Fournitures, de Travaux ou de Services </w:t>
      </w:r>
      <w:r>
        <w:rPr>
          <w:rFonts w:ascii="Andes" w:hAnsi="Andes" w:cs="Arial"/>
          <w:sz w:val="22"/>
          <w:szCs w:val="22"/>
        </w:rPr>
        <w:t>A</w:t>
      </w:r>
      <w:r w:rsidRPr="000F54B7">
        <w:rPr>
          <w:rFonts w:ascii="Andes" w:hAnsi="Andes" w:cs="Arial"/>
          <w:sz w:val="22"/>
          <w:szCs w:val="22"/>
        </w:rPr>
        <w:t xml:space="preserve">utres que des </w:t>
      </w:r>
      <w:r>
        <w:rPr>
          <w:rFonts w:ascii="Andes" w:hAnsi="Andes" w:cs="Arial"/>
          <w:sz w:val="22"/>
          <w:szCs w:val="22"/>
        </w:rPr>
        <w:t>S</w:t>
      </w:r>
      <w:r w:rsidRPr="000F54B7">
        <w:rPr>
          <w:rFonts w:ascii="Andes" w:hAnsi="Andes" w:cs="Arial"/>
          <w:sz w:val="22"/>
          <w:szCs w:val="22"/>
        </w:rPr>
        <w:t xml:space="preserve">ervices de </w:t>
      </w:r>
      <w:r>
        <w:rPr>
          <w:rFonts w:ascii="Andes" w:hAnsi="Andes" w:cs="Arial"/>
          <w:sz w:val="22"/>
          <w:szCs w:val="22"/>
        </w:rPr>
        <w:t>C</w:t>
      </w:r>
      <w:r w:rsidRPr="000F54B7">
        <w:rPr>
          <w:rFonts w:ascii="Andes" w:hAnsi="Andes" w:cs="Arial"/>
          <w:sz w:val="22"/>
          <w:szCs w:val="22"/>
        </w:rPr>
        <w:t xml:space="preserve">onsultants. </w:t>
      </w:r>
      <w:r>
        <w:rPr>
          <w:rFonts w:ascii="Andes" w:hAnsi="Andes" w:cs="Arial"/>
          <w:sz w:val="22"/>
          <w:szCs w:val="22"/>
        </w:rPr>
        <w:t>T</w:t>
      </w:r>
      <w:r w:rsidRPr="000F54B7">
        <w:rPr>
          <w:rFonts w:ascii="Andes" w:hAnsi="Andes" w:cs="Arial"/>
          <w:sz w:val="22"/>
          <w:szCs w:val="22"/>
        </w:rPr>
        <w:t xml:space="preserve">out autre </w:t>
      </w:r>
      <w:r>
        <w:rPr>
          <w:rFonts w:ascii="Andes" w:hAnsi="Andes" w:cs="Arial"/>
          <w:sz w:val="22"/>
          <w:szCs w:val="22"/>
        </w:rPr>
        <w:t>mode de recherche que l’</w:t>
      </w:r>
      <w:r w:rsidR="00C51DF5">
        <w:rPr>
          <w:rFonts w:ascii="Andes" w:hAnsi="Andes" w:cs="Arial"/>
          <w:sz w:val="22"/>
          <w:szCs w:val="22"/>
        </w:rPr>
        <w:t>Appel d’Offres/ à Propositions</w:t>
      </w:r>
      <w:r>
        <w:rPr>
          <w:rFonts w:ascii="Andes" w:hAnsi="Andes" w:cs="Arial"/>
          <w:sz w:val="22"/>
          <w:szCs w:val="22"/>
        </w:rPr>
        <w:t xml:space="preserve"> ouvert </w:t>
      </w:r>
      <w:r w:rsidRPr="000F54B7">
        <w:rPr>
          <w:rFonts w:ascii="Andes" w:hAnsi="Andes" w:cs="Arial"/>
          <w:sz w:val="22"/>
          <w:szCs w:val="22"/>
        </w:rPr>
        <w:t>devra être justifié par l’Emprunteur</w:t>
      </w:r>
      <w:r>
        <w:rPr>
          <w:rFonts w:ascii="Andes" w:hAnsi="Andes" w:cs="Arial"/>
          <w:sz w:val="22"/>
          <w:szCs w:val="22"/>
        </w:rPr>
        <w:t xml:space="preserve"> et </w:t>
      </w:r>
      <w:r w:rsidRPr="000F54B7">
        <w:rPr>
          <w:rFonts w:ascii="Andes" w:hAnsi="Andes" w:cs="Arial"/>
          <w:sz w:val="22"/>
          <w:szCs w:val="22"/>
        </w:rPr>
        <w:t xml:space="preserve">spécifié dans le Plan de Passation des </w:t>
      </w:r>
      <w:r>
        <w:rPr>
          <w:rFonts w:ascii="Andes" w:hAnsi="Andes" w:cs="Arial"/>
          <w:sz w:val="22"/>
          <w:szCs w:val="22"/>
        </w:rPr>
        <w:t>M</w:t>
      </w:r>
      <w:r w:rsidRPr="000F54B7">
        <w:rPr>
          <w:rFonts w:ascii="Andes" w:hAnsi="Andes" w:cs="Arial"/>
          <w:sz w:val="22"/>
          <w:szCs w:val="22"/>
        </w:rPr>
        <w:t>archés.</w:t>
      </w:r>
    </w:p>
    <w:p w14:paraId="72EC9945" w14:textId="77777777" w:rsidR="006D600B" w:rsidRPr="000F54B7" w:rsidRDefault="006D600B" w:rsidP="006D600B">
      <w:pPr>
        <w:spacing w:before="240" w:line="240" w:lineRule="auto"/>
        <w:contextualSpacing w:val="0"/>
        <w:rPr>
          <w:rFonts w:ascii="Andes" w:hAnsi="Andes"/>
          <w:sz w:val="28"/>
        </w:rPr>
      </w:pPr>
      <w:bookmarkStart w:id="2938" w:name="_Toc453170901"/>
      <w:r w:rsidRPr="000F54B7">
        <w:rPr>
          <w:rFonts w:ascii="Andes" w:hAnsi="Andes"/>
          <w:b/>
          <w:sz w:val="28"/>
          <w:szCs w:val="28"/>
        </w:rPr>
        <w:t>Concurrence restreinte</w:t>
      </w:r>
      <w:bookmarkEnd w:id="2938"/>
    </w:p>
    <w:p w14:paraId="79C0D15E" w14:textId="2193BAC7"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Pr>
          <w:rFonts w:ascii="Andes" w:hAnsi="Andes" w:cs="Arial"/>
          <w:sz w:val="22"/>
          <w:szCs w:val="22"/>
        </w:rPr>
        <w:t xml:space="preserve">La mise en </w:t>
      </w:r>
      <w:r w:rsidRPr="000F54B7">
        <w:rPr>
          <w:rFonts w:ascii="Andes" w:hAnsi="Andes" w:cs="Arial"/>
          <w:sz w:val="22"/>
          <w:szCs w:val="22"/>
        </w:rPr>
        <w:t xml:space="preserve">concurrence restreinte </w:t>
      </w:r>
      <w:r>
        <w:rPr>
          <w:rFonts w:ascii="Andes" w:hAnsi="Andes" w:cs="Arial"/>
          <w:sz w:val="22"/>
          <w:szCs w:val="22"/>
        </w:rPr>
        <w:t xml:space="preserve">consiste à ne contacter que </w:t>
      </w:r>
      <w:r w:rsidRPr="000F54B7">
        <w:rPr>
          <w:rFonts w:ascii="Andes" w:hAnsi="Andes" w:cs="Arial"/>
          <w:sz w:val="22"/>
          <w:szCs w:val="22"/>
        </w:rPr>
        <w:t>certaines entreprises</w:t>
      </w:r>
      <w:r>
        <w:rPr>
          <w:rFonts w:ascii="Andes" w:hAnsi="Andes" w:cs="Arial"/>
          <w:sz w:val="22"/>
          <w:szCs w:val="22"/>
        </w:rPr>
        <w:t xml:space="preserve">, sans </w:t>
      </w:r>
      <w:r w:rsidR="004C31FB">
        <w:rPr>
          <w:rFonts w:ascii="Andes" w:hAnsi="Andes" w:cs="Arial"/>
          <w:sz w:val="22"/>
          <w:szCs w:val="22"/>
        </w:rPr>
        <w:t xml:space="preserve">publier </w:t>
      </w:r>
      <w:r w:rsidR="004C31FB" w:rsidRPr="000F54B7">
        <w:rPr>
          <w:rFonts w:ascii="Andes" w:hAnsi="Andes" w:cs="Arial"/>
          <w:sz w:val="22"/>
          <w:szCs w:val="22"/>
        </w:rPr>
        <w:t>d’avis</w:t>
      </w:r>
      <w:r w:rsidRPr="000F54B7">
        <w:rPr>
          <w:rFonts w:ascii="Andes" w:hAnsi="Andes" w:cs="Arial"/>
          <w:sz w:val="22"/>
          <w:szCs w:val="22"/>
        </w:rPr>
        <w:t xml:space="preserve">. Cette méthode de sélection peut convenir s’il n’existe qu’un nombre limité d’entreprises ou si d’autres raisons exceptionnelles justifient </w:t>
      </w:r>
      <w:r>
        <w:rPr>
          <w:rFonts w:ascii="Andes" w:hAnsi="Andes" w:cs="Arial"/>
          <w:sz w:val="22"/>
          <w:szCs w:val="22"/>
        </w:rPr>
        <w:t xml:space="preserve">de ne pas recourir à un </w:t>
      </w:r>
      <w:r w:rsidR="00C51DF5">
        <w:rPr>
          <w:rFonts w:ascii="Andes" w:hAnsi="Andes" w:cs="Arial"/>
          <w:sz w:val="22"/>
          <w:szCs w:val="22"/>
        </w:rPr>
        <w:t>Appel d’Offres/ à Propositions</w:t>
      </w:r>
      <w:r>
        <w:rPr>
          <w:rFonts w:ascii="Andes" w:hAnsi="Andes" w:cs="Arial"/>
          <w:sz w:val="22"/>
          <w:szCs w:val="22"/>
        </w:rPr>
        <w:t xml:space="preserve"> ouvert</w:t>
      </w:r>
      <w:r w:rsidRPr="000F54B7">
        <w:rPr>
          <w:rFonts w:ascii="Andes" w:hAnsi="Andes" w:cs="Arial"/>
          <w:sz w:val="22"/>
          <w:szCs w:val="22"/>
        </w:rPr>
        <w:t>.</w:t>
      </w:r>
    </w:p>
    <w:p w14:paraId="752CF32A" w14:textId="2260DADA" w:rsidR="006D600B" w:rsidRPr="000F54B7" w:rsidRDefault="008E1A4B" w:rsidP="006D600B">
      <w:pPr>
        <w:spacing w:before="240" w:line="240" w:lineRule="auto"/>
        <w:contextualSpacing w:val="0"/>
        <w:rPr>
          <w:rFonts w:ascii="Andes" w:hAnsi="Andes"/>
          <w:sz w:val="28"/>
        </w:rPr>
      </w:pPr>
      <w:bookmarkStart w:id="2939" w:name="_Toc453170902"/>
      <w:r>
        <w:rPr>
          <w:rFonts w:ascii="Andes" w:hAnsi="Andes"/>
          <w:b/>
          <w:sz w:val="28"/>
          <w:szCs w:val="28"/>
        </w:rPr>
        <w:t>Mise en concurrenc</w:t>
      </w:r>
      <w:r w:rsidRPr="000F54B7">
        <w:rPr>
          <w:rFonts w:ascii="Andes" w:hAnsi="Andes"/>
          <w:b/>
          <w:sz w:val="28"/>
          <w:szCs w:val="28"/>
        </w:rPr>
        <w:t xml:space="preserve">e </w:t>
      </w:r>
      <w:proofErr w:type="gramStart"/>
      <w:r w:rsidR="003A280B">
        <w:rPr>
          <w:rFonts w:ascii="Andes" w:hAnsi="Andes"/>
          <w:b/>
          <w:sz w:val="28"/>
          <w:szCs w:val="28"/>
        </w:rPr>
        <w:t>au</w:t>
      </w:r>
      <w:proofErr w:type="gramEnd"/>
      <w:r w:rsidR="003A280B">
        <w:rPr>
          <w:rFonts w:ascii="Andes" w:hAnsi="Andes"/>
          <w:b/>
          <w:sz w:val="28"/>
          <w:szCs w:val="28"/>
        </w:rPr>
        <w:t xml:space="preserve"> plan </w:t>
      </w:r>
      <w:r w:rsidR="006D600B" w:rsidRPr="000F54B7">
        <w:rPr>
          <w:rFonts w:ascii="Andes" w:hAnsi="Andes"/>
          <w:b/>
          <w:sz w:val="28"/>
          <w:szCs w:val="28"/>
        </w:rPr>
        <w:t>international</w:t>
      </w:r>
      <w:bookmarkEnd w:id="2939"/>
    </w:p>
    <w:p w14:paraId="58798160" w14:textId="72BC8326"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Pr>
          <w:rFonts w:ascii="Andes" w:hAnsi="Andes" w:cs="Arial"/>
          <w:sz w:val="22"/>
          <w:szCs w:val="22"/>
        </w:rPr>
        <w:t>L</w:t>
      </w:r>
      <w:r w:rsidRPr="000F54B7">
        <w:rPr>
          <w:rFonts w:ascii="Andes" w:hAnsi="Andes" w:cs="Arial"/>
          <w:sz w:val="22"/>
          <w:szCs w:val="22"/>
        </w:rPr>
        <w:t xml:space="preserve">e champ de recherche </w:t>
      </w:r>
      <w:r>
        <w:rPr>
          <w:rFonts w:ascii="Andes" w:hAnsi="Andes" w:cs="Arial"/>
          <w:sz w:val="22"/>
          <w:szCs w:val="22"/>
        </w:rPr>
        <w:t xml:space="preserve">doit être élargi </w:t>
      </w:r>
      <w:proofErr w:type="gramStart"/>
      <w:r w:rsidRPr="000F54B7">
        <w:rPr>
          <w:rFonts w:ascii="Andes" w:hAnsi="Andes" w:cs="Arial"/>
          <w:sz w:val="22"/>
          <w:szCs w:val="22"/>
        </w:rPr>
        <w:t>au</w:t>
      </w:r>
      <w:proofErr w:type="gramEnd"/>
      <w:r w:rsidRPr="000F54B7">
        <w:rPr>
          <w:rFonts w:ascii="Andes" w:hAnsi="Andes" w:cs="Arial"/>
          <w:sz w:val="22"/>
          <w:szCs w:val="22"/>
        </w:rPr>
        <w:t xml:space="preserve"> plan international lorsque la participation d’entreprises étrangères accroît la concurrence et peut permettre d’obtenir </w:t>
      </w:r>
      <w:r w:rsidR="00C87A1D">
        <w:rPr>
          <w:rFonts w:ascii="Andes" w:hAnsi="Andes" w:cs="Arial"/>
          <w:sz w:val="22"/>
          <w:szCs w:val="22"/>
        </w:rPr>
        <w:t>de</w:t>
      </w:r>
      <w:r w:rsidR="00C87A1D" w:rsidRPr="000F54B7">
        <w:rPr>
          <w:rFonts w:ascii="Andes" w:hAnsi="Andes" w:cs="Arial"/>
          <w:sz w:val="22"/>
          <w:szCs w:val="22"/>
        </w:rPr>
        <w:t xml:space="preserve"> </w:t>
      </w:r>
      <w:r w:rsidRPr="000F54B7">
        <w:rPr>
          <w:rFonts w:ascii="Andes" w:hAnsi="Andes" w:cs="Arial"/>
          <w:sz w:val="22"/>
          <w:szCs w:val="22"/>
        </w:rPr>
        <w:t xml:space="preserve">meilleurs résultats du point de vue de l’optimisation des ressources et de l’adaptation à l’objectif visé. </w:t>
      </w:r>
    </w:p>
    <w:p w14:paraId="4865281A" w14:textId="60782FC5"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b/>
          <w:color w:val="000000"/>
          <w:sz w:val="22"/>
          <w:szCs w:val="22"/>
        </w:rPr>
      </w:pPr>
      <w:r w:rsidRPr="000F54B7">
        <w:rPr>
          <w:rFonts w:ascii="Andes" w:hAnsi="Andes" w:cs="Arial"/>
          <w:sz w:val="22"/>
          <w:szCs w:val="22"/>
        </w:rPr>
        <w:t>L’</w:t>
      </w:r>
      <w:r w:rsidR="00C51DF5">
        <w:rPr>
          <w:rFonts w:ascii="Andes" w:hAnsi="Andes" w:cs="Arial"/>
          <w:sz w:val="22"/>
          <w:szCs w:val="22"/>
        </w:rPr>
        <w:t>Appel d’Offres/ à Propositions</w:t>
      </w:r>
      <w:r w:rsidRPr="000F54B7">
        <w:rPr>
          <w:rFonts w:ascii="Andes" w:hAnsi="Andes" w:cs="Arial"/>
          <w:sz w:val="22"/>
          <w:szCs w:val="22"/>
        </w:rPr>
        <w:t xml:space="preserve"> ouvert international, qui nécessite de publier un avis international </w:t>
      </w:r>
      <w:r>
        <w:rPr>
          <w:rFonts w:ascii="Andes" w:hAnsi="Andes" w:cs="Arial"/>
          <w:sz w:val="22"/>
          <w:szCs w:val="22"/>
        </w:rPr>
        <w:t xml:space="preserve">conformément </w:t>
      </w:r>
      <w:r w:rsidRPr="000F54B7">
        <w:rPr>
          <w:rFonts w:ascii="Andes" w:hAnsi="Andes" w:cs="Arial"/>
          <w:sz w:val="22"/>
          <w:szCs w:val="22"/>
        </w:rPr>
        <w:t xml:space="preserve">aux </w:t>
      </w:r>
      <w:r>
        <w:rPr>
          <w:rFonts w:ascii="Andes" w:hAnsi="Andes" w:cs="Arial"/>
          <w:sz w:val="22"/>
          <w:szCs w:val="22"/>
        </w:rPr>
        <w:t xml:space="preserve">dispositions </w:t>
      </w:r>
      <w:r w:rsidRPr="000F54B7">
        <w:rPr>
          <w:rFonts w:ascii="Andes" w:hAnsi="Andes" w:cs="Arial"/>
          <w:sz w:val="22"/>
          <w:szCs w:val="22"/>
        </w:rPr>
        <w:t>du présent Règ</w:t>
      </w:r>
      <w:r>
        <w:rPr>
          <w:rFonts w:ascii="Andes" w:hAnsi="Andes" w:cs="Arial"/>
          <w:sz w:val="22"/>
          <w:szCs w:val="22"/>
        </w:rPr>
        <w:t>l</w:t>
      </w:r>
      <w:r w:rsidRPr="000F54B7">
        <w:rPr>
          <w:rFonts w:ascii="Andes" w:hAnsi="Andes" w:cs="Arial"/>
          <w:sz w:val="22"/>
          <w:szCs w:val="22"/>
        </w:rPr>
        <w:t>ement de passation des marchés</w:t>
      </w:r>
      <w:r w:rsidRPr="000F54B7">
        <w:rPr>
          <w:rFonts w:ascii="Andes" w:hAnsi="Andes" w:cs="Arial"/>
          <w:color w:val="000000"/>
          <w:sz w:val="22"/>
          <w:szCs w:val="22"/>
        </w:rPr>
        <w:t xml:space="preserve">, est la méthode privilégiée pour les contrats complexes, à risque </w:t>
      </w:r>
      <w:r w:rsidR="003B4D2E">
        <w:rPr>
          <w:rFonts w:ascii="Andes" w:hAnsi="Andes" w:cs="Arial"/>
          <w:color w:val="000000"/>
          <w:sz w:val="22"/>
          <w:szCs w:val="22"/>
        </w:rPr>
        <w:t xml:space="preserve">élevé ou important </w:t>
      </w:r>
      <w:r w:rsidRPr="000F54B7">
        <w:rPr>
          <w:rFonts w:ascii="Andes" w:hAnsi="Andes" w:cs="Arial"/>
          <w:color w:val="000000"/>
          <w:sz w:val="22"/>
          <w:szCs w:val="22"/>
        </w:rPr>
        <w:t>et/ou d’un montant élevé. La Banque a fixé des seuils précis à cette fin (voir</w:t>
      </w:r>
      <w:r>
        <w:rPr>
          <w:rFonts w:ascii="Andes" w:hAnsi="Andes" w:cs="Arial"/>
          <w:color w:val="000000"/>
          <w:sz w:val="22"/>
          <w:szCs w:val="22"/>
        </w:rPr>
        <w:t xml:space="preserve"> le </w:t>
      </w:r>
      <w:r w:rsidR="003A280B">
        <w:rPr>
          <w:rFonts w:ascii="Andes" w:hAnsi="Andes" w:cs="Arial"/>
          <w:color w:val="000000"/>
          <w:sz w:val="22"/>
          <w:szCs w:val="22"/>
        </w:rPr>
        <w:t>G</w:t>
      </w:r>
      <w:r>
        <w:rPr>
          <w:rFonts w:ascii="Andes" w:hAnsi="Andes" w:cs="Arial"/>
          <w:color w:val="000000"/>
          <w:sz w:val="22"/>
          <w:szCs w:val="22"/>
        </w:rPr>
        <w:t>uide des seuils par pays</w:t>
      </w:r>
      <w:r w:rsidRPr="000F54B7">
        <w:rPr>
          <w:rFonts w:ascii="Andes" w:hAnsi="Andes" w:cs="Arial"/>
          <w:sz w:val="22"/>
          <w:szCs w:val="22"/>
        </w:rPr>
        <w:t>).</w:t>
      </w:r>
    </w:p>
    <w:p w14:paraId="6BC03A52" w14:textId="4E90C71B" w:rsidR="006D600B" w:rsidRPr="000F54B7" w:rsidRDefault="003A280B" w:rsidP="006D600B">
      <w:pPr>
        <w:spacing w:before="240" w:line="240" w:lineRule="auto"/>
        <w:contextualSpacing w:val="0"/>
        <w:rPr>
          <w:rFonts w:ascii="Andes" w:hAnsi="Andes"/>
          <w:sz w:val="28"/>
        </w:rPr>
      </w:pPr>
      <w:bookmarkStart w:id="2940" w:name="_Toc453170903"/>
      <w:r>
        <w:rPr>
          <w:rFonts w:ascii="Andes" w:hAnsi="Andes"/>
          <w:b/>
          <w:sz w:val="28"/>
          <w:szCs w:val="28"/>
        </w:rPr>
        <w:t>Mise en concurrenc</w:t>
      </w:r>
      <w:r w:rsidRPr="000F54B7">
        <w:rPr>
          <w:rFonts w:ascii="Andes" w:hAnsi="Andes"/>
          <w:b/>
          <w:sz w:val="28"/>
          <w:szCs w:val="28"/>
        </w:rPr>
        <w:t xml:space="preserve">e </w:t>
      </w:r>
      <w:proofErr w:type="gramStart"/>
      <w:r>
        <w:rPr>
          <w:rFonts w:ascii="Andes" w:hAnsi="Andes"/>
          <w:b/>
          <w:sz w:val="28"/>
          <w:szCs w:val="28"/>
        </w:rPr>
        <w:t>au</w:t>
      </w:r>
      <w:proofErr w:type="gramEnd"/>
      <w:r>
        <w:rPr>
          <w:rFonts w:ascii="Andes" w:hAnsi="Andes"/>
          <w:b/>
          <w:sz w:val="28"/>
          <w:szCs w:val="28"/>
        </w:rPr>
        <w:t xml:space="preserve"> plan </w:t>
      </w:r>
      <w:r w:rsidR="006D600B" w:rsidRPr="000F54B7">
        <w:rPr>
          <w:rFonts w:ascii="Andes" w:hAnsi="Andes"/>
          <w:b/>
          <w:sz w:val="28"/>
          <w:szCs w:val="28"/>
        </w:rPr>
        <w:t>national</w:t>
      </w:r>
      <w:bookmarkEnd w:id="2940"/>
    </w:p>
    <w:p w14:paraId="488A4391" w14:textId="00288799"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Comme </w:t>
      </w:r>
      <w:r>
        <w:rPr>
          <w:rFonts w:ascii="Andes" w:hAnsi="Andes" w:cs="Arial"/>
          <w:sz w:val="22"/>
          <w:szCs w:val="22"/>
        </w:rPr>
        <w:t xml:space="preserve">convenu </w:t>
      </w:r>
      <w:r w:rsidRPr="000F54B7">
        <w:rPr>
          <w:rFonts w:ascii="Andes" w:hAnsi="Andes" w:cs="Arial"/>
          <w:sz w:val="22"/>
          <w:szCs w:val="22"/>
        </w:rPr>
        <w:t>dans le Plan de Passation des Marchés, il peut être approprié de limiter la recherche de fournisseurs à la sphère nationale lorsqu</w:t>
      </w:r>
      <w:r>
        <w:rPr>
          <w:rFonts w:ascii="Andes" w:hAnsi="Andes" w:cs="Arial"/>
          <w:sz w:val="22"/>
          <w:szCs w:val="22"/>
        </w:rPr>
        <w:t xml:space="preserve">’un </w:t>
      </w:r>
      <w:r w:rsidR="00720A64">
        <w:rPr>
          <w:rFonts w:ascii="Andes" w:hAnsi="Andes" w:cs="Arial"/>
          <w:sz w:val="22"/>
          <w:szCs w:val="22"/>
        </w:rPr>
        <w:t>contrat</w:t>
      </w:r>
      <w:r w:rsidR="00720A64" w:rsidRPr="000F54B7">
        <w:rPr>
          <w:rFonts w:ascii="Andes" w:hAnsi="Andes" w:cs="Arial"/>
          <w:sz w:val="22"/>
          <w:szCs w:val="22"/>
        </w:rPr>
        <w:t xml:space="preserve"> </w:t>
      </w:r>
      <w:r>
        <w:rPr>
          <w:rFonts w:ascii="Andes" w:hAnsi="Andes" w:cs="Arial"/>
          <w:sz w:val="22"/>
          <w:szCs w:val="22"/>
        </w:rPr>
        <w:t>a</w:t>
      </w:r>
      <w:r w:rsidRPr="000F54B7">
        <w:rPr>
          <w:rFonts w:ascii="Andes" w:hAnsi="Andes" w:cs="Arial"/>
          <w:sz w:val="22"/>
          <w:szCs w:val="22"/>
        </w:rPr>
        <w:t xml:space="preserve"> peu de chances d’attirer des concurrents étrangers pour les raisons suivantes :</w:t>
      </w:r>
    </w:p>
    <w:p w14:paraId="7B4EDB2D" w14:textId="77777777" w:rsidR="006D600B" w:rsidRPr="000F54B7" w:rsidRDefault="006D600B" w:rsidP="006D600B">
      <w:pPr>
        <w:pStyle w:val="Paragraphedeliste"/>
        <w:numPr>
          <w:ilvl w:val="0"/>
          <w:numId w:val="174"/>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la taille et les conditions du marché national ;</w:t>
      </w:r>
    </w:p>
    <w:p w14:paraId="1B3B54D2" w14:textId="77777777" w:rsidR="006D600B" w:rsidRPr="000F54B7" w:rsidRDefault="006D600B" w:rsidP="006D600B">
      <w:pPr>
        <w:pStyle w:val="Paragraphedeliste"/>
        <w:numPr>
          <w:ilvl w:val="0"/>
          <w:numId w:val="174"/>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la valeur du contrat ;</w:t>
      </w:r>
    </w:p>
    <w:p w14:paraId="4E31BF59" w14:textId="77777777" w:rsidR="006D600B" w:rsidRPr="000F54B7" w:rsidRDefault="006D600B" w:rsidP="006D600B">
      <w:pPr>
        <w:pStyle w:val="Paragraphedeliste"/>
        <w:numPr>
          <w:ilvl w:val="0"/>
          <w:numId w:val="174"/>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des activités dispersées</w:t>
      </w:r>
      <w:r w:rsidRPr="006D7B57">
        <w:rPr>
          <w:rFonts w:ascii="Andes" w:eastAsiaTheme="minorHAnsi" w:hAnsi="Andes" w:cs="Arial"/>
          <w:color w:val="000000"/>
          <w:sz w:val="22"/>
          <w:szCs w:val="22"/>
        </w:rPr>
        <w:t xml:space="preserve"> </w:t>
      </w:r>
      <w:r w:rsidRPr="000F54B7">
        <w:rPr>
          <w:rFonts w:ascii="Andes" w:eastAsiaTheme="minorHAnsi" w:hAnsi="Andes" w:cs="Arial"/>
          <w:color w:val="000000"/>
          <w:sz w:val="22"/>
          <w:szCs w:val="22"/>
        </w:rPr>
        <w:t xml:space="preserve">géographiquement, </w:t>
      </w:r>
      <w:r>
        <w:rPr>
          <w:rFonts w:ascii="Andes" w:eastAsiaTheme="minorHAnsi" w:hAnsi="Andes" w:cs="Arial"/>
          <w:color w:val="000000"/>
          <w:sz w:val="22"/>
          <w:szCs w:val="22"/>
        </w:rPr>
        <w:t xml:space="preserve">étalées </w:t>
      </w:r>
      <w:r w:rsidRPr="000F54B7">
        <w:rPr>
          <w:rFonts w:ascii="Andes" w:eastAsiaTheme="minorHAnsi" w:hAnsi="Andes" w:cs="Arial"/>
          <w:color w:val="000000"/>
          <w:sz w:val="22"/>
          <w:szCs w:val="22"/>
        </w:rPr>
        <w:t>dans le temps ou à forte intensité de main-d’œuvre ; ou</w:t>
      </w:r>
    </w:p>
    <w:p w14:paraId="6586A8F9" w14:textId="2DE6AEE8" w:rsidR="006D600B" w:rsidRPr="000F54B7" w:rsidRDefault="006D600B" w:rsidP="006D600B">
      <w:pPr>
        <w:pStyle w:val="Paragraphedeliste"/>
        <w:numPr>
          <w:ilvl w:val="0"/>
          <w:numId w:val="174"/>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lastRenderedPageBreak/>
        <w:t xml:space="preserve">les Fournitures, les Travaux ou les Services Autres que les Services de Consultants sont disponibles </w:t>
      </w:r>
      <w:r>
        <w:rPr>
          <w:rFonts w:ascii="Andes" w:eastAsiaTheme="minorHAnsi" w:hAnsi="Andes" w:cs="Arial"/>
          <w:color w:val="000000"/>
          <w:sz w:val="22"/>
          <w:szCs w:val="22"/>
        </w:rPr>
        <w:t xml:space="preserve">dans le pays </w:t>
      </w:r>
      <w:r w:rsidRPr="000F54B7">
        <w:rPr>
          <w:rFonts w:ascii="Andes" w:eastAsiaTheme="minorHAnsi" w:hAnsi="Andes" w:cs="Arial"/>
          <w:color w:val="000000"/>
          <w:sz w:val="22"/>
          <w:szCs w:val="22"/>
        </w:rPr>
        <w:t xml:space="preserve">à des prix inférieurs à ceux </w:t>
      </w:r>
      <w:r w:rsidR="00720A64">
        <w:rPr>
          <w:rFonts w:ascii="Andes" w:eastAsiaTheme="minorHAnsi" w:hAnsi="Andes" w:cs="Arial"/>
          <w:color w:val="000000"/>
          <w:sz w:val="22"/>
          <w:szCs w:val="22"/>
        </w:rPr>
        <w:t>pratiqués sur le</w:t>
      </w:r>
      <w:r w:rsidR="00720A64" w:rsidRPr="000F54B7">
        <w:rPr>
          <w:rFonts w:ascii="Andes" w:eastAsiaTheme="minorHAnsi" w:hAnsi="Andes" w:cs="Arial"/>
          <w:color w:val="000000"/>
          <w:sz w:val="22"/>
          <w:szCs w:val="22"/>
        </w:rPr>
        <w:t xml:space="preserve"> </w:t>
      </w:r>
      <w:r w:rsidRPr="000F54B7">
        <w:rPr>
          <w:rFonts w:ascii="Andes" w:eastAsiaTheme="minorHAnsi" w:hAnsi="Andes" w:cs="Arial"/>
          <w:color w:val="000000"/>
          <w:sz w:val="22"/>
          <w:szCs w:val="22"/>
        </w:rPr>
        <w:t>marché international.</w:t>
      </w:r>
    </w:p>
    <w:p w14:paraId="7A0D4B05" w14:textId="359D7DE2"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eastAsiaTheme="minorHAnsi" w:hAnsi="Andes" w:cs="Arial"/>
          <w:color w:val="000000"/>
          <w:sz w:val="22"/>
          <w:szCs w:val="22"/>
        </w:rPr>
      </w:pPr>
      <w:r w:rsidRPr="000F54B7">
        <w:rPr>
          <w:rFonts w:ascii="Andes" w:hAnsi="Andes" w:cs="Arial"/>
          <w:sz w:val="22"/>
          <w:szCs w:val="22"/>
        </w:rPr>
        <w:t xml:space="preserve">Une </w:t>
      </w:r>
      <w:r w:rsidR="00720A64">
        <w:rPr>
          <w:rFonts w:ascii="Andes" w:hAnsi="Andes" w:cs="Arial"/>
          <w:sz w:val="22"/>
          <w:szCs w:val="22"/>
        </w:rPr>
        <w:t xml:space="preserve">mise en concurrence </w:t>
      </w:r>
      <w:proofErr w:type="gramStart"/>
      <w:r w:rsidR="00720A64">
        <w:rPr>
          <w:rFonts w:ascii="Andes" w:hAnsi="Andes" w:cs="Arial"/>
          <w:sz w:val="22"/>
          <w:szCs w:val="22"/>
        </w:rPr>
        <w:t>au</w:t>
      </w:r>
      <w:proofErr w:type="gramEnd"/>
      <w:r w:rsidR="00720A64">
        <w:rPr>
          <w:rFonts w:ascii="Andes" w:hAnsi="Andes" w:cs="Arial"/>
          <w:sz w:val="22"/>
          <w:szCs w:val="22"/>
        </w:rPr>
        <w:t xml:space="preserve"> plan</w:t>
      </w:r>
      <w:r w:rsidR="00720A64" w:rsidRPr="000F54B7">
        <w:rPr>
          <w:rFonts w:ascii="Andes" w:hAnsi="Andes" w:cs="Arial"/>
          <w:sz w:val="22"/>
          <w:szCs w:val="22"/>
        </w:rPr>
        <w:t xml:space="preserve"> </w:t>
      </w:r>
      <w:r w:rsidRPr="000F54B7">
        <w:rPr>
          <w:rFonts w:ascii="Andes" w:hAnsi="Andes" w:cs="Arial"/>
          <w:sz w:val="22"/>
          <w:szCs w:val="22"/>
        </w:rPr>
        <w:t>national peut aussi être appropriée lorsque les avantages d’une recherche internationale sont manifestement contrebalancés par la charge administrative ou financière qu’elle génère.</w:t>
      </w:r>
    </w:p>
    <w:p w14:paraId="6B03F49A" w14:textId="61557151"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Si des entreprises étrangères souhaitent participer à un</w:t>
      </w:r>
      <w:r>
        <w:rPr>
          <w:rFonts w:ascii="Andes" w:eastAsiaTheme="minorHAnsi" w:hAnsi="Andes" w:cs="Arial"/>
          <w:color w:val="000000"/>
          <w:sz w:val="22"/>
          <w:szCs w:val="22"/>
        </w:rPr>
        <w:t xml:space="preserve"> </w:t>
      </w:r>
      <w:r w:rsidR="00C51DF5">
        <w:rPr>
          <w:rFonts w:ascii="Andes" w:eastAsiaTheme="minorHAnsi" w:hAnsi="Andes" w:cs="Arial"/>
          <w:color w:val="000000"/>
          <w:sz w:val="22"/>
          <w:szCs w:val="22"/>
        </w:rPr>
        <w:t>Appel d’Offres/ à Propositions</w:t>
      </w:r>
      <w:r>
        <w:rPr>
          <w:rFonts w:ascii="Andes" w:eastAsiaTheme="minorHAnsi" w:hAnsi="Andes" w:cs="Arial"/>
          <w:color w:val="000000"/>
          <w:sz w:val="22"/>
          <w:szCs w:val="22"/>
        </w:rPr>
        <w:t xml:space="preserve"> ouvert </w:t>
      </w:r>
      <w:r w:rsidRPr="000F54B7">
        <w:rPr>
          <w:rFonts w:ascii="Andes" w:eastAsiaTheme="minorHAnsi" w:hAnsi="Andes" w:cs="Arial"/>
          <w:color w:val="000000"/>
          <w:sz w:val="22"/>
          <w:szCs w:val="22"/>
        </w:rPr>
        <w:t>national, elles sont autorisées à le faire dans les mêmes conditions que les entreprises nationales.</w:t>
      </w:r>
    </w:p>
    <w:p w14:paraId="11CBA678" w14:textId="75F31EC4"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Dans le cas d’une recherche nationale, les procédures de passation des marchés du pays peuvent être utilisées, selon les dispositions des </w:t>
      </w:r>
      <w:r w:rsidR="00A53431">
        <w:rPr>
          <w:rFonts w:ascii="Andes" w:hAnsi="Andes" w:cs="Arial"/>
          <w:sz w:val="22"/>
          <w:szCs w:val="22"/>
        </w:rPr>
        <w:t>P</w:t>
      </w:r>
      <w:r w:rsidRPr="000F54B7">
        <w:rPr>
          <w:rFonts w:ascii="Andes" w:hAnsi="Andes" w:cs="Arial"/>
          <w:sz w:val="22"/>
          <w:szCs w:val="22"/>
        </w:rPr>
        <w:t>aragraphes 5.3 à 5.6.</w:t>
      </w:r>
    </w:p>
    <w:p w14:paraId="4CBDFA12" w14:textId="401D96D9" w:rsidR="006D600B" w:rsidRPr="000F54B7" w:rsidRDefault="000A7F1B" w:rsidP="006D600B">
      <w:pPr>
        <w:spacing w:before="240" w:line="240" w:lineRule="auto"/>
        <w:contextualSpacing w:val="0"/>
        <w:rPr>
          <w:rFonts w:ascii="Andes" w:hAnsi="Andes"/>
          <w:sz w:val="28"/>
        </w:rPr>
      </w:pPr>
      <w:bookmarkStart w:id="2941" w:name="_Toc453170904"/>
      <w:r w:rsidRPr="000F54B7">
        <w:rPr>
          <w:rFonts w:ascii="Andes" w:hAnsi="Andes"/>
          <w:b/>
          <w:sz w:val="28"/>
          <w:szCs w:val="28"/>
        </w:rPr>
        <w:t>Pré</w:t>
      </w:r>
      <w:r>
        <w:rPr>
          <w:rFonts w:ascii="Andes" w:hAnsi="Andes"/>
          <w:b/>
          <w:sz w:val="28"/>
          <w:szCs w:val="28"/>
        </w:rPr>
        <w:t>q</w:t>
      </w:r>
      <w:r w:rsidRPr="000F54B7">
        <w:rPr>
          <w:rFonts w:ascii="Andes" w:hAnsi="Andes"/>
          <w:b/>
          <w:sz w:val="28"/>
          <w:szCs w:val="28"/>
        </w:rPr>
        <w:t>ualification</w:t>
      </w:r>
      <w:r w:rsidR="006D600B" w:rsidRPr="000F54B7">
        <w:rPr>
          <w:rFonts w:ascii="Andes" w:hAnsi="Andes"/>
          <w:b/>
          <w:sz w:val="28"/>
          <w:szCs w:val="28"/>
        </w:rPr>
        <w:t xml:space="preserve"> </w:t>
      </w:r>
      <w:r w:rsidR="006D600B">
        <w:rPr>
          <w:rFonts w:ascii="Andes" w:hAnsi="Andes"/>
          <w:b/>
          <w:sz w:val="28"/>
          <w:szCs w:val="28"/>
        </w:rPr>
        <w:t>et S</w:t>
      </w:r>
      <w:r w:rsidR="006D600B" w:rsidRPr="000F54B7">
        <w:rPr>
          <w:rFonts w:ascii="Andes" w:hAnsi="Andes"/>
          <w:b/>
          <w:sz w:val="28"/>
          <w:szCs w:val="28"/>
        </w:rPr>
        <w:t xml:space="preserve">élection </w:t>
      </w:r>
      <w:r w:rsidR="006D600B">
        <w:rPr>
          <w:rFonts w:ascii="Andes" w:hAnsi="Andes"/>
          <w:b/>
          <w:sz w:val="28"/>
          <w:szCs w:val="28"/>
        </w:rPr>
        <w:t>I</w:t>
      </w:r>
      <w:r w:rsidR="006D600B" w:rsidRPr="000F54B7">
        <w:rPr>
          <w:rFonts w:ascii="Andes" w:hAnsi="Andes"/>
          <w:b/>
          <w:sz w:val="28"/>
          <w:szCs w:val="28"/>
        </w:rPr>
        <w:t xml:space="preserve">nitiale </w:t>
      </w:r>
      <w:bookmarkEnd w:id="2941"/>
    </w:p>
    <w:p w14:paraId="2F2F7263" w14:textId="77777777" w:rsidR="006D600B" w:rsidRPr="000F54B7" w:rsidRDefault="006D600B" w:rsidP="006D600B">
      <w:pPr>
        <w:pStyle w:val="Paragraphedeliste"/>
        <w:contextualSpacing w:val="0"/>
        <w:rPr>
          <w:rFonts w:ascii="Andes" w:hAnsi="Andes" w:cs="Arial"/>
          <w:color w:val="000000" w:themeColor="text1"/>
          <w:sz w:val="28"/>
          <w:szCs w:val="28"/>
          <w:u w:val="single"/>
        </w:rPr>
      </w:pPr>
      <w:r w:rsidRPr="000F54B7">
        <w:rPr>
          <w:rFonts w:ascii="Andes" w:hAnsi="Andes" w:cs="Arial"/>
          <w:color w:val="000000" w:themeColor="text1"/>
          <w:sz w:val="28"/>
          <w:szCs w:val="28"/>
        </w:rPr>
        <w:t xml:space="preserve">          </w:t>
      </w:r>
      <w:r w:rsidRPr="000F54B7">
        <w:rPr>
          <w:rFonts w:ascii="Andes" w:hAnsi="Andes" w:cs="Arial"/>
          <w:color w:val="000000" w:themeColor="text1"/>
          <w:sz w:val="28"/>
          <w:szCs w:val="28"/>
          <w:u w:val="single"/>
        </w:rPr>
        <w:t>Fournitures, Travaux, Services Autres que Services de Consultants</w:t>
      </w:r>
    </w:p>
    <w:p w14:paraId="4A43FE61" w14:textId="36389A91"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La </w:t>
      </w:r>
      <w:r w:rsidR="000A7F1B" w:rsidRPr="000F54B7">
        <w:rPr>
          <w:rFonts w:ascii="Andes" w:hAnsi="Andes" w:cs="Arial"/>
          <w:sz w:val="22"/>
          <w:szCs w:val="22"/>
        </w:rPr>
        <w:t>Pré</w:t>
      </w:r>
      <w:r w:rsidR="000A7F1B">
        <w:rPr>
          <w:rFonts w:ascii="Andes" w:hAnsi="Andes" w:cs="Arial"/>
          <w:sz w:val="22"/>
          <w:szCs w:val="22"/>
        </w:rPr>
        <w:t>q</w:t>
      </w:r>
      <w:r w:rsidR="000A7F1B" w:rsidRPr="000F54B7">
        <w:rPr>
          <w:rFonts w:ascii="Andes" w:hAnsi="Andes" w:cs="Arial"/>
          <w:sz w:val="22"/>
          <w:szCs w:val="22"/>
        </w:rPr>
        <w:t>ualification</w:t>
      </w:r>
      <w:r w:rsidRPr="000F54B7">
        <w:rPr>
          <w:rFonts w:ascii="Andes" w:hAnsi="Andes" w:cs="Arial"/>
          <w:sz w:val="22"/>
          <w:szCs w:val="22"/>
        </w:rPr>
        <w:t xml:space="preserve"> et la Sélection Initiale sont des processus utilisés pour présélectionner les Candidats à une procédure de passation de marchés de Fournitures, de Travaux ou de Services Autres que des Services de Consultants. Ces processus permettent de garantir que seules les entreprises ayant des capacités, des compétences et des moyens suffisants et appropriés soient invitées à </w:t>
      </w:r>
      <w:r>
        <w:rPr>
          <w:rFonts w:ascii="Andes" w:hAnsi="Andes" w:cs="Arial"/>
          <w:sz w:val="22"/>
          <w:szCs w:val="22"/>
        </w:rPr>
        <w:t>re</w:t>
      </w:r>
      <w:r w:rsidRPr="000F54B7">
        <w:rPr>
          <w:rFonts w:ascii="Andes" w:hAnsi="Andes" w:cs="Arial"/>
          <w:sz w:val="22"/>
          <w:szCs w:val="22"/>
        </w:rPr>
        <w:t>mettre des Offres</w:t>
      </w:r>
      <w:r>
        <w:rPr>
          <w:rFonts w:ascii="Andes" w:hAnsi="Andes" w:cs="Arial"/>
          <w:sz w:val="22"/>
          <w:szCs w:val="22"/>
        </w:rPr>
        <w:t>/</w:t>
      </w:r>
      <w:r w:rsidRPr="000F54B7">
        <w:rPr>
          <w:rFonts w:ascii="Andes" w:hAnsi="Andes" w:cs="Arial"/>
          <w:sz w:val="22"/>
          <w:szCs w:val="22"/>
        </w:rPr>
        <w:t xml:space="preserve">Propositions. Pour lancer une </w:t>
      </w:r>
      <w:r w:rsidR="000A7F1B" w:rsidRPr="000F54B7">
        <w:rPr>
          <w:rFonts w:ascii="Andes" w:hAnsi="Andes" w:cs="Arial"/>
          <w:sz w:val="22"/>
          <w:szCs w:val="22"/>
        </w:rPr>
        <w:t>Pré</w:t>
      </w:r>
      <w:r w:rsidR="000A7F1B">
        <w:rPr>
          <w:rFonts w:ascii="Andes" w:hAnsi="Andes" w:cs="Arial"/>
          <w:sz w:val="22"/>
          <w:szCs w:val="22"/>
        </w:rPr>
        <w:t>q</w:t>
      </w:r>
      <w:r w:rsidR="000A7F1B" w:rsidRPr="000F54B7">
        <w:rPr>
          <w:rFonts w:ascii="Andes" w:hAnsi="Andes" w:cs="Arial"/>
          <w:sz w:val="22"/>
          <w:szCs w:val="22"/>
        </w:rPr>
        <w:t>ualification</w:t>
      </w:r>
      <w:r w:rsidRPr="000F54B7">
        <w:rPr>
          <w:rFonts w:ascii="Andes" w:hAnsi="Andes" w:cs="Arial"/>
          <w:sz w:val="22"/>
          <w:szCs w:val="22"/>
        </w:rPr>
        <w:t xml:space="preserve"> ou une Sélection Initiale, l’Emprunteur est tenu d’utiliser le dossier type de </w:t>
      </w:r>
      <w:r w:rsidR="000A7F1B" w:rsidRPr="000F54B7">
        <w:rPr>
          <w:rFonts w:ascii="Andes" w:hAnsi="Andes" w:cs="Arial"/>
          <w:sz w:val="22"/>
          <w:szCs w:val="22"/>
        </w:rPr>
        <w:t>pré</w:t>
      </w:r>
      <w:r w:rsidR="000A7F1B">
        <w:rPr>
          <w:rFonts w:ascii="Andes" w:hAnsi="Andes" w:cs="Arial"/>
          <w:sz w:val="22"/>
          <w:szCs w:val="22"/>
        </w:rPr>
        <w:t>q</w:t>
      </w:r>
      <w:r w:rsidR="000A7F1B" w:rsidRPr="000F54B7">
        <w:rPr>
          <w:rFonts w:ascii="Andes" w:hAnsi="Andes" w:cs="Arial"/>
          <w:sz w:val="22"/>
          <w:szCs w:val="22"/>
        </w:rPr>
        <w:t>ualification</w:t>
      </w:r>
      <w:r>
        <w:rPr>
          <w:rFonts w:ascii="Andes" w:hAnsi="Andes" w:cs="Arial"/>
          <w:sz w:val="22"/>
          <w:szCs w:val="22"/>
        </w:rPr>
        <w:t>/</w:t>
      </w:r>
      <w:r w:rsidRPr="000F54B7">
        <w:rPr>
          <w:rFonts w:ascii="Andes" w:hAnsi="Andes" w:cs="Arial"/>
          <w:sz w:val="22"/>
          <w:szCs w:val="22"/>
        </w:rPr>
        <w:t>sélection initiale</w:t>
      </w:r>
      <w:r>
        <w:rPr>
          <w:rFonts w:ascii="Andes" w:hAnsi="Andes" w:cs="Arial"/>
          <w:sz w:val="22"/>
          <w:szCs w:val="22"/>
        </w:rPr>
        <w:t xml:space="preserve"> publié</w:t>
      </w:r>
      <w:r w:rsidRPr="000F54B7">
        <w:rPr>
          <w:rFonts w:ascii="Andes" w:hAnsi="Andes" w:cs="Arial"/>
          <w:sz w:val="22"/>
          <w:szCs w:val="22"/>
        </w:rPr>
        <w:t xml:space="preserve"> par la Banque.</w:t>
      </w:r>
    </w:p>
    <w:p w14:paraId="2D82B4D8" w14:textId="1736DEBE"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Une </w:t>
      </w:r>
      <w:r w:rsidR="000A7F1B" w:rsidRPr="000F54B7">
        <w:rPr>
          <w:rFonts w:ascii="Andes" w:hAnsi="Andes" w:cs="Arial"/>
          <w:sz w:val="22"/>
          <w:szCs w:val="22"/>
        </w:rPr>
        <w:t>Pré</w:t>
      </w:r>
      <w:r w:rsidR="000A7F1B">
        <w:rPr>
          <w:rFonts w:ascii="Andes" w:hAnsi="Andes" w:cs="Arial"/>
          <w:sz w:val="22"/>
          <w:szCs w:val="22"/>
        </w:rPr>
        <w:t>q</w:t>
      </w:r>
      <w:r w:rsidR="000A7F1B" w:rsidRPr="000F54B7">
        <w:rPr>
          <w:rFonts w:ascii="Andes" w:hAnsi="Andes" w:cs="Arial"/>
          <w:sz w:val="22"/>
          <w:szCs w:val="22"/>
        </w:rPr>
        <w:t>ualification</w:t>
      </w:r>
      <w:r w:rsidRPr="000F54B7">
        <w:rPr>
          <w:rFonts w:ascii="Andes" w:hAnsi="Andes" w:cs="Arial"/>
          <w:sz w:val="22"/>
          <w:szCs w:val="22"/>
        </w:rPr>
        <w:t xml:space="preserve"> ou une Sélection Initiale est appropriée pour les contrats complexes ou de grande envergure, ou dans d’autres situations telles que : la recherche d’un </w:t>
      </w:r>
      <w:r>
        <w:rPr>
          <w:rFonts w:ascii="Andes" w:hAnsi="Andes" w:cs="Arial"/>
          <w:sz w:val="22"/>
          <w:szCs w:val="22"/>
        </w:rPr>
        <w:t>équipement personnalisé, un</w:t>
      </w:r>
      <w:r w:rsidR="00610ED3">
        <w:rPr>
          <w:rFonts w:ascii="Andes" w:hAnsi="Andes" w:cs="Arial"/>
          <w:sz w:val="22"/>
          <w:szCs w:val="22"/>
        </w:rPr>
        <w:t>e</w:t>
      </w:r>
      <w:r>
        <w:rPr>
          <w:rFonts w:ascii="Andes" w:hAnsi="Andes" w:cs="Arial"/>
          <w:sz w:val="22"/>
          <w:szCs w:val="22"/>
        </w:rPr>
        <w:t xml:space="preserve"> </w:t>
      </w:r>
      <w:r w:rsidR="00BF115E">
        <w:rPr>
          <w:rFonts w:ascii="Andes" w:hAnsi="Andes" w:cs="Arial"/>
          <w:sz w:val="22"/>
          <w:szCs w:val="22"/>
        </w:rPr>
        <w:t>I</w:t>
      </w:r>
      <w:r w:rsidR="00610ED3">
        <w:rPr>
          <w:rFonts w:ascii="Andes" w:hAnsi="Andes" w:cs="Arial"/>
          <w:sz w:val="22"/>
          <w:szCs w:val="22"/>
        </w:rPr>
        <w:t>nstallation</w:t>
      </w:r>
      <w:r w:rsidRPr="000F54B7">
        <w:rPr>
          <w:rFonts w:ascii="Andes" w:hAnsi="Andes" w:cs="Arial"/>
          <w:sz w:val="22"/>
          <w:szCs w:val="22"/>
        </w:rPr>
        <w:t>,</w:t>
      </w:r>
      <w:r>
        <w:rPr>
          <w:rFonts w:ascii="Andes" w:hAnsi="Andes" w:cs="Arial"/>
          <w:sz w:val="22"/>
          <w:szCs w:val="22"/>
        </w:rPr>
        <w:t xml:space="preserve"> </w:t>
      </w:r>
      <w:r w:rsidRPr="000F54B7">
        <w:rPr>
          <w:rFonts w:ascii="Andes" w:hAnsi="Andes" w:cs="Arial"/>
          <w:sz w:val="22"/>
          <w:szCs w:val="22"/>
        </w:rPr>
        <w:t>de</w:t>
      </w:r>
      <w:r>
        <w:rPr>
          <w:rFonts w:ascii="Andes" w:hAnsi="Andes" w:cs="Arial"/>
          <w:sz w:val="22"/>
          <w:szCs w:val="22"/>
        </w:rPr>
        <w:t>s</w:t>
      </w:r>
      <w:r w:rsidRPr="000F54B7">
        <w:rPr>
          <w:rFonts w:ascii="Andes" w:hAnsi="Andes" w:cs="Arial"/>
          <w:sz w:val="22"/>
          <w:szCs w:val="22"/>
        </w:rPr>
        <w:t xml:space="preserve"> services spécialisés, certaines informations ou technologies complexes, un contrat clés en main, de conception</w:t>
      </w:r>
      <w:r>
        <w:rPr>
          <w:rFonts w:ascii="Andes" w:hAnsi="Andes" w:cs="Arial"/>
          <w:sz w:val="22"/>
          <w:szCs w:val="22"/>
        </w:rPr>
        <w:t xml:space="preserve">-construction </w:t>
      </w:r>
      <w:r w:rsidRPr="000F54B7">
        <w:rPr>
          <w:rFonts w:ascii="Andes" w:hAnsi="Andes" w:cs="Arial"/>
          <w:sz w:val="22"/>
          <w:szCs w:val="22"/>
        </w:rPr>
        <w:t>ou de gestion pour lequel les coûts élevés de la préparation d’Offres</w:t>
      </w:r>
      <w:r>
        <w:rPr>
          <w:rFonts w:ascii="Andes" w:hAnsi="Andes" w:cs="Arial"/>
          <w:sz w:val="22"/>
          <w:szCs w:val="22"/>
        </w:rPr>
        <w:t>/</w:t>
      </w:r>
      <w:r w:rsidRPr="000F54B7">
        <w:rPr>
          <w:rFonts w:ascii="Andes" w:hAnsi="Andes" w:cs="Arial"/>
          <w:sz w:val="22"/>
          <w:szCs w:val="22"/>
        </w:rPr>
        <w:t>Propositions détaillées pourraient décourager la concurrence.</w:t>
      </w:r>
    </w:p>
    <w:p w14:paraId="0A6081A3" w14:textId="63D52046"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L’évaluation des qualifications d’un Candidat ne prendra pas en compte les qualifications d’autres entreprises telles que ses filiales, maisons mères, entreprises apparentées, sous-traitants (autres que les sous-traitants spécialisés si le do</w:t>
      </w:r>
      <w:r>
        <w:rPr>
          <w:rFonts w:ascii="Andes" w:hAnsi="Andes" w:cs="Arial"/>
          <w:sz w:val="22"/>
          <w:szCs w:val="22"/>
        </w:rPr>
        <w:t xml:space="preserve">ssier </w:t>
      </w:r>
      <w:r w:rsidRPr="000F54B7">
        <w:rPr>
          <w:rFonts w:ascii="Andes" w:hAnsi="Andes" w:cs="Arial"/>
          <w:sz w:val="22"/>
          <w:szCs w:val="22"/>
        </w:rPr>
        <w:t xml:space="preserve">de </w:t>
      </w:r>
      <w:r w:rsidR="000A7F1B">
        <w:rPr>
          <w:rFonts w:ascii="Andes" w:hAnsi="Andes" w:cs="Arial"/>
          <w:sz w:val="22"/>
          <w:szCs w:val="22"/>
        </w:rPr>
        <w:t>P</w:t>
      </w:r>
      <w:r w:rsidR="000A7F1B" w:rsidRPr="000F54B7">
        <w:rPr>
          <w:rFonts w:ascii="Andes" w:hAnsi="Andes" w:cs="Arial"/>
          <w:sz w:val="22"/>
          <w:szCs w:val="22"/>
        </w:rPr>
        <w:t>ré</w:t>
      </w:r>
      <w:r w:rsidR="000A7F1B">
        <w:rPr>
          <w:rFonts w:ascii="Andes" w:hAnsi="Andes" w:cs="Arial"/>
          <w:sz w:val="22"/>
          <w:szCs w:val="22"/>
        </w:rPr>
        <w:t>q</w:t>
      </w:r>
      <w:r w:rsidR="000A7F1B" w:rsidRPr="000F54B7">
        <w:rPr>
          <w:rFonts w:ascii="Andes" w:hAnsi="Andes" w:cs="Arial"/>
          <w:sz w:val="22"/>
          <w:szCs w:val="22"/>
        </w:rPr>
        <w:t>ualification</w:t>
      </w:r>
      <w:r w:rsidRPr="000F54B7">
        <w:rPr>
          <w:rFonts w:ascii="Andes" w:hAnsi="Andes" w:cs="Arial"/>
          <w:sz w:val="22"/>
          <w:szCs w:val="22"/>
        </w:rPr>
        <w:t xml:space="preserve"> ou de </w:t>
      </w:r>
      <w:r>
        <w:rPr>
          <w:rFonts w:ascii="Andes" w:hAnsi="Andes" w:cs="Arial"/>
          <w:sz w:val="22"/>
          <w:szCs w:val="22"/>
        </w:rPr>
        <w:t>S</w:t>
      </w:r>
      <w:r w:rsidRPr="000F54B7">
        <w:rPr>
          <w:rFonts w:ascii="Andes" w:hAnsi="Andes" w:cs="Arial"/>
          <w:sz w:val="22"/>
          <w:szCs w:val="22"/>
        </w:rPr>
        <w:t xml:space="preserve">élection </w:t>
      </w:r>
      <w:r>
        <w:rPr>
          <w:rFonts w:ascii="Andes" w:hAnsi="Andes" w:cs="Arial"/>
          <w:sz w:val="22"/>
          <w:szCs w:val="22"/>
        </w:rPr>
        <w:t>I</w:t>
      </w:r>
      <w:r w:rsidRPr="000F54B7">
        <w:rPr>
          <w:rFonts w:ascii="Andes" w:hAnsi="Andes" w:cs="Arial"/>
          <w:sz w:val="22"/>
          <w:szCs w:val="22"/>
        </w:rPr>
        <w:t xml:space="preserve">nitiale l’autorise), ou de toute autre entreprise différente de celle qui soumet </w:t>
      </w:r>
      <w:r>
        <w:rPr>
          <w:rFonts w:ascii="Andes" w:hAnsi="Andes" w:cs="Arial"/>
          <w:sz w:val="22"/>
          <w:szCs w:val="22"/>
        </w:rPr>
        <w:t xml:space="preserve">sa Candidature dans le cadre d’un processus </w:t>
      </w:r>
      <w:r w:rsidRPr="000F54B7">
        <w:rPr>
          <w:rFonts w:ascii="Andes" w:hAnsi="Andes" w:cs="Arial"/>
          <w:sz w:val="22"/>
          <w:szCs w:val="22"/>
        </w:rPr>
        <w:t xml:space="preserve">de </w:t>
      </w:r>
      <w:r w:rsidR="000A7F1B" w:rsidRPr="000F54B7">
        <w:rPr>
          <w:rFonts w:ascii="Andes" w:hAnsi="Andes" w:cs="Arial"/>
          <w:sz w:val="22"/>
          <w:szCs w:val="22"/>
        </w:rPr>
        <w:t>Pré</w:t>
      </w:r>
      <w:r w:rsidR="000A7F1B">
        <w:rPr>
          <w:rFonts w:ascii="Andes" w:hAnsi="Andes" w:cs="Arial"/>
          <w:sz w:val="22"/>
          <w:szCs w:val="22"/>
        </w:rPr>
        <w:t>q</w:t>
      </w:r>
      <w:r w:rsidR="000A7F1B" w:rsidRPr="000F54B7">
        <w:rPr>
          <w:rFonts w:ascii="Andes" w:hAnsi="Andes" w:cs="Arial"/>
          <w:sz w:val="22"/>
          <w:szCs w:val="22"/>
        </w:rPr>
        <w:t>ualification</w:t>
      </w:r>
      <w:r w:rsidR="000A7F1B">
        <w:rPr>
          <w:rFonts w:ascii="Andes" w:hAnsi="Andes" w:cs="Arial"/>
          <w:sz w:val="22"/>
          <w:szCs w:val="22"/>
        </w:rPr>
        <w:t xml:space="preserve"> </w:t>
      </w:r>
      <w:r w:rsidRPr="000F54B7">
        <w:rPr>
          <w:rFonts w:ascii="Andes" w:hAnsi="Andes" w:cs="Arial"/>
          <w:sz w:val="22"/>
          <w:szCs w:val="22"/>
        </w:rPr>
        <w:t>ou de Sélection Initiale.</w:t>
      </w:r>
    </w:p>
    <w:p w14:paraId="335A026A" w14:textId="29FB9A6F"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Lorsque la période écoulée entre le moment où l’Emprunteur arrête la liste des Candidats pré</w:t>
      </w:r>
      <w:r w:rsidR="00610ED3">
        <w:rPr>
          <w:rFonts w:ascii="Andes" w:hAnsi="Andes" w:cs="Arial"/>
          <w:sz w:val="22"/>
          <w:szCs w:val="22"/>
        </w:rPr>
        <w:t>-</w:t>
      </w:r>
      <w:r w:rsidRPr="000F54B7">
        <w:rPr>
          <w:rFonts w:ascii="Andes" w:hAnsi="Andes" w:cs="Arial"/>
          <w:sz w:val="22"/>
          <w:szCs w:val="22"/>
        </w:rPr>
        <w:t>qualifiés</w:t>
      </w:r>
      <w:r>
        <w:rPr>
          <w:rFonts w:ascii="Andes" w:hAnsi="Andes" w:cs="Arial"/>
          <w:sz w:val="22"/>
          <w:szCs w:val="22"/>
        </w:rPr>
        <w:t>/</w:t>
      </w:r>
      <w:r w:rsidRPr="000F54B7">
        <w:rPr>
          <w:rFonts w:ascii="Andes" w:hAnsi="Andes" w:cs="Arial"/>
          <w:sz w:val="22"/>
          <w:szCs w:val="22"/>
        </w:rPr>
        <w:t xml:space="preserve">initialement sélectionnés et celui où </w:t>
      </w:r>
      <w:r>
        <w:rPr>
          <w:rFonts w:ascii="Andes" w:hAnsi="Andes" w:cs="Arial"/>
          <w:sz w:val="22"/>
          <w:szCs w:val="22"/>
        </w:rPr>
        <w:t>le dossier d</w:t>
      </w:r>
      <w:r w:rsidRPr="000F54B7">
        <w:rPr>
          <w:rFonts w:ascii="Andes" w:hAnsi="Andes" w:cs="Arial"/>
          <w:sz w:val="22"/>
          <w:szCs w:val="22"/>
        </w:rPr>
        <w:t>’</w:t>
      </w:r>
      <w:r w:rsidR="00C51DF5">
        <w:rPr>
          <w:rFonts w:ascii="Andes" w:hAnsi="Andes" w:cs="Arial"/>
          <w:sz w:val="22"/>
          <w:szCs w:val="22"/>
        </w:rPr>
        <w:t>Appel d’Offres/ à Propositions</w:t>
      </w:r>
      <w:r w:rsidRPr="000F54B7">
        <w:rPr>
          <w:rFonts w:ascii="Andes" w:hAnsi="Andes" w:cs="Arial"/>
          <w:sz w:val="22"/>
          <w:szCs w:val="22"/>
        </w:rPr>
        <w:t xml:space="preserve"> est publié est supérieure à douze (12) mois, la Banque peut demander qu’un nouveau processus de </w:t>
      </w:r>
      <w:r w:rsidR="000A7F1B" w:rsidRPr="000F54B7">
        <w:rPr>
          <w:rFonts w:ascii="Andes" w:hAnsi="Andes" w:cs="Arial"/>
          <w:sz w:val="22"/>
          <w:szCs w:val="22"/>
        </w:rPr>
        <w:t>Pré</w:t>
      </w:r>
      <w:r w:rsidR="000A7F1B">
        <w:rPr>
          <w:rFonts w:ascii="Andes" w:hAnsi="Andes" w:cs="Arial"/>
          <w:sz w:val="22"/>
          <w:szCs w:val="22"/>
        </w:rPr>
        <w:t>q</w:t>
      </w:r>
      <w:r w:rsidR="000A7F1B" w:rsidRPr="000F54B7">
        <w:rPr>
          <w:rFonts w:ascii="Andes" w:hAnsi="Andes" w:cs="Arial"/>
          <w:sz w:val="22"/>
          <w:szCs w:val="22"/>
        </w:rPr>
        <w:t>ualification</w:t>
      </w:r>
      <w:r>
        <w:rPr>
          <w:rFonts w:ascii="Andes" w:hAnsi="Andes" w:cs="Arial"/>
          <w:sz w:val="22"/>
          <w:szCs w:val="22"/>
        </w:rPr>
        <w:t>/</w:t>
      </w:r>
      <w:r w:rsidRPr="000F54B7">
        <w:rPr>
          <w:rFonts w:ascii="Andes" w:hAnsi="Andes" w:cs="Arial"/>
          <w:sz w:val="22"/>
          <w:szCs w:val="22"/>
        </w:rPr>
        <w:t>Sélection Initiale soit engagé par la publication d’un nouvel avis.</w:t>
      </w:r>
    </w:p>
    <w:p w14:paraId="1F1B58D4" w14:textId="208368EA" w:rsidR="006D600B" w:rsidRPr="000F54B7" w:rsidRDefault="000A7F1B" w:rsidP="006D600B">
      <w:pPr>
        <w:tabs>
          <w:tab w:val="left" w:pos="630"/>
        </w:tabs>
        <w:spacing w:before="0" w:line="240" w:lineRule="auto"/>
        <w:contextualSpacing w:val="0"/>
        <w:rPr>
          <w:rFonts w:ascii="Andes" w:hAnsi="Andes" w:cs="Arial"/>
          <w:sz w:val="22"/>
          <w:szCs w:val="22"/>
        </w:rPr>
      </w:pPr>
      <w:r w:rsidRPr="000F54B7">
        <w:rPr>
          <w:rFonts w:ascii="Andes" w:hAnsi="Andes"/>
          <w:b/>
          <w:sz w:val="28"/>
          <w:szCs w:val="28"/>
        </w:rPr>
        <w:t>Pré</w:t>
      </w:r>
      <w:r>
        <w:rPr>
          <w:rFonts w:ascii="Andes" w:hAnsi="Andes"/>
          <w:b/>
          <w:sz w:val="28"/>
          <w:szCs w:val="28"/>
        </w:rPr>
        <w:t>q</w:t>
      </w:r>
      <w:r w:rsidRPr="000F54B7">
        <w:rPr>
          <w:rFonts w:ascii="Andes" w:hAnsi="Andes"/>
          <w:b/>
          <w:sz w:val="28"/>
          <w:szCs w:val="28"/>
        </w:rPr>
        <w:t>ualification</w:t>
      </w:r>
    </w:p>
    <w:p w14:paraId="772B78F5" w14:textId="74A648DE"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La </w:t>
      </w:r>
      <w:r w:rsidR="000A7F1B">
        <w:rPr>
          <w:rFonts w:ascii="Andes" w:hAnsi="Andes" w:cs="Arial"/>
          <w:sz w:val="22"/>
          <w:szCs w:val="22"/>
        </w:rPr>
        <w:t>Préqualification</w:t>
      </w:r>
      <w:r w:rsidRPr="000F54B7">
        <w:rPr>
          <w:rFonts w:ascii="Andes" w:hAnsi="Andes" w:cs="Arial"/>
          <w:sz w:val="22"/>
          <w:szCs w:val="22"/>
        </w:rPr>
        <w:t xml:space="preserve"> est utilisée </w:t>
      </w:r>
      <w:r>
        <w:rPr>
          <w:rFonts w:ascii="Andes" w:hAnsi="Andes" w:cs="Arial"/>
          <w:sz w:val="22"/>
          <w:szCs w:val="22"/>
        </w:rPr>
        <w:t xml:space="preserve">normalement </w:t>
      </w:r>
      <w:r w:rsidRPr="000F54B7">
        <w:rPr>
          <w:rFonts w:ascii="Andes" w:hAnsi="Andes" w:cs="Arial"/>
          <w:sz w:val="22"/>
          <w:szCs w:val="22"/>
        </w:rPr>
        <w:t xml:space="preserve">pour les Appels d’Offres et est facultative selon la nature et la complexité des marchés de Fournitures, de Travaux ou de Services Autres que des Services de Consultants. Au cours de la </w:t>
      </w:r>
      <w:r w:rsidR="000A7F1B">
        <w:rPr>
          <w:rFonts w:ascii="Andes" w:hAnsi="Andes" w:cs="Arial"/>
          <w:sz w:val="22"/>
          <w:szCs w:val="22"/>
        </w:rPr>
        <w:t>Préqualification</w:t>
      </w:r>
      <w:r w:rsidRPr="000F54B7">
        <w:rPr>
          <w:rFonts w:ascii="Andes" w:hAnsi="Andes" w:cs="Arial"/>
          <w:sz w:val="22"/>
          <w:szCs w:val="22"/>
        </w:rPr>
        <w:t xml:space="preserve">, des </w:t>
      </w:r>
      <w:r>
        <w:rPr>
          <w:rFonts w:ascii="Andes" w:hAnsi="Andes" w:cs="Arial"/>
          <w:sz w:val="22"/>
          <w:szCs w:val="22"/>
        </w:rPr>
        <w:t xml:space="preserve">conditions </w:t>
      </w:r>
      <w:r w:rsidRPr="000F54B7">
        <w:rPr>
          <w:rFonts w:ascii="Andes" w:hAnsi="Andes" w:cs="Arial"/>
          <w:sz w:val="22"/>
          <w:szCs w:val="22"/>
        </w:rPr>
        <w:t>minimales à caractère éliminatoire sont normalement évaluées selon des critères tels que : l’éligibilité, l’expérience, les capacités techniques et les moyens financiers. Ce</w:t>
      </w:r>
      <w:r w:rsidR="00D53E2B">
        <w:rPr>
          <w:rFonts w:ascii="Andes" w:hAnsi="Andes" w:cs="Arial"/>
          <w:sz w:val="22"/>
          <w:szCs w:val="22"/>
        </w:rPr>
        <w:t>s critères</w:t>
      </w:r>
      <w:r w:rsidRPr="000F54B7">
        <w:rPr>
          <w:rFonts w:ascii="Andes" w:hAnsi="Andes" w:cs="Arial"/>
          <w:sz w:val="22"/>
          <w:szCs w:val="22"/>
        </w:rPr>
        <w:t xml:space="preserve"> tiennent compte de facteurs objectifs et mesurables tels que : l’expérience, </w:t>
      </w:r>
      <w:r>
        <w:rPr>
          <w:rFonts w:ascii="Andes" w:hAnsi="Andes" w:cs="Arial"/>
          <w:sz w:val="22"/>
          <w:szCs w:val="22"/>
        </w:rPr>
        <w:t>la qualité satisfaisante d</w:t>
      </w:r>
      <w:r w:rsidRPr="000F54B7">
        <w:rPr>
          <w:rFonts w:ascii="Andes" w:hAnsi="Andes" w:cs="Arial"/>
          <w:sz w:val="22"/>
          <w:szCs w:val="22"/>
        </w:rPr>
        <w:t xml:space="preserve">es performances passées, la bonne </w:t>
      </w:r>
      <w:r>
        <w:rPr>
          <w:rFonts w:ascii="Andes" w:hAnsi="Andes" w:cs="Arial"/>
          <w:sz w:val="22"/>
          <w:szCs w:val="22"/>
        </w:rPr>
        <w:t xml:space="preserve">exécution </w:t>
      </w:r>
      <w:r w:rsidRPr="000F54B7">
        <w:rPr>
          <w:rFonts w:ascii="Andes" w:hAnsi="Andes" w:cs="Arial"/>
          <w:sz w:val="22"/>
          <w:szCs w:val="22"/>
        </w:rPr>
        <w:t xml:space="preserve">de </w:t>
      </w:r>
      <w:r>
        <w:rPr>
          <w:rFonts w:ascii="Andes" w:hAnsi="Andes" w:cs="Arial"/>
          <w:sz w:val="22"/>
          <w:szCs w:val="22"/>
        </w:rPr>
        <w:t xml:space="preserve">marchés </w:t>
      </w:r>
      <w:r w:rsidRPr="000F54B7">
        <w:rPr>
          <w:rFonts w:ascii="Andes" w:hAnsi="Andes" w:cs="Arial"/>
          <w:sz w:val="22"/>
          <w:szCs w:val="22"/>
        </w:rPr>
        <w:t xml:space="preserve">similaires sur une période donnée, la capacité des installations de </w:t>
      </w:r>
      <w:r w:rsidRPr="000F54B7">
        <w:rPr>
          <w:rFonts w:ascii="Andes" w:hAnsi="Andes" w:cs="Arial"/>
          <w:sz w:val="22"/>
          <w:szCs w:val="22"/>
        </w:rPr>
        <w:lastRenderedPageBreak/>
        <w:t xml:space="preserve">construction et/ou de fabrication, la situation financière, et l’éligibilité. Tous les Candidats qui répondent </w:t>
      </w:r>
      <w:r>
        <w:rPr>
          <w:rFonts w:ascii="Andes" w:hAnsi="Andes" w:cs="Arial"/>
          <w:sz w:val="22"/>
          <w:szCs w:val="22"/>
        </w:rPr>
        <w:t xml:space="preserve">pour l’essentiel </w:t>
      </w:r>
      <w:r w:rsidRPr="000F54B7">
        <w:rPr>
          <w:rFonts w:ascii="Andes" w:hAnsi="Andes" w:cs="Arial"/>
          <w:sz w:val="22"/>
          <w:szCs w:val="22"/>
        </w:rPr>
        <w:t xml:space="preserve">aux </w:t>
      </w:r>
      <w:r>
        <w:rPr>
          <w:rFonts w:ascii="Andes" w:hAnsi="Andes" w:cs="Arial"/>
          <w:sz w:val="22"/>
          <w:szCs w:val="22"/>
        </w:rPr>
        <w:t xml:space="preserve">conditions </w:t>
      </w:r>
      <w:r w:rsidRPr="000F54B7">
        <w:rPr>
          <w:rFonts w:ascii="Andes" w:hAnsi="Andes" w:cs="Arial"/>
          <w:sz w:val="22"/>
          <w:szCs w:val="22"/>
        </w:rPr>
        <w:t>de qualification minimales sont invités à soumettre une Offre.</w:t>
      </w:r>
    </w:p>
    <w:p w14:paraId="59CC34D5" w14:textId="1DD51756"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À la fin du processus de </w:t>
      </w:r>
      <w:r w:rsidR="000A7F1B">
        <w:rPr>
          <w:rFonts w:ascii="Andes" w:hAnsi="Andes" w:cs="Arial"/>
          <w:sz w:val="22"/>
          <w:szCs w:val="22"/>
        </w:rPr>
        <w:t>Préqualification</w:t>
      </w:r>
      <w:r w:rsidRPr="000F54B7">
        <w:rPr>
          <w:rFonts w:ascii="Andes" w:hAnsi="Andes" w:cs="Arial"/>
          <w:sz w:val="22"/>
          <w:szCs w:val="22"/>
        </w:rPr>
        <w:t xml:space="preserve">, l’Emprunteur informe tous les Candidats des résultats de la </w:t>
      </w:r>
      <w:r w:rsidR="000A7F1B">
        <w:rPr>
          <w:rFonts w:ascii="Andes" w:hAnsi="Andes" w:cs="Arial"/>
          <w:sz w:val="22"/>
          <w:szCs w:val="22"/>
        </w:rPr>
        <w:t>Préqualification</w:t>
      </w:r>
      <w:r w:rsidRPr="000F54B7">
        <w:rPr>
          <w:rFonts w:ascii="Andes" w:hAnsi="Andes" w:cs="Arial"/>
          <w:sz w:val="22"/>
          <w:szCs w:val="22"/>
        </w:rPr>
        <w:t>. L’invitation à soumettre une Offre envoyée à un Candidat pré</w:t>
      </w:r>
      <w:r w:rsidR="00187283">
        <w:rPr>
          <w:rFonts w:ascii="Andes" w:hAnsi="Andes" w:cs="Arial"/>
          <w:sz w:val="22"/>
          <w:szCs w:val="22"/>
        </w:rPr>
        <w:t>-</w:t>
      </w:r>
      <w:r w:rsidRPr="000F54B7">
        <w:rPr>
          <w:rFonts w:ascii="Andes" w:hAnsi="Andes" w:cs="Arial"/>
          <w:sz w:val="22"/>
          <w:szCs w:val="22"/>
        </w:rPr>
        <w:t>qualifié doit comp</w:t>
      </w:r>
      <w:r>
        <w:rPr>
          <w:rFonts w:ascii="Andes" w:hAnsi="Andes" w:cs="Arial"/>
          <w:sz w:val="22"/>
          <w:szCs w:val="22"/>
        </w:rPr>
        <w:t xml:space="preserve">orter </w:t>
      </w:r>
      <w:r w:rsidRPr="000F54B7">
        <w:rPr>
          <w:rFonts w:ascii="Andes" w:hAnsi="Andes" w:cs="Arial"/>
          <w:sz w:val="22"/>
          <w:szCs w:val="22"/>
        </w:rPr>
        <w:t>le nom de tous les Candidats pré</w:t>
      </w:r>
      <w:r w:rsidR="00187283">
        <w:rPr>
          <w:rFonts w:ascii="Andes" w:hAnsi="Andes" w:cs="Arial"/>
          <w:sz w:val="22"/>
          <w:szCs w:val="22"/>
        </w:rPr>
        <w:t>-</w:t>
      </w:r>
      <w:r w:rsidRPr="000F54B7">
        <w:rPr>
          <w:rFonts w:ascii="Andes" w:hAnsi="Andes" w:cs="Arial"/>
          <w:sz w:val="22"/>
          <w:szCs w:val="22"/>
        </w:rPr>
        <w:t>qualifiés.</w:t>
      </w:r>
    </w:p>
    <w:p w14:paraId="0A13A387" w14:textId="77777777" w:rsidR="006D600B" w:rsidRPr="000F54B7" w:rsidRDefault="006D600B" w:rsidP="006D600B">
      <w:pPr>
        <w:spacing w:before="240" w:line="240" w:lineRule="auto"/>
        <w:contextualSpacing w:val="0"/>
        <w:rPr>
          <w:rFonts w:ascii="Andes" w:hAnsi="Andes"/>
          <w:b/>
          <w:sz w:val="28"/>
          <w:szCs w:val="28"/>
        </w:rPr>
      </w:pPr>
      <w:r w:rsidRPr="000F54B7">
        <w:rPr>
          <w:rFonts w:ascii="Andes" w:hAnsi="Andes"/>
          <w:b/>
          <w:sz w:val="28"/>
          <w:szCs w:val="28"/>
        </w:rPr>
        <w:t xml:space="preserve">Sélection </w:t>
      </w:r>
      <w:r>
        <w:rPr>
          <w:rFonts w:ascii="Andes" w:hAnsi="Andes"/>
          <w:b/>
          <w:sz w:val="28"/>
          <w:szCs w:val="28"/>
        </w:rPr>
        <w:t>I</w:t>
      </w:r>
      <w:r w:rsidRPr="000F54B7">
        <w:rPr>
          <w:rFonts w:ascii="Andes" w:hAnsi="Andes"/>
          <w:b/>
          <w:sz w:val="28"/>
          <w:szCs w:val="28"/>
        </w:rPr>
        <w:t>nitiale</w:t>
      </w:r>
    </w:p>
    <w:p w14:paraId="2E7524D9" w14:textId="2960763B"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La Sélection Initiale doit </w:t>
      </w:r>
      <w:r>
        <w:rPr>
          <w:rFonts w:ascii="Andes" w:hAnsi="Andes" w:cs="Arial"/>
          <w:sz w:val="22"/>
          <w:szCs w:val="22"/>
        </w:rPr>
        <w:t xml:space="preserve">normalement </w:t>
      </w:r>
      <w:r w:rsidRPr="000F54B7">
        <w:rPr>
          <w:rFonts w:ascii="Andes" w:hAnsi="Andes" w:cs="Arial"/>
          <w:sz w:val="22"/>
          <w:szCs w:val="22"/>
        </w:rPr>
        <w:t xml:space="preserve">être utilisée pour les Appels à Propositions et </w:t>
      </w:r>
      <w:r>
        <w:rPr>
          <w:rFonts w:ascii="Andes" w:hAnsi="Andes" w:cs="Arial"/>
          <w:sz w:val="22"/>
          <w:szCs w:val="22"/>
        </w:rPr>
        <w:t xml:space="preserve">est obligatoire </w:t>
      </w:r>
      <w:r w:rsidRPr="000F54B7">
        <w:rPr>
          <w:rFonts w:ascii="Andes" w:hAnsi="Andes" w:cs="Arial"/>
          <w:sz w:val="22"/>
          <w:szCs w:val="22"/>
        </w:rPr>
        <w:t>pour tous les processus de Dialogue C</w:t>
      </w:r>
      <w:r w:rsidR="00187283">
        <w:rPr>
          <w:rFonts w:ascii="Andes" w:hAnsi="Andes" w:cs="Arial"/>
          <w:sz w:val="22"/>
          <w:szCs w:val="22"/>
        </w:rPr>
        <w:t>ompétitif</w:t>
      </w:r>
      <w:r w:rsidRPr="000F54B7">
        <w:rPr>
          <w:rFonts w:ascii="Andes" w:hAnsi="Andes" w:cs="Arial"/>
          <w:sz w:val="22"/>
          <w:szCs w:val="22"/>
        </w:rPr>
        <w:t xml:space="preserve">. Elle permet à l’Emprunteur de n’inviter à soumettre des Propositions que les Candidats les mieux </w:t>
      </w:r>
      <w:r>
        <w:rPr>
          <w:rFonts w:ascii="Andes" w:hAnsi="Andes" w:cs="Arial"/>
          <w:sz w:val="22"/>
          <w:szCs w:val="22"/>
        </w:rPr>
        <w:t>classés</w:t>
      </w:r>
      <w:r w:rsidRPr="000F54B7">
        <w:rPr>
          <w:rFonts w:ascii="Andes" w:hAnsi="Andes" w:cs="Arial"/>
          <w:sz w:val="22"/>
          <w:szCs w:val="22"/>
        </w:rPr>
        <w:t xml:space="preserve">. La Sélection Initiale se déroule en deux étapes. La première est identique au processus de </w:t>
      </w:r>
      <w:r w:rsidR="000A7F1B">
        <w:rPr>
          <w:rFonts w:ascii="Andes" w:hAnsi="Andes" w:cs="Arial"/>
          <w:sz w:val="22"/>
          <w:szCs w:val="22"/>
        </w:rPr>
        <w:t>Préqualification</w:t>
      </w:r>
      <w:r w:rsidRPr="000F54B7">
        <w:rPr>
          <w:rFonts w:ascii="Andes" w:hAnsi="Andes" w:cs="Arial"/>
          <w:sz w:val="22"/>
          <w:szCs w:val="22"/>
        </w:rPr>
        <w:t xml:space="preserve"> décrit plus haut. Elle aboutit à une première liste de Candidats. Ces Candidats sont ensuite évalués </w:t>
      </w:r>
      <w:r>
        <w:rPr>
          <w:rFonts w:ascii="Andes" w:hAnsi="Andes" w:cs="Arial"/>
          <w:sz w:val="22"/>
          <w:szCs w:val="22"/>
        </w:rPr>
        <w:t>à l’aide de différents critères notés et</w:t>
      </w:r>
      <w:r w:rsidRPr="000F54B7">
        <w:rPr>
          <w:rFonts w:ascii="Andes" w:hAnsi="Andes" w:cs="Arial"/>
          <w:sz w:val="22"/>
          <w:szCs w:val="22"/>
        </w:rPr>
        <w:t xml:space="preserve"> classé</w:t>
      </w:r>
      <w:r>
        <w:rPr>
          <w:rFonts w:ascii="Andes" w:hAnsi="Andes" w:cs="Arial"/>
          <w:sz w:val="22"/>
          <w:szCs w:val="22"/>
        </w:rPr>
        <w:t>s</w:t>
      </w:r>
      <w:r w:rsidRPr="000F54B7">
        <w:rPr>
          <w:rFonts w:ascii="Andes" w:hAnsi="Andes" w:cs="Arial"/>
          <w:sz w:val="22"/>
          <w:szCs w:val="22"/>
        </w:rPr>
        <w:t xml:space="preserve"> en fonction </w:t>
      </w:r>
      <w:r>
        <w:rPr>
          <w:rFonts w:ascii="Andes" w:hAnsi="Andes" w:cs="Arial"/>
          <w:sz w:val="22"/>
          <w:szCs w:val="22"/>
        </w:rPr>
        <w:t>des scores ainsi obtenus. L</w:t>
      </w:r>
      <w:r w:rsidRPr="000F54B7">
        <w:rPr>
          <w:rFonts w:ascii="Andes" w:hAnsi="Andes" w:cs="Arial"/>
          <w:sz w:val="22"/>
          <w:szCs w:val="22"/>
        </w:rPr>
        <w:t xml:space="preserve">’Emprunteur sélectionne </w:t>
      </w:r>
      <w:r>
        <w:rPr>
          <w:rFonts w:ascii="Andes" w:hAnsi="Andes" w:cs="Arial"/>
          <w:sz w:val="22"/>
          <w:szCs w:val="22"/>
        </w:rPr>
        <w:t xml:space="preserve">alors </w:t>
      </w:r>
      <w:r w:rsidRPr="000F54B7">
        <w:rPr>
          <w:rFonts w:ascii="Andes" w:hAnsi="Andes" w:cs="Arial"/>
          <w:sz w:val="22"/>
          <w:szCs w:val="22"/>
        </w:rPr>
        <w:t xml:space="preserve">les Candidats </w:t>
      </w:r>
      <w:r>
        <w:rPr>
          <w:rFonts w:ascii="Andes" w:hAnsi="Andes" w:cs="Arial"/>
          <w:sz w:val="22"/>
          <w:szCs w:val="22"/>
        </w:rPr>
        <w:t>les mieux classés</w:t>
      </w:r>
      <w:r w:rsidRPr="000F54B7">
        <w:rPr>
          <w:rFonts w:ascii="Andes" w:hAnsi="Andes" w:cs="Arial"/>
          <w:sz w:val="22"/>
          <w:szCs w:val="22"/>
        </w:rPr>
        <w:t xml:space="preserve"> pour le</w:t>
      </w:r>
      <w:r>
        <w:rPr>
          <w:rFonts w:ascii="Andes" w:hAnsi="Andes" w:cs="Arial"/>
          <w:sz w:val="22"/>
          <w:szCs w:val="22"/>
        </w:rPr>
        <w:t xml:space="preserve">s inviter à </w:t>
      </w:r>
      <w:r w:rsidRPr="000F54B7">
        <w:rPr>
          <w:rFonts w:ascii="Andes" w:hAnsi="Andes" w:cs="Arial"/>
          <w:sz w:val="22"/>
          <w:szCs w:val="22"/>
        </w:rPr>
        <w:t xml:space="preserve">soumettre des Propositions. </w:t>
      </w:r>
      <w:r>
        <w:rPr>
          <w:rFonts w:ascii="Andes" w:hAnsi="Andes" w:cs="Arial"/>
          <w:sz w:val="22"/>
          <w:szCs w:val="22"/>
        </w:rPr>
        <w:t>Il indique</w:t>
      </w:r>
      <w:r w:rsidRPr="000F54B7">
        <w:rPr>
          <w:rFonts w:ascii="Andes" w:hAnsi="Andes" w:cs="Arial"/>
          <w:sz w:val="22"/>
          <w:szCs w:val="22"/>
        </w:rPr>
        <w:t xml:space="preserve"> dans le </w:t>
      </w:r>
      <w:r>
        <w:rPr>
          <w:rFonts w:ascii="Andes" w:hAnsi="Andes" w:cs="Arial"/>
          <w:sz w:val="22"/>
          <w:szCs w:val="22"/>
        </w:rPr>
        <w:t xml:space="preserve">dossier </w:t>
      </w:r>
      <w:r w:rsidRPr="000F54B7">
        <w:rPr>
          <w:rFonts w:ascii="Andes" w:hAnsi="Andes" w:cs="Arial"/>
          <w:sz w:val="22"/>
          <w:szCs w:val="22"/>
        </w:rPr>
        <w:t xml:space="preserve">de sélection initiale </w:t>
      </w:r>
      <w:r>
        <w:rPr>
          <w:rFonts w:ascii="Andes" w:hAnsi="Andes" w:cs="Arial"/>
          <w:sz w:val="22"/>
          <w:szCs w:val="22"/>
        </w:rPr>
        <w:t>la fourchette de</w:t>
      </w:r>
      <w:r w:rsidRPr="000F54B7">
        <w:rPr>
          <w:rFonts w:ascii="Andes" w:hAnsi="Andes" w:cs="Arial"/>
          <w:sz w:val="22"/>
          <w:szCs w:val="22"/>
        </w:rPr>
        <w:t xml:space="preserve"> Candidats qui pourront être retenus à l’issue de la Sélection Initiale.</w:t>
      </w:r>
    </w:p>
    <w:p w14:paraId="5F135227" w14:textId="713D8D2D"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À la fin du processus de Sélection Initiale, l’Emprunteur informe tous les Candidats des résultats de la Sélection Initiale. L’inv</w:t>
      </w:r>
      <w:r>
        <w:rPr>
          <w:rFonts w:ascii="Andes" w:hAnsi="Andes" w:cs="Arial"/>
          <w:sz w:val="22"/>
          <w:szCs w:val="22"/>
        </w:rPr>
        <w:t>it</w:t>
      </w:r>
      <w:r w:rsidRPr="000F54B7">
        <w:rPr>
          <w:rFonts w:ascii="Andes" w:hAnsi="Andes" w:cs="Arial"/>
          <w:sz w:val="22"/>
          <w:szCs w:val="22"/>
        </w:rPr>
        <w:t xml:space="preserve">ation à soumettre une Proposition qui est envoyée à un Candidat </w:t>
      </w:r>
      <w:r>
        <w:rPr>
          <w:rFonts w:ascii="Andes" w:hAnsi="Andes" w:cs="Arial"/>
          <w:sz w:val="22"/>
          <w:szCs w:val="22"/>
        </w:rPr>
        <w:t xml:space="preserve">initialement sélectionné </w:t>
      </w:r>
      <w:r w:rsidRPr="000F54B7">
        <w:rPr>
          <w:rFonts w:ascii="Andes" w:hAnsi="Andes" w:cs="Arial"/>
          <w:sz w:val="22"/>
          <w:szCs w:val="22"/>
        </w:rPr>
        <w:t xml:space="preserve">doit comprendre le nom de tous les Candidats </w:t>
      </w:r>
      <w:r>
        <w:rPr>
          <w:rFonts w:ascii="Andes" w:hAnsi="Andes" w:cs="Arial"/>
          <w:sz w:val="22"/>
          <w:szCs w:val="22"/>
        </w:rPr>
        <w:t>initialement sélectionnés</w:t>
      </w:r>
      <w:r w:rsidRPr="000F54B7">
        <w:rPr>
          <w:rFonts w:ascii="Andes" w:hAnsi="Andes" w:cs="Arial"/>
          <w:sz w:val="22"/>
          <w:szCs w:val="22"/>
        </w:rPr>
        <w:t>.</w:t>
      </w:r>
    </w:p>
    <w:p w14:paraId="03437A4A" w14:textId="77777777" w:rsidR="006D600B" w:rsidRPr="000F54B7" w:rsidRDefault="006D600B" w:rsidP="006D600B">
      <w:pPr>
        <w:spacing w:before="240" w:line="240" w:lineRule="auto"/>
        <w:contextualSpacing w:val="0"/>
        <w:rPr>
          <w:rFonts w:ascii="Andes" w:hAnsi="Andes"/>
          <w:sz w:val="28"/>
        </w:rPr>
      </w:pPr>
      <w:bookmarkStart w:id="2942" w:name="_Toc453170905"/>
      <w:r w:rsidRPr="000F54B7">
        <w:rPr>
          <w:rFonts w:ascii="Andes" w:hAnsi="Andes"/>
          <w:b/>
          <w:sz w:val="28"/>
          <w:szCs w:val="28"/>
        </w:rPr>
        <w:t>Post-qualification</w:t>
      </w:r>
      <w:bookmarkEnd w:id="2942"/>
    </w:p>
    <w:p w14:paraId="4EB70D5F" w14:textId="6433CEFA"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Si les Soumissionnaires</w:t>
      </w:r>
      <w:r>
        <w:rPr>
          <w:rFonts w:ascii="Andes" w:hAnsi="Andes" w:cs="Arial"/>
          <w:sz w:val="22"/>
          <w:szCs w:val="22"/>
        </w:rPr>
        <w:t>/</w:t>
      </w:r>
      <w:r w:rsidRPr="000F54B7">
        <w:rPr>
          <w:rFonts w:ascii="Andes" w:hAnsi="Andes" w:cs="Arial"/>
          <w:sz w:val="22"/>
          <w:szCs w:val="22"/>
        </w:rPr>
        <w:t xml:space="preserve">Proposants ne font pas l’objet d’une </w:t>
      </w:r>
      <w:r w:rsidR="000A7F1B">
        <w:rPr>
          <w:rFonts w:ascii="Andes" w:hAnsi="Andes" w:cs="Arial"/>
          <w:sz w:val="22"/>
          <w:szCs w:val="22"/>
        </w:rPr>
        <w:t>Préqualification</w:t>
      </w:r>
      <w:r>
        <w:rPr>
          <w:rFonts w:ascii="Andes" w:hAnsi="Andes" w:cs="Arial"/>
          <w:sz w:val="22"/>
          <w:szCs w:val="22"/>
        </w:rPr>
        <w:t>/</w:t>
      </w:r>
      <w:r w:rsidRPr="000F54B7">
        <w:rPr>
          <w:rFonts w:ascii="Andes" w:hAnsi="Andes" w:cs="Arial"/>
          <w:sz w:val="22"/>
          <w:szCs w:val="22"/>
        </w:rPr>
        <w:t xml:space="preserve">Sélection Initiale, l’Emprunteur doit préciser les critères de qualification </w:t>
      </w:r>
      <w:r>
        <w:rPr>
          <w:rFonts w:ascii="Andes" w:hAnsi="Andes" w:cs="Arial"/>
          <w:sz w:val="22"/>
          <w:szCs w:val="22"/>
        </w:rPr>
        <w:t xml:space="preserve">appliqués </w:t>
      </w:r>
      <w:r w:rsidRPr="000F54B7">
        <w:rPr>
          <w:rFonts w:ascii="Andes" w:hAnsi="Andes" w:cs="Arial"/>
          <w:sz w:val="22"/>
          <w:szCs w:val="22"/>
        </w:rPr>
        <w:t xml:space="preserve">dans le </w:t>
      </w:r>
      <w:r>
        <w:rPr>
          <w:rFonts w:ascii="Andes" w:hAnsi="Andes" w:cs="Arial"/>
          <w:sz w:val="22"/>
          <w:szCs w:val="22"/>
        </w:rPr>
        <w:t xml:space="preserve">dossier </w:t>
      </w:r>
      <w:r w:rsidRPr="000F54B7">
        <w:rPr>
          <w:rFonts w:ascii="Andes" w:hAnsi="Andes" w:cs="Arial"/>
          <w:sz w:val="22"/>
          <w:szCs w:val="22"/>
        </w:rPr>
        <w:t>d’</w:t>
      </w:r>
      <w:r w:rsidR="00C51DF5">
        <w:rPr>
          <w:rFonts w:ascii="Andes" w:hAnsi="Andes" w:cs="Arial"/>
          <w:sz w:val="22"/>
          <w:szCs w:val="22"/>
        </w:rPr>
        <w:t>Appel d’Offres/ à Propositions</w:t>
      </w:r>
      <w:r w:rsidRPr="000F54B7">
        <w:rPr>
          <w:rFonts w:ascii="Andes" w:hAnsi="Andes" w:cs="Arial"/>
          <w:sz w:val="22"/>
          <w:szCs w:val="22"/>
        </w:rPr>
        <w:t xml:space="preserve"> afin de vérifier qu</w:t>
      </w:r>
      <w:r w:rsidR="00B63144">
        <w:rPr>
          <w:rFonts w:ascii="Andes" w:hAnsi="Andes" w:cs="Arial"/>
          <w:sz w:val="22"/>
          <w:szCs w:val="22"/>
        </w:rPr>
        <w:t xml:space="preserve">e les </w:t>
      </w:r>
      <w:r w:rsidRPr="000F54B7">
        <w:rPr>
          <w:rFonts w:ascii="Andes" w:hAnsi="Andes" w:cs="Arial"/>
          <w:sz w:val="22"/>
          <w:szCs w:val="22"/>
        </w:rPr>
        <w:t>Soumissionnaire</w:t>
      </w:r>
      <w:r w:rsidR="00B63144">
        <w:rPr>
          <w:rFonts w:ascii="Andes" w:hAnsi="Andes" w:cs="Arial"/>
          <w:sz w:val="22"/>
          <w:szCs w:val="22"/>
        </w:rPr>
        <w:t>s</w:t>
      </w:r>
      <w:r>
        <w:rPr>
          <w:rFonts w:ascii="Andes" w:hAnsi="Andes" w:cs="Arial"/>
          <w:sz w:val="22"/>
          <w:szCs w:val="22"/>
        </w:rPr>
        <w:t>/</w:t>
      </w:r>
      <w:r w:rsidRPr="000F54B7">
        <w:rPr>
          <w:rFonts w:ascii="Andes" w:hAnsi="Andes" w:cs="Arial"/>
          <w:sz w:val="22"/>
          <w:szCs w:val="22"/>
        </w:rPr>
        <w:t>Proposant</w:t>
      </w:r>
      <w:r w:rsidR="00B63144">
        <w:rPr>
          <w:rFonts w:ascii="Andes" w:hAnsi="Andes" w:cs="Arial"/>
          <w:sz w:val="22"/>
          <w:szCs w:val="22"/>
        </w:rPr>
        <w:t>s</w:t>
      </w:r>
      <w:r w:rsidRPr="000F54B7">
        <w:rPr>
          <w:rFonts w:ascii="Andes" w:hAnsi="Andes" w:cs="Arial"/>
          <w:sz w:val="22"/>
          <w:szCs w:val="22"/>
        </w:rPr>
        <w:t xml:space="preserve"> qui serait recommandé pour l’attribution du marché </w:t>
      </w:r>
      <w:r w:rsidR="00EB165A">
        <w:rPr>
          <w:rFonts w:ascii="Andes" w:hAnsi="Andes" w:cs="Arial"/>
          <w:sz w:val="22"/>
          <w:szCs w:val="22"/>
        </w:rPr>
        <w:t>ont</w:t>
      </w:r>
      <w:r w:rsidRPr="000F54B7">
        <w:rPr>
          <w:rFonts w:ascii="Andes" w:hAnsi="Andes" w:cs="Arial"/>
          <w:sz w:val="22"/>
          <w:szCs w:val="22"/>
        </w:rPr>
        <w:t xml:space="preserve"> la capacité et les moyens d’exécuter le </w:t>
      </w:r>
      <w:r>
        <w:rPr>
          <w:rFonts w:ascii="Andes" w:hAnsi="Andes" w:cs="Arial"/>
          <w:sz w:val="22"/>
          <w:szCs w:val="22"/>
        </w:rPr>
        <w:t xml:space="preserve">marché </w:t>
      </w:r>
      <w:r w:rsidRPr="000F54B7">
        <w:rPr>
          <w:rFonts w:ascii="Andes" w:hAnsi="Andes" w:cs="Arial"/>
          <w:sz w:val="22"/>
          <w:szCs w:val="22"/>
        </w:rPr>
        <w:t xml:space="preserve">convenablement. L’évaluation des qualifications d’une entreprise ne prendra pas en compte les qualifications d’autres entreprises telles que ses filiales, maisons mères, entreprises apparentées, sous-traitants (autres que les sous-traitants spécialisés si le </w:t>
      </w:r>
      <w:r>
        <w:rPr>
          <w:rFonts w:ascii="Andes" w:hAnsi="Andes" w:cs="Arial"/>
          <w:sz w:val="22"/>
          <w:szCs w:val="22"/>
        </w:rPr>
        <w:t>dossier d’</w:t>
      </w:r>
      <w:r w:rsidR="00C51DF5">
        <w:rPr>
          <w:rFonts w:ascii="Andes" w:hAnsi="Andes" w:cs="Arial"/>
          <w:sz w:val="22"/>
          <w:szCs w:val="22"/>
        </w:rPr>
        <w:t>Appel d’Offres/ à Propositions</w:t>
      </w:r>
      <w:r>
        <w:rPr>
          <w:rFonts w:ascii="Andes" w:hAnsi="Andes" w:cs="Arial"/>
          <w:sz w:val="22"/>
          <w:szCs w:val="22"/>
        </w:rPr>
        <w:t xml:space="preserve"> </w:t>
      </w:r>
      <w:r w:rsidRPr="000F54B7">
        <w:rPr>
          <w:rFonts w:ascii="Andes" w:hAnsi="Andes" w:cs="Arial"/>
          <w:sz w:val="22"/>
          <w:szCs w:val="22"/>
        </w:rPr>
        <w:t>l’autorise), ou de toute autre entreprise différente de celle qui soumet l’Offre</w:t>
      </w:r>
      <w:r>
        <w:rPr>
          <w:rFonts w:ascii="Andes" w:hAnsi="Andes" w:cs="Arial"/>
          <w:sz w:val="22"/>
          <w:szCs w:val="22"/>
        </w:rPr>
        <w:t>/</w:t>
      </w:r>
      <w:r w:rsidRPr="000F54B7">
        <w:rPr>
          <w:rFonts w:ascii="Andes" w:hAnsi="Andes" w:cs="Arial"/>
          <w:sz w:val="22"/>
          <w:szCs w:val="22"/>
        </w:rPr>
        <w:t>Proposition.</w:t>
      </w:r>
    </w:p>
    <w:p w14:paraId="5F88E0F6" w14:textId="77777777" w:rsidR="006D600B" w:rsidRPr="000F54B7" w:rsidRDefault="006D600B" w:rsidP="00F962F4">
      <w:pPr>
        <w:keepNext/>
        <w:spacing w:before="240" w:line="240" w:lineRule="auto"/>
        <w:contextualSpacing w:val="0"/>
        <w:rPr>
          <w:rFonts w:ascii="Andes" w:hAnsi="Andes"/>
          <w:sz w:val="28"/>
        </w:rPr>
      </w:pPr>
      <w:bookmarkStart w:id="2943" w:name="_Toc453170906"/>
      <w:r w:rsidRPr="000F54B7">
        <w:rPr>
          <w:rFonts w:ascii="Andes" w:hAnsi="Andes"/>
          <w:b/>
          <w:sz w:val="28"/>
          <w:szCs w:val="28"/>
        </w:rPr>
        <w:t>Une seule étape et enveloppe</w:t>
      </w:r>
      <w:bookmarkEnd w:id="2943"/>
      <w:r w:rsidRPr="000F54B7">
        <w:rPr>
          <w:rFonts w:ascii="Andes" w:hAnsi="Andes"/>
          <w:b/>
          <w:sz w:val="28"/>
          <w:szCs w:val="28"/>
        </w:rPr>
        <w:t xml:space="preserve"> unique</w:t>
      </w:r>
    </w:p>
    <w:p w14:paraId="212B19FB" w14:textId="77777777"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La passation de marchés en une seule étape est la plus appropriée lorsque les spécifications et les exigences </w:t>
      </w:r>
      <w:r>
        <w:rPr>
          <w:rFonts w:ascii="Andes" w:hAnsi="Andes" w:cs="Arial"/>
          <w:sz w:val="22"/>
          <w:szCs w:val="22"/>
        </w:rPr>
        <w:t xml:space="preserve">définies </w:t>
      </w:r>
      <w:r w:rsidRPr="000F54B7">
        <w:rPr>
          <w:rFonts w:ascii="Andes" w:hAnsi="Andes" w:cs="Arial"/>
          <w:sz w:val="22"/>
          <w:szCs w:val="22"/>
        </w:rPr>
        <w:t>sont suffisantes pour permettre de soumettre des Offres</w:t>
      </w:r>
      <w:r>
        <w:rPr>
          <w:rFonts w:ascii="Andes" w:hAnsi="Andes" w:cs="Arial"/>
          <w:sz w:val="22"/>
          <w:szCs w:val="22"/>
        </w:rPr>
        <w:t>/</w:t>
      </w:r>
      <w:r w:rsidRPr="000F54B7">
        <w:rPr>
          <w:rFonts w:ascii="Andes" w:hAnsi="Andes" w:cs="Arial"/>
          <w:sz w:val="22"/>
          <w:szCs w:val="22"/>
        </w:rPr>
        <w:t xml:space="preserve">Propositions complètes. La passation de marchés en une seule étape </w:t>
      </w:r>
      <w:r>
        <w:rPr>
          <w:rFonts w:ascii="Andes" w:hAnsi="Andes" w:cs="Arial"/>
          <w:sz w:val="22"/>
          <w:szCs w:val="22"/>
        </w:rPr>
        <w:t xml:space="preserve">à </w:t>
      </w:r>
      <w:r w:rsidRPr="000F54B7">
        <w:rPr>
          <w:rFonts w:ascii="Andes" w:hAnsi="Andes" w:cs="Arial"/>
          <w:sz w:val="22"/>
          <w:szCs w:val="22"/>
        </w:rPr>
        <w:t xml:space="preserve">enveloppe </w:t>
      </w:r>
      <w:r>
        <w:rPr>
          <w:rFonts w:ascii="Andes" w:hAnsi="Andes" w:cs="Arial"/>
          <w:sz w:val="22"/>
          <w:szCs w:val="22"/>
        </w:rPr>
        <w:t xml:space="preserve">unique </w:t>
      </w:r>
      <w:r w:rsidRPr="000F54B7">
        <w:rPr>
          <w:rFonts w:ascii="Andes" w:hAnsi="Andes" w:cs="Arial"/>
          <w:sz w:val="22"/>
          <w:szCs w:val="22"/>
        </w:rPr>
        <w:t>nécessite de soumettre les Offres</w:t>
      </w:r>
      <w:r>
        <w:rPr>
          <w:rFonts w:ascii="Andes" w:hAnsi="Andes" w:cs="Arial"/>
          <w:sz w:val="22"/>
          <w:szCs w:val="22"/>
        </w:rPr>
        <w:t>/</w:t>
      </w:r>
      <w:r w:rsidRPr="000F54B7">
        <w:rPr>
          <w:rFonts w:ascii="Andes" w:hAnsi="Andes" w:cs="Arial"/>
          <w:sz w:val="22"/>
          <w:szCs w:val="22"/>
        </w:rPr>
        <w:t xml:space="preserve">Propositions à la fois techniques et financières sous une seule enveloppe. </w:t>
      </w:r>
    </w:p>
    <w:p w14:paraId="0D907925" w14:textId="615DE005" w:rsidR="006D600B" w:rsidRPr="000F54B7" w:rsidRDefault="006D600B" w:rsidP="006D600B">
      <w:pPr>
        <w:spacing w:before="240" w:line="240" w:lineRule="auto"/>
        <w:contextualSpacing w:val="0"/>
        <w:rPr>
          <w:rFonts w:ascii="Andes" w:hAnsi="Andes"/>
          <w:sz w:val="28"/>
        </w:rPr>
      </w:pPr>
      <w:bookmarkStart w:id="2944" w:name="_Toc453170907"/>
      <w:r w:rsidRPr="000F54B7">
        <w:rPr>
          <w:rFonts w:ascii="Andes" w:hAnsi="Andes"/>
          <w:b/>
          <w:sz w:val="28"/>
          <w:szCs w:val="28"/>
        </w:rPr>
        <w:t xml:space="preserve">Une seule étape et </w:t>
      </w:r>
      <w:r w:rsidR="00D75B95">
        <w:rPr>
          <w:rFonts w:ascii="Andes" w:hAnsi="Andes"/>
          <w:b/>
          <w:sz w:val="28"/>
          <w:szCs w:val="28"/>
        </w:rPr>
        <w:t>deux</w:t>
      </w:r>
      <w:r w:rsidR="00D75B95" w:rsidRPr="000F54B7">
        <w:rPr>
          <w:rFonts w:ascii="Andes" w:hAnsi="Andes"/>
          <w:b/>
          <w:sz w:val="28"/>
          <w:szCs w:val="28"/>
        </w:rPr>
        <w:t xml:space="preserve"> </w:t>
      </w:r>
      <w:r w:rsidRPr="000F54B7">
        <w:rPr>
          <w:rFonts w:ascii="Andes" w:hAnsi="Andes"/>
          <w:b/>
          <w:sz w:val="28"/>
          <w:szCs w:val="28"/>
        </w:rPr>
        <w:t>enveloppe</w:t>
      </w:r>
      <w:bookmarkEnd w:id="2944"/>
      <w:r w:rsidR="00D75B95">
        <w:rPr>
          <w:rFonts w:ascii="Andes" w:hAnsi="Andes"/>
          <w:b/>
          <w:sz w:val="28"/>
          <w:szCs w:val="28"/>
        </w:rPr>
        <w:t>s</w:t>
      </w:r>
    </w:p>
    <w:p w14:paraId="7A843470" w14:textId="2A9D7302"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Si le cas s’y prête, un processus à</w:t>
      </w:r>
      <w:r w:rsidR="00D75B95">
        <w:rPr>
          <w:rFonts w:ascii="Andes" w:hAnsi="Andes" w:cs="Arial"/>
          <w:sz w:val="22"/>
          <w:szCs w:val="22"/>
        </w:rPr>
        <w:t xml:space="preserve"> deux</w:t>
      </w:r>
      <w:r w:rsidR="00D75B95" w:rsidRPr="000F54B7">
        <w:rPr>
          <w:rFonts w:ascii="Andes" w:hAnsi="Andes" w:cs="Arial"/>
          <w:sz w:val="22"/>
          <w:szCs w:val="22"/>
        </w:rPr>
        <w:t xml:space="preserve"> </w:t>
      </w:r>
      <w:r w:rsidRPr="000F54B7">
        <w:rPr>
          <w:rFonts w:ascii="Andes" w:hAnsi="Andes" w:cs="Arial"/>
          <w:sz w:val="22"/>
          <w:szCs w:val="22"/>
        </w:rPr>
        <w:t>enveloppe</w:t>
      </w:r>
      <w:r w:rsidR="00D75B95">
        <w:rPr>
          <w:rFonts w:ascii="Andes" w:hAnsi="Andes" w:cs="Arial"/>
          <w:sz w:val="22"/>
          <w:szCs w:val="22"/>
        </w:rPr>
        <w:t>s</w:t>
      </w:r>
      <w:r w:rsidRPr="000F54B7">
        <w:rPr>
          <w:rFonts w:ascii="Andes" w:hAnsi="Andes" w:cs="Arial"/>
          <w:sz w:val="22"/>
          <w:szCs w:val="22"/>
        </w:rPr>
        <w:t xml:space="preserve"> peut être utilisé pour une passation de marchés en une seule étape. La première enveloppe contient les qualifications et la partie technique, et la deuxième enveloppe contient la partie financière (prix) ; les deux enveloppes sont ouvertes et évaluées l’une après l’autre. </w:t>
      </w:r>
      <w:r w:rsidR="00742906">
        <w:rPr>
          <w:rFonts w:ascii="Andes" w:hAnsi="Andes" w:cs="Arial"/>
          <w:sz w:val="22"/>
          <w:szCs w:val="22"/>
        </w:rPr>
        <w:t>Lorsqu</w:t>
      </w:r>
      <w:r w:rsidR="00A9558A">
        <w:rPr>
          <w:rFonts w:ascii="Andes" w:hAnsi="Andes" w:cs="Arial"/>
          <w:sz w:val="22"/>
          <w:szCs w:val="22"/>
        </w:rPr>
        <w:t>e des Critères Notés sont utilisés, un processus</w:t>
      </w:r>
      <w:r w:rsidR="009D0A1A">
        <w:rPr>
          <w:rFonts w:ascii="Andes" w:hAnsi="Andes" w:cs="Arial"/>
          <w:sz w:val="22"/>
          <w:szCs w:val="22"/>
        </w:rPr>
        <w:t xml:space="preserve"> à deux enveloppes doit être appliqué.</w:t>
      </w:r>
      <w:r w:rsidR="00A9558A">
        <w:rPr>
          <w:rFonts w:ascii="Andes" w:hAnsi="Andes" w:cs="Arial"/>
          <w:sz w:val="22"/>
          <w:szCs w:val="22"/>
        </w:rPr>
        <w:t xml:space="preserve"> </w:t>
      </w:r>
    </w:p>
    <w:p w14:paraId="3CDCAF23" w14:textId="77777777" w:rsidR="006D600B" w:rsidRPr="000F54B7" w:rsidRDefault="006D600B" w:rsidP="006D600B">
      <w:pPr>
        <w:spacing w:before="240" w:line="240" w:lineRule="auto"/>
        <w:contextualSpacing w:val="0"/>
        <w:rPr>
          <w:rFonts w:ascii="Andes" w:hAnsi="Andes"/>
          <w:sz w:val="28"/>
        </w:rPr>
      </w:pPr>
      <w:bookmarkStart w:id="2945" w:name="_Toc453170908"/>
      <w:r w:rsidRPr="000F54B7">
        <w:rPr>
          <w:rFonts w:ascii="Andes" w:hAnsi="Andes"/>
          <w:b/>
          <w:sz w:val="28"/>
          <w:szCs w:val="28"/>
        </w:rPr>
        <w:lastRenderedPageBreak/>
        <w:t>Passation de marchés en plusieurs étapes</w:t>
      </w:r>
      <w:bookmarkEnd w:id="2945"/>
    </w:p>
    <w:p w14:paraId="7937B4B1" w14:textId="77777777"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Il est souvent </w:t>
      </w:r>
      <w:r>
        <w:rPr>
          <w:rFonts w:ascii="Andes" w:hAnsi="Andes" w:cs="Arial"/>
          <w:sz w:val="22"/>
          <w:szCs w:val="22"/>
        </w:rPr>
        <w:t xml:space="preserve">impossible </w:t>
      </w:r>
      <w:r w:rsidRPr="000F54B7">
        <w:rPr>
          <w:rFonts w:ascii="Andes" w:hAnsi="Andes" w:cs="Arial"/>
          <w:sz w:val="22"/>
          <w:szCs w:val="22"/>
        </w:rPr>
        <w:t>de préparer un cahier des charges technique complet à l’avance dans le cas de marchés portant sur :</w:t>
      </w:r>
    </w:p>
    <w:p w14:paraId="691BE87A" w14:textId="77777777" w:rsidR="006D600B" w:rsidRPr="000F54B7" w:rsidRDefault="006D600B" w:rsidP="006D600B">
      <w:pPr>
        <w:pStyle w:val="Paragraphedeliste"/>
        <w:numPr>
          <w:ilvl w:val="0"/>
          <w:numId w:val="175"/>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de grand</w:t>
      </w:r>
      <w:r>
        <w:rPr>
          <w:rFonts w:ascii="Andes" w:eastAsiaTheme="minorHAnsi" w:hAnsi="Andes" w:cs="Arial"/>
          <w:color w:val="000000"/>
          <w:sz w:val="22"/>
          <w:szCs w:val="22"/>
        </w:rPr>
        <w:t>e</w:t>
      </w:r>
      <w:r w:rsidRPr="000F54B7">
        <w:rPr>
          <w:rFonts w:ascii="Andes" w:eastAsiaTheme="minorHAnsi" w:hAnsi="Andes" w:cs="Arial"/>
          <w:color w:val="000000"/>
          <w:sz w:val="22"/>
          <w:szCs w:val="22"/>
        </w:rPr>
        <w:t xml:space="preserve">s </w:t>
      </w:r>
      <w:r>
        <w:rPr>
          <w:rFonts w:ascii="Andes" w:eastAsiaTheme="minorHAnsi" w:hAnsi="Andes" w:cs="Arial"/>
          <w:color w:val="000000"/>
          <w:sz w:val="22"/>
          <w:szCs w:val="22"/>
        </w:rPr>
        <w:t>installations</w:t>
      </w:r>
      <w:r w:rsidRPr="000F54B7">
        <w:rPr>
          <w:rFonts w:ascii="Andes" w:eastAsiaTheme="minorHAnsi" w:hAnsi="Andes" w:cs="Arial"/>
          <w:color w:val="000000"/>
          <w:sz w:val="22"/>
          <w:szCs w:val="22"/>
        </w:rPr>
        <w:t xml:space="preserve"> complexes pour lesquel</w:t>
      </w:r>
      <w:r>
        <w:rPr>
          <w:rFonts w:ascii="Andes" w:eastAsiaTheme="minorHAnsi" w:hAnsi="Andes" w:cs="Arial"/>
          <w:color w:val="000000"/>
          <w:sz w:val="22"/>
          <w:szCs w:val="22"/>
        </w:rPr>
        <w:t>le</w:t>
      </w:r>
      <w:r w:rsidRPr="000F54B7">
        <w:rPr>
          <w:rFonts w:ascii="Andes" w:eastAsiaTheme="minorHAnsi" w:hAnsi="Andes" w:cs="Arial"/>
          <w:color w:val="000000"/>
          <w:sz w:val="22"/>
          <w:szCs w:val="22"/>
        </w:rPr>
        <w:t xml:space="preserve">s un marché clés en main doit être passé pour la conception et la </w:t>
      </w:r>
      <w:r>
        <w:rPr>
          <w:rFonts w:ascii="Andes" w:eastAsiaTheme="minorHAnsi" w:hAnsi="Andes" w:cs="Arial"/>
          <w:color w:val="000000"/>
          <w:sz w:val="22"/>
          <w:szCs w:val="22"/>
        </w:rPr>
        <w:t xml:space="preserve">construction </w:t>
      </w:r>
      <w:r w:rsidRPr="000F54B7">
        <w:rPr>
          <w:rFonts w:ascii="Andes" w:eastAsiaTheme="minorHAnsi" w:hAnsi="Andes" w:cs="Arial"/>
          <w:color w:val="000000"/>
          <w:sz w:val="22"/>
          <w:szCs w:val="22"/>
        </w:rPr>
        <w:t xml:space="preserve">d’un </w:t>
      </w:r>
      <w:r>
        <w:rPr>
          <w:rFonts w:ascii="Andes" w:eastAsiaTheme="minorHAnsi" w:hAnsi="Andes" w:cs="Arial"/>
          <w:color w:val="000000"/>
          <w:sz w:val="22"/>
          <w:szCs w:val="22"/>
        </w:rPr>
        <w:t>Ouvrage</w:t>
      </w:r>
      <w:r w:rsidRPr="000F54B7">
        <w:rPr>
          <w:rFonts w:ascii="Andes" w:eastAsiaTheme="minorHAnsi" w:hAnsi="Andes" w:cs="Arial"/>
          <w:color w:val="000000"/>
          <w:sz w:val="22"/>
          <w:szCs w:val="22"/>
        </w:rPr>
        <w:t xml:space="preserve"> ; </w:t>
      </w:r>
    </w:p>
    <w:p w14:paraId="6EB28C06" w14:textId="77777777" w:rsidR="006D600B" w:rsidRPr="000F54B7" w:rsidRDefault="006D600B" w:rsidP="006D600B">
      <w:pPr>
        <w:pStyle w:val="Paragraphedeliste"/>
        <w:numPr>
          <w:ilvl w:val="0"/>
          <w:numId w:val="175"/>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des Travaux d’une nature complexe et spéciale ; ou </w:t>
      </w:r>
    </w:p>
    <w:p w14:paraId="52B2BE1C" w14:textId="77777777" w:rsidR="006D600B" w:rsidRPr="000F54B7" w:rsidRDefault="006D600B" w:rsidP="006D600B">
      <w:pPr>
        <w:pStyle w:val="Paragraphedeliste"/>
        <w:numPr>
          <w:ilvl w:val="0"/>
          <w:numId w:val="175"/>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des technologies de l’information et de la communication complexes sujettes à des progrès technologiques rapides. </w:t>
      </w:r>
    </w:p>
    <w:p w14:paraId="0CEBCA6A" w14:textId="254F140C" w:rsidR="00EB498C" w:rsidRPr="000F54B7" w:rsidRDefault="006D600B" w:rsidP="00EB498C">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Au cours de la première étape, l’Emprunteur invite les candidats à remettre des Propositions sur la base de principes généraux de conception ou de spécifications de performance ou de fonctionnement, </w:t>
      </w:r>
      <w:r>
        <w:rPr>
          <w:rFonts w:ascii="Andes" w:hAnsi="Andes" w:cs="Arial"/>
          <w:sz w:val="22"/>
          <w:szCs w:val="22"/>
        </w:rPr>
        <w:t xml:space="preserve">étant entendu que l’Emprunteur organisera </w:t>
      </w:r>
      <w:r w:rsidRPr="000F54B7">
        <w:rPr>
          <w:rFonts w:ascii="Andes" w:hAnsi="Andes" w:cs="Arial"/>
          <w:sz w:val="22"/>
          <w:szCs w:val="22"/>
        </w:rPr>
        <w:t>des réunions exploratoires et explicatives à caractère confidentiel pour prendre connaissance des solutions possibles. Au cours de la deuxième étape, le dossier d’</w:t>
      </w:r>
      <w:r w:rsidR="00C51DF5">
        <w:rPr>
          <w:rFonts w:ascii="Andes" w:hAnsi="Andes" w:cs="Arial"/>
          <w:sz w:val="22"/>
          <w:szCs w:val="22"/>
        </w:rPr>
        <w:t>Appel d’Offres/ à Propositions</w:t>
      </w:r>
      <w:r w:rsidRPr="000F54B7">
        <w:rPr>
          <w:rFonts w:ascii="Andes" w:hAnsi="Andes" w:cs="Arial"/>
          <w:sz w:val="22"/>
          <w:szCs w:val="22"/>
        </w:rPr>
        <w:t xml:space="preserve"> </w:t>
      </w:r>
      <w:r>
        <w:rPr>
          <w:rFonts w:ascii="Andes" w:hAnsi="Andes" w:cs="Arial"/>
          <w:sz w:val="22"/>
          <w:szCs w:val="22"/>
        </w:rPr>
        <w:t xml:space="preserve">pourra </w:t>
      </w:r>
      <w:r w:rsidRPr="000F54B7">
        <w:rPr>
          <w:rFonts w:ascii="Andes" w:hAnsi="Andes" w:cs="Arial"/>
          <w:sz w:val="22"/>
          <w:szCs w:val="22"/>
        </w:rPr>
        <w:t>être modifié pour tenir compte des informations apportées lors des réunions confidentielles, et remis aux Soumissionnaires</w:t>
      </w:r>
      <w:r>
        <w:rPr>
          <w:rFonts w:ascii="Andes" w:hAnsi="Andes" w:cs="Arial"/>
          <w:sz w:val="22"/>
          <w:szCs w:val="22"/>
        </w:rPr>
        <w:t>/</w:t>
      </w:r>
      <w:r w:rsidRPr="000F54B7">
        <w:rPr>
          <w:rFonts w:ascii="Andes" w:hAnsi="Andes" w:cs="Arial"/>
          <w:sz w:val="22"/>
          <w:szCs w:val="22"/>
        </w:rPr>
        <w:t xml:space="preserve">Proposants qualifiés afin qu’ils </w:t>
      </w:r>
      <w:r>
        <w:rPr>
          <w:rFonts w:ascii="Andes" w:hAnsi="Andes" w:cs="Arial"/>
          <w:sz w:val="22"/>
          <w:szCs w:val="22"/>
        </w:rPr>
        <w:t>sou</w:t>
      </w:r>
      <w:r w:rsidRPr="000F54B7">
        <w:rPr>
          <w:rFonts w:ascii="Andes" w:hAnsi="Andes" w:cs="Arial"/>
          <w:sz w:val="22"/>
          <w:szCs w:val="22"/>
        </w:rPr>
        <w:t>mettent des Propositions définitives. Comme l’exige le dossier d’</w:t>
      </w:r>
      <w:r w:rsidR="00C51DF5">
        <w:rPr>
          <w:rFonts w:ascii="Andes" w:hAnsi="Andes" w:cs="Arial"/>
          <w:sz w:val="22"/>
          <w:szCs w:val="22"/>
        </w:rPr>
        <w:t>Appel d’Offres/ à Propositions</w:t>
      </w:r>
      <w:r w:rsidRPr="000F54B7">
        <w:rPr>
          <w:rFonts w:ascii="Andes" w:hAnsi="Andes" w:cs="Arial"/>
          <w:sz w:val="22"/>
          <w:szCs w:val="22"/>
        </w:rPr>
        <w:t>, la deuxième étape peut être soumise en une (1) enveloppe ou deux (2) enveloppes pour les parties technique et financière, respectivement, auquel cas les deux enveloppes sont ouvertes et évaluées l’une après l’autre.</w:t>
      </w:r>
      <w:r w:rsidR="00EB498C">
        <w:rPr>
          <w:rFonts w:ascii="Andes" w:hAnsi="Andes" w:cs="Arial"/>
          <w:sz w:val="22"/>
          <w:szCs w:val="22"/>
        </w:rPr>
        <w:t xml:space="preserve"> Lorsque des Critères Notés sont utilisés, un processus à deux enveloppes doit être appliqué. </w:t>
      </w:r>
    </w:p>
    <w:p w14:paraId="2127B1CB" w14:textId="1882C928" w:rsidR="006D600B" w:rsidRPr="000F54B7" w:rsidRDefault="006D600B" w:rsidP="006D600B">
      <w:pPr>
        <w:spacing w:before="240" w:line="240" w:lineRule="auto"/>
        <w:contextualSpacing w:val="0"/>
        <w:rPr>
          <w:rFonts w:ascii="Andes" w:hAnsi="Andes"/>
          <w:sz w:val="28"/>
        </w:rPr>
      </w:pPr>
      <w:bookmarkStart w:id="2946" w:name="_Toc453170909"/>
      <w:r w:rsidRPr="000F54B7">
        <w:rPr>
          <w:rFonts w:ascii="Andes" w:hAnsi="Andes"/>
          <w:b/>
          <w:sz w:val="28"/>
          <w:szCs w:val="28"/>
        </w:rPr>
        <w:t>Meilleure Offre Finale</w:t>
      </w:r>
      <w:bookmarkEnd w:id="2946"/>
      <w:r w:rsidR="00522C12">
        <w:rPr>
          <w:rFonts w:ascii="Andes" w:hAnsi="Andes"/>
          <w:b/>
          <w:sz w:val="28"/>
          <w:szCs w:val="28"/>
        </w:rPr>
        <w:t xml:space="preserve"> (MOF)</w:t>
      </w:r>
    </w:p>
    <w:p w14:paraId="0ADC8FBE" w14:textId="069B7047"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Dans le cas d’une </w:t>
      </w:r>
      <w:r>
        <w:rPr>
          <w:rFonts w:ascii="Andes" w:hAnsi="Andes" w:cs="Arial"/>
          <w:sz w:val="22"/>
          <w:szCs w:val="22"/>
        </w:rPr>
        <w:t xml:space="preserve">procédure </w:t>
      </w:r>
      <w:r w:rsidRPr="000F54B7">
        <w:rPr>
          <w:rFonts w:ascii="Andes" w:hAnsi="Andes" w:cs="Arial"/>
          <w:sz w:val="22"/>
          <w:szCs w:val="22"/>
        </w:rPr>
        <w:t>soumise à un examen préalable</w:t>
      </w:r>
      <w:r>
        <w:rPr>
          <w:rFonts w:ascii="Andes" w:hAnsi="Andes" w:cs="Arial"/>
          <w:sz w:val="22"/>
          <w:szCs w:val="22"/>
        </w:rPr>
        <w:t xml:space="preserve"> pour un marché faisant appel à la concurrence internationale</w:t>
      </w:r>
      <w:r w:rsidRPr="000F54B7">
        <w:rPr>
          <w:rFonts w:ascii="Andes" w:hAnsi="Andes" w:cs="Arial"/>
          <w:sz w:val="22"/>
          <w:szCs w:val="22"/>
        </w:rPr>
        <w:t xml:space="preserve">, la Banque peut accepter que l’Emprunteur utilise le système de la </w:t>
      </w:r>
      <w:r>
        <w:rPr>
          <w:rFonts w:ascii="Andes" w:hAnsi="Andes" w:cs="Arial"/>
          <w:sz w:val="22"/>
          <w:szCs w:val="22"/>
        </w:rPr>
        <w:t>Meilleur Offre Finale (</w:t>
      </w:r>
      <w:r w:rsidRPr="000F54B7">
        <w:rPr>
          <w:rFonts w:ascii="Andes" w:hAnsi="Andes" w:cs="Arial"/>
          <w:sz w:val="22"/>
          <w:szCs w:val="22"/>
        </w:rPr>
        <w:t>MOF</w:t>
      </w:r>
      <w:r>
        <w:rPr>
          <w:rFonts w:ascii="Andes" w:hAnsi="Andes" w:cs="Arial"/>
          <w:sz w:val="22"/>
          <w:szCs w:val="22"/>
        </w:rPr>
        <w:t>)</w:t>
      </w:r>
      <w:r w:rsidRPr="000F54B7">
        <w:rPr>
          <w:rFonts w:ascii="Andes" w:hAnsi="Andes" w:cs="Arial"/>
          <w:sz w:val="22"/>
          <w:szCs w:val="22"/>
        </w:rPr>
        <w:t>. La MOF est une solution par laquelle l’Emprunteur invite les Soumissionnaires</w:t>
      </w:r>
      <w:r>
        <w:rPr>
          <w:rFonts w:ascii="Andes" w:hAnsi="Andes" w:cs="Arial"/>
          <w:sz w:val="22"/>
          <w:szCs w:val="22"/>
        </w:rPr>
        <w:t>/</w:t>
      </w:r>
      <w:r w:rsidRPr="000F54B7">
        <w:rPr>
          <w:rFonts w:ascii="Andes" w:hAnsi="Andes" w:cs="Arial"/>
          <w:sz w:val="22"/>
          <w:szCs w:val="22"/>
        </w:rPr>
        <w:t xml:space="preserve">Proposants ayant </w:t>
      </w:r>
      <w:r>
        <w:rPr>
          <w:rFonts w:ascii="Andes" w:hAnsi="Andes" w:cs="Arial"/>
          <w:sz w:val="22"/>
          <w:szCs w:val="22"/>
        </w:rPr>
        <w:t xml:space="preserve">remis </w:t>
      </w:r>
      <w:r w:rsidRPr="000F54B7">
        <w:rPr>
          <w:rFonts w:ascii="Andes" w:hAnsi="Andes" w:cs="Arial"/>
          <w:sz w:val="22"/>
          <w:szCs w:val="22"/>
        </w:rPr>
        <w:t>des Offres</w:t>
      </w:r>
      <w:r>
        <w:rPr>
          <w:rFonts w:ascii="Andes" w:hAnsi="Andes" w:cs="Arial"/>
          <w:sz w:val="22"/>
          <w:szCs w:val="22"/>
        </w:rPr>
        <w:t>/P</w:t>
      </w:r>
      <w:r w:rsidRPr="000F54B7">
        <w:rPr>
          <w:rFonts w:ascii="Andes" w:hAnsi="Andes" w:cs="Arial"/>
          <w:sz w:val="22"/>
          <w:szCs w:val="22"/>
        </w:rPr>
        <w:t xml:space="preserve">ropositions pour l’essentiel conformes à </w:t>
      </w:r>
      <w:r>
        <w:rPr>
          <w:rFonts w:ascii="Andes" w:hAnsi="Andes" w:cs="Arial"/>
          <w:sz w:val="22"/>
          <w:szCs w:val="22"/>
        </w:rPr>
        <w:t>sou</w:t>
      </w:r>
      <w:r w:rsidRPr="000F54B7">
        <w:rPr>
          <w:rFonts w:ascii="Andes" w:hAnsi="Andes" w:cs="Arial"/>
          <w:sz w:val="22"/>
          <w:szCs w:val="22"/>
        </w:rPr>
        <w:t xml:space="preserve">mettre leur MOF. Une procédure de ce type peut </w:t>
      </w:r>
      <w:r>
        <w:rPr>
          <w:rFonts w:ascii="Andes" w:hAnsi="Andes" w:cs="Arial"/>
          <w:sz w:val="22"/>
          <w:szCs w:val="22"/>
        </w:rPr>
        <w:t xml:space="preserve">convenir </w:t>
      </w:r>
      <w:r w:rsidRPr="000F54B7">
        <w:rPr>
          <w:rFonts w:ascii="Andes" w:hAnsi="Andes" w:cs="Arial"/>
          <w:sz w:val="22"/>
          <w:szCs w:val="22"/>
        </w:rPr>
        <w:t>lorsque l</w:t>
      </w:r>
      <w:r>
        <w:rPr>
          <w:rFonts w:ascii="Andes" w:hAnsi="Andes" w:cs="Arial"/>
          <w:sz w:val="22"/>
          <w:szCs w:val="22"/>
        </w:rPr>
        <w:t>a</w:t>
      </w:r>
      <w:r w:rsidRPr="000F54B7">
        <w:rPr>
          <w:rFonts w:ascii="Andes" w:hAnsi="Andes" w:cs="Arial"/>
          <w:sz w:val="22"/>
          <w:szCs w:val="22"/>
        </w:rPr>
        <w:t xml:space="preserve"> </w:t>
      </w:r>
      <w:r>
        <w:rPr>
          <w:rFonts w:ascii="Andes" w:hAnsi="Andes" w:cs="Arial"/>
          <w:sz w:val="22"/>
          <w:szCs w:val="22"/>
        </w:rPr>
        <w:t xml:space="preserve">procédure </w:t>
      </w:r>
      <w:r w:rsidRPr="000F54B7">
        <w:rPr>
          <w:rFonts w:ascii="Andes" w:hAnsi="Andes" w:cs="Arial"/>
          <w:sz w:val="22"/>
          <w:szCs w:val="22"/>
        </w:rPr>
        <w:t>de passation de marchés gagnerait à ce que les Soumissionnaires</w:t>
      </w:r>
      <w:r>
        <w:rPr>
          <w:rFonts w:ascii="Andes" w:hAnsi="Andes" w:cs="Arial"/>
          <w:sz w:val="22"/>
          <w:szCs w:val="22"/>
        </w:rPr>
        <w:t>/</w:t>
      </w:r>
      <w:r w:rsidRPr="000F54B7">
        <w:rPr>
          <w:rFonts w:ascii="Andes" w:hAnsi="Andes" w:cs="Arial"/>
          <w:sz w:val="22"/>
          <w:szCs w:val="22"/>
        </w:rPr>
        <w:t>Proposants aient une dernière possibil</w:t>
      </w:r>
      <w:r>
        <w:rPr>
          <w:rFonts w:ascii="Andes" w:hAnsi="Andes" w:cs="Arial"/>
          <w:sz w:val="22"/>
          <w:szCs w:val="22"/>
        </w:rPr>
        <w:t>ité d’améliorer leurs Offres/</w:t>
      </w:r>
      <w:r w:rsidRPr="000F54B7">
        <w:rPr>
          <w:rFonts w:ascii="Andes" w:hAnsi="Andes" w:cs="Arial"/>
          <w:sz w:val="22"/>
          <w:szCs w:val="22"/>
        </w:rPr>
        <w:t xml:space="preserve">Propositions, notamment en diminuant les prix, en </w:t>
      </w:r>
      <w:r>
        <w:rPr>
          <w:rFonts w:ascii="Andes" w:hAnsi="Andes" w:cs="Arial"/>
          <w:sz w:val="22"/>
          <w:szCs w:val="22"/>
        </w:rPr>
        <w:t xml:space="preserve">apportant des précisions ou des modifications à </w:t>
      </w:r>
      <w:r w:rsidRPr="000F54B7">
        <w:rPr>
          <w:rFonts w:ascii="Andes" w:hAnsi="Andes" w:cs="Arial"/>
          <w:sz w:val="22"/>
          <w:szCs w:val="22"/>
        </w:rPr>
        <w:t>leur Offre</w:t>
      </w:r>
      <w:r>
        <w:rPr>
          <w:rFonts w:ascii="Andes" w:hAnsi="Andes" w:cs="Arial"/>
          <w:sz w:val="22"/>
          <w:szCs w:val="22"/>
        </w:rPr>
        <w:t>/</w:t>
      </w:r>
      <w:r w:rsidRPr="000F54B7">
        <w:rPr>
          <w:rFonts w:ascii="Andes" w:hAnsi="Andes" w:cs="Arial"/>
          <w:sz w:val="22"/>
          <w:szCs w:val="22"/>
        </w:rPr>
        <w:t>Proposition, ou en fournissant des informations supplémentaires. L’Emprunteur indiquera aux Soumissionnaires</w:t>
      </w:r>
      <w:r>
        <w:rPr>
          <w:rFonts w:ascii="Andes" w:hAnsi="Andes" w:cs="Arial"/>
          <w:sz w:val="22"/>
          <w:szCs w:val="22"/>
        </w:rPr>
        <w:t>/</w:t>
      </w:r>
      <w:r w:rsidRPr="000F54B7">
        <w:rPr>
          <w:rFonts w:ascii="Andes" w:hAnsi="Andes" w:cs="Arial"/>
          <w:sz w:val="22"/>
          <w:szCs w:val="22"/>
        </w:rPr>
        <w:t xml:space="preserve">Proposants dans le </w:t>
      </w:r>
      <w:r>
        <w:rPr>
          <w:rFonts w:ascii="Andes" w:hAnsi="Andes" w:cs="Arial"/>
          <w:sz w:val="22"/>
          <w:szCs w:val="22"/>
        </w:rPr>
        <w:t xml:space="preserve">dossier </w:t>
      </w:r>
      <w:r w:rsidRPr="000F54B7">
        <w:rPr>
          <w:rFonts w:ascii="Andes" w:hAnsi="Andes" w:cs="Arial"/>
          <w:sz w:val="22"/>
          <w:szCs w:val="22"/>
        </w:rPr>
        <w:t>d’</w:t>
      </w:r>
      <w:r w:rsidR="00C51DF5">
        <w:rPr>
          <w:rFonts w:ascii="Andes" w:hAnsi="Andes" w:cs="Arial"/>
          <w:sz w:val="22"/>
          <w:szCs w:val="22"/>
        </w:rPr>
        <w:t>Appel d’Offres/ à Propositions</w:t>
      </w:r>
      <w:r w:rsidRPr="000F54B7">
        <w:rPr>
          <w:rFonts w:ascii="Andes" w:hAnsi="Andes" w:cs="Arial"/>
          <w:sz w:val="22"/>
          <w:szCs w:val="22"/>
        </w:rPr>
        <w:t> :</w:t>
      </w:r>
    </w:p>
    <w:p w14:paraId="4A831B14" w14:textId="77777777" w:rsidR="006D600B" w:rsidRPr="000F54B7" w:rsidRDefault="006D600B" w:rsidP="006D600B">
      <w:pPr>
        <w:pStyle w:val="Paragraphedeliste"/>
        <w:numPr>
          <w:ilvl w:val="0"/>
          <w:numId w:val="261"/>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si une MOF </w:t>
      </w:r>
      <w:r>
        <w:rPr>
          <w:rFonts w:ascii="Andes" w:eastAsiaTheme="minorHAnsi" w:hAnsi="Andes" w:cs="Arial"/>
          <w:color w:val="000000"/>
          <w:sz w:val="22"/>
          <w:szCs w:val="22"/>
        </w:rPr>
        <w:t xml:space="preserve">sera </w:t>
      </w:r>
      <w:r w:rsidRPr="000F54B7">
        <w:rPr>
          <w:rFonts w:ascii="Andes" w:eastAsiaTheme="minorHAnsi" w:hAnsi="Andes" w:cs="Arial"/>
          <w:color w:val="000000"/>
          <w:sz w:val="22"/>
          <w:szCs w:val="22"/>
        </w:rPr>
        <w:t xml:space="preserve">utilisée ; </w:t>
      </w:r>
    </w:p>
    <w:p w14:paraId="22B2AACE" w14:textId="77777777" w:rsidR="006D600B" w:rsidRPr="000F54B7" w:rsidRDefault="006D600B" w:rsidP="006D600B">
      <w:pPr>
        <w:pStyle w:val="Paragraphedeliste"/>
        <w:numPr>
          <w:ilvl w:val="0"/>
          <w:numId w:val="261"/>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que les Soumissionnaires</w:t>
      </w:r>
      <w:r>
        <w:rPr>
          <w:rFonts w:ascii="Andes" w:eastAsiaTheme="minorHAnsi" w:hAnsi="Andes" w:cs="Arial"/>
          <w:color w:val="000000"/>
          <w:sz w:val="22"/>
          <w:szCs w:val="22"/>
        </w:rPr>
        <w:t>/</w:t>
      </w:r>
      <w:r w:rsidRPr="000F54B7">
        <w:rPr>
          <w:rFonts w:ascii="Andes" w:eastAsiaTheme="minorHAnsi" w:hAnsi="Andes" w:cs="Arial"/>
          <w:color w:val="000000"/>
          <w:sz w:val="22"/>
          <w:szCs w:val="22"/>
        </w:rPr>
        <w:t>Proposants ne sont pas obligés de remettre une MOF ; et</w:t>
      </w:r>
    </w:p>
    <w:p w14:paraId="3B4F60D3" w14:textId="77777777" w:rsidR="006D600B" w:rsidRPr="000F54B7" w:rsidRDefault="006D600B" w:rsidP="006D600B">
      <w:pPr>
        <w:pStyle w:val="Paragraphedeliste"/>
        <w:numPr>
          <w:ilvl w:val="0"/>
          <w:numId w:val="261"/>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qu’il n’y aura pas de négociation après la MOF.  </w:t>
      </w:r>
    </w:p>
    <w:p w14:paraId="6F425D22" w14:textId="77777777"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Pr>
          <w:rFonts w:ascii="Andes" w:hAnsi="Andes" w:cs="Arial"/>
          <w:sz w:val="22"/>
          <w:szCs w:val="22"/>
        </w:rPr>
        <w:t xml:space="preserve">S’il est prévu d’appliquer </w:t>
      </w:r>
      <w:r w:rsidRPr="000F54B7">
        <w:rPr>
          <w:rFonts w:ascii="Andes" w:hAnsi="Andes" w:cs="Arial"/>
          <w:sz w:val="22"/>
          <w:szCs w:val="22"/>
        </w:rPr>
        <w:t>une MOF, l’Emprunteur fera appel aux services d’un Garant de Probité</w:t>
      </w:r>
      <w:r>
        <w:rPr>
          <w:rFonts w:ascii="Andes" w:hAnsi="Andes" w:cs="Arial"/>
          <w:sz w:val="22"/>
          <w:szCs w:val="22"/>
        </w:rPr>
        <w:t xml:space="preserve"> désigné en accord </w:t>
      </w:r>
      <w:r w:rsidRPr="000F54B7">
        <w:rPr>
          <w:rFonts w:ascii="Andes" w:hAnsi="Andes" w:cs="Arial"/>
          <w:sz w:val="22"/>
          <w:szCs w:val="22"/>
        </w:rPr>
        <w:t xml:space="preserve">avec la Banque. </w:t>
      </w:r>
    </w:p>
    <w:p w14:paraId="5FFBE36D" w14:textId="77777777" w:rsidR="006D600B" w:rsidRPr="000F54B7" w:rsidRDefault="006D600B" w:rsidP="006D600B">
      <w:pPr>
        <w:spacing w:before="240" w:line="240" w:lineRule="auto"/>
        <w:contextualSpacing w:val="0"/>
        <w:rPr>
          <w:rFonts w:ascii="Andes" w:hAnsi="Andes"/>
          <w:sz w:val="28"/>
        </w:rPr>
      </w:pPr>
      <w:bookmarkStart w:id="2947" w:name="_Toc453170910"/>
      <w:r w:rsidRPr="000F54B7">
        <w:rPr>
          <w:rFonts w:ascii="Andes" w:hAnsi="Andes"/>
          <w:b/>
          <w:sz w:val="28"/>
          <w:szCs w:val="28"/>
        </w:rPr>
        <w:t>Négociations</w:t>
      </w:r>
      <w:bookmarkEnd w:id="2947"/>
      <w:r w:rsidRPr="000F54B7">
        <w:rPr>
          <w:rFonts w:ascii="Andes" w:hAnsi="Andes"/>
          <w:b/>
          <w:sz w:val="28"/>
          <w:szCs w:val="28"/>
        </w:rPr>
        <w:t xml:space="preserve"> </w:t>
      </w:r>
    </w:p>
    <w:p w14:paraId="5D50B306" w14:textId="5F82231B"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Dans le cas d’une </w:t>
      </w:r>
      <w:r>
        <w:rPr>
          <w:rFonts w:ascii="Andes" w:hAnsi="Andes" w:cs="Arial"/>
          <w:sz w:val="22"/>
          <w:szCs w:val="22"/>
        </w:rPr>
        <w:t xml:space="preserve">procédure </w:t>
      </w:r>
      <w:r w:rsidRPr="000F54B7">
        <w:rPr>
          <w:rFonts w:ascii="Andes" w:hAnsi="Andes" w:cs="Arial"/>
          <w:sz w:val="22"/>
          <w:szCs w:val="22"/>
        </w:rPr>
        <w:t>soumise à un examen préalable</w:t>
      </w:r>
      <w:r>
        <w:rPr>
          <w:rFonts w:ascii="Andes" w:hAnsi="Andes" w:cs="Arial"/>
          <w:sz w:val="22"/>
          <w:szCs w:val="22"/>
        </w:rPr>
        <w:t xml:space="preserve"> pour un marché faisant appel à la concurrence internationale</w:t>
      </w:r>
      <w:r w:rsidRPr="000F54B7">
        <w:rPr>
          <w:rFonts w:ascii="Andes" w:hAnsi="Andes" w:cs="Arial"/>
          <w:sz w:val="22"/>
          <w:szCs w:val="22"/>
        </w:rPr>
        <w:t xml:space="preserve">, la Banque peut accepter que l’Emprunteur mène des négociations </w:t>
      </w:r>
      <w:r w:rsidRPr="000F54B7">
        <w:rPr>
          <w:rFonts w:ascii="Andes" w:hAnsi="Andes" w:cs="Arial"/>
          <w:sz w:val="22"/>
          <w:szCs w:val="22"/>
        </w:rPr>
        <w:lastRenderedPageBreak/>
        <w:t>après l’évaluation des Offres</w:t>
      </w:r>
      <w:r>
        <w:rPr>
          <w:rFonts w:ascii="Andes" w:hAnsi="Andes" w:cs="Arial"/>
          <w:sz w:val="22"/>
          <w:szCs w:val="22"/>
        </w:rPr>
        <w:t>/</w:t>
      </w:r>
      <w:r w:rsidRPr="000F54B7">
        <w:rPr>
          <w:rFonts w:ascii="Andes" w:hAnsi="Andes" w:cs="Arial"/>
          <w:sz w:val="22"/>
          <w:szCs w:val="22"/>
        </w:rPr>
        <w:t>Propositions et avant l’attribution définitive du marché</w:t>
      </w:r>
      <w:r w:rsidR="00922ED5">
        <w:rPr>
          <w:rFonts w:ascii="Andes" w:hAnsi="Andes" w:cs="Arial"/>
          <w:sz w:val="22"/>
          <w:szCs w:val="22"/>
        </w:rPr>
        <w:t xml:space="preserve"> (y compris lorsque des Critères notés sont utilisés)</w:t>
      </w:r>
      <w:r w:rsidRPr="000F54B7">
        <w:rPr>
          <w:rFonts w:ascii="Andes" w:hAnsi="Andes" w:cs="Arial"/>
          <w:sz w:val="22"/>
          <w:szCs w:val="22"/>
        </w:rPr>
        <w:t xml:space="preserve">. </w:t>
      </w:r>
    </w:p>
    <w:p w14:paraId="7BF0D2A1" w14:textId="3A66E3ED"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Toute négociation devra se faire conformément aux exigences spécifiées dans le dossier d’</w:t>
      </w:r>
      <w:r w:rsidR="00C51DF5">
        <w:rPr>
          <w:rFonts w:ascii="Andes" w:hAnsi="Andes" w:cs="Arial"/>
          <w:sz w:val="22"/>
          <w:szCs w:val="22"/>
        </w:rPr>
        <w:t>Appel d’Offres/ à Propositions</w:t>
      </w:r>
      <w:r w:rsidRPr="000F54B7">
        <w:rPr>
          <w:rFonts w:ascii="Andes" w:hAnsi="Andes" w:cs="Arial"/>
          <w:sz w:val="22"/>
          <w:szCs w:val="22"/>
        </w:rPr>
        <w:t xml:space="preserve">. Si des négociations sont engagées, elles </w:t>
      </w:r>
      <w:r>
        <w:rPr>
          <w:rFonts w:ascii="Andes" w:hAnsi="Andes" w:cs="Arial"/>
          <w:sz w:val="22"/>
          <w:szCs w:val="22"/>
        </w:rPr>
        <w:t xml:space="preserve">seront </w:t>
      </w:r>
      <w:r w:rsidRPr="000F54B7">
        <w:rPr>
          <w:rFonts w:ascii="Andes" w:hAnsi="Andes" w:cs="Arial"/>
          <w:sz w:val="22"/>
          <w:szCs w:val="22"/>
        </w:rPr>
        <w:t>menées en présence d’un Garant de Probité</w:t>
      </w:r>
      <w:r>
        <w:rPr>
          <w:rFonts w:ascii="Andes" w:hAnsi="Andes" w:cs="Arial"/>
          <w:sz w:val="22"/>
          <w:szCs w:val="22"/>
        </w:rPr>
        <w:t xml:space="preserve"> désigné en accord </w:t>
      </w:r>
      <w:r w:rsidRPr="000F54B7">
        <w:rPr>
          <w:rFonts w:ascii="Andes" w:hAnsi="Andes" w:cs="Arial"/>
          <w:sz w:val="22"/>
          <w:szCs w:val="22"/>
        </w:rPr>
        <w:t>avec la Banque. Les négociations peuvent porter sur les conditions, les prix, et/ou des aspects sociaux, environnementaux et novateurs, tant qu’ils ne modifient pas les exigences minimales de l’Offre</w:t>
      </w:r>
      <w:r>
        <w:rPr>
          <w:rFonts w:ascii="Andes" w:hAnsi="Andes" w:cs="Arial"/>
          <w:sz w:val="22"/>
          <w:szCs w:val="22"/>
        </w:rPr>
        <w:t>/</w:t>
      </w:r>
      <w:r w:rsidRPr="000F54B7">
        <w:rPr>
          <w:rFonts w:ascii="Andes" w:hAnsi="Andes" w:cs="Arial"/>
          <w:sz w:val="22"/>
          <w:szCs w:val="22"/>
        </w:rPr>
        <w:t>Proposition.</w:t>
      </w:r>
    </w:p>
    <w:p w14:paraId="60CD6871" w14:textId="77777777"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L’emprunteur négociera d’abord avec le Soumissionnaire</w:t>
      </w:r>
      <w:r>
        <w:rPr>
          <w:rFonts w:ascii="Andes" w:hAnsi="Andes" w:cs="Arial"/>
          <w:sz w:val="22"/>
          <w:szCs w:val="22"/>
        </w:rPr>
        <w:t>/</w:t>
      </w:r>
      <w:r w:rsidRPr="000F54B7">
        <w:rPr>
          <w:rFonts w:ascii="Andes" w:hAnsi="Andes" w:cs="Arial"/>
          <w:sz w:val="22"/>
          <w:szCs w:val="22"/>
        </w:rPr>
        <w:t>Proposant ayant remis l’Offre</w:t>
      </w:r>
      <w:r>
        <w:rPr>
          <w:rFonts w:ascii="Andes" w:hAnsi="Andes" w:cs="Arial"/>
          <w:sz w:val="22"/>
          <w:szCs w:val="22"/>
        </w:rPr>
        <w:t>/</w:t>
      </w:r>
      <w:r w:rsidRPr="000F54B7">
        <w:rPr>
          <w:rFonts w:ascii="Andes" w:hAnsi="Andes" w:cs="Arial"/>
          <w:sz w:val="22"/>
          <w:szCs w:val="22"/>
        </w:rPr>
        <w:t>Proposition la plus Avantageuse. Si le résultat n’est pas satisfaisant ou qu’aucun accord n’est conclu, l’Emprunteur pourra alors négocier avec l’Offre</w:t>
      </w:r>
      <w:r>
        <w:rPr>
          <w:rFonts w:ascii="Andes" w:hAnsi="Andes" w:cs="Arial"/>
          <w:sz w:val="22"/>
          <w:szCs w:val="22"/>
        </w:rPr>
        <w:t>/</w:t>
      </w:r>
      <w:r w:rsidRPr="000F54B7">
        <w:rPr>
          <w:rFonts w:ascii="Andes" w:hAnsi="Andes" w:cs="Arial"/>
          <w:sz w:val="22"/>
          <w:szCs w:val="22"/>
        </w:rPr>
        <w:t>Proposition la plus Avantageuse suivante, et ainsi de suite dans l’ordre de la liste jusqu’à parvenir à un résultat satisfaisant.</w:t>
      </w:r>
    </w:p>
    <w:p w14:paraId="432C9DED" w14:textId="3736AE86" w:rsidR="006D600B" w:rsidRPr="000F54B7" w:rsidRDefault="006D600B" w:rsidP="006D600B">
      <w:pPr>
        <w:spacing w:before="240" w:line="240" w:lineRule="auto"/>
        <w:contextualSpacing w:val="0"/>
        <w:rPr>
          <w:rFonts w:ascii="Andes" w:hAnsi="Andes"/>
          <w:sz w:val="28"/>
        </w:rPr>
      </w:pPr>
      <w:bookmarkStart w:id="2948" w:name="_Toc453170911"/>
      <w:r w:rsidRPr="000F54B7">
        <w:rPr>
          <w:rFonts w:ascii="Andes" w:hAnsi="Andes"/>
          <w:b/>
          <w:sz w:val="28"/>
          <w:szCs w:val="28"/>
        </w:rPr>
        <w:t xml:space="preserve">Utilisation de </w:t>
      </w:r>
      <w:r w:rsidR="002F0786">
        <w:rPr>
          <w:rFonts w:ascii="Andes" w:hAnsi="Andes"/>
          <w:b/>
          <w:sz w:val="28"/>
          <w:szCs w:val="28"/>
        </w:rPr>
        <w:t>C</w:t>
      </w:r>
      <w:r w:rsidRPr="000F54B7">
        <w:rPr>
          <w:rFonts w:ascii="Andes" w:hAnsi="Andes"/>
          <w:b/>
          <w:sz w:val="28"/>
          <w:szCs w:val="28"/>
        </w:rPr>
        <w:t xml:space="preserve">ritères </w:t>
      </w:r>
      <w:r w:rsidR="002F0786">
        <w:rPr>
          <w:rFonts w:ascii="Andes" w:hAnsi="Andes"/>
          <w:b/>
          <w:sz w:val="28"/>
          <w:szCs w:val="28"/>
        </w:rPr>
        <w:t>N</w:t>
      </w:r>
      <w:r w:rsidRPr="000F54B7">
        <w:rPr>
          <w:rFonts w:ascii="Andes" w:hAnsi="Andes"/>
          <w:b/>
          <w:sz w:val="28"/>
          <w:szCs w:val="28"/>
        </w:rPr>
        <w:t>otés</w:t>
      </w:r>
      <w:bookmarkEnd w:id="2948"/>
    </w:p>
    <w:p w14:paraId="21B37600" w14:textId="79D122AB"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Les </w:t>
      </w:r>
      <w:r w:rsidR="007247EE">
        <w:rPr>
          <w:rFonts w:ascii="Andes" w:hAnsi="Andes" w:cs="Arial"/>
          <w:sz w:val="22"/>
          <w:szCs w:val="22"/>
        </w:rPr>
        <w:t>C</w:t>
      </w:r>
      <w:r w:rsidRPr="000F54B7">
        <w:rPr>
          <w:rFonts w:ascii="Andes" w:hAnsi="Andes" w:cs="Arial"/>
          <w:sz w:val="22"/>
          <w:szCs w:val="22"/>
        </w:rPr>
        <w:t xml:space="preserve">ritères </w:t>
      </w:r>
      <w:r w:rsidR="007247EE">
        <w:rPr>
          <w:rFonts w:ascii="Andes" w:hAnsi="Andes" w:cs="Arial"/>
          <w:sz w:val="22"/>
          <w:szCs w:val="22"/>
        </w:rPr>
        <w:t>N</w:t>
      </w:r>
      <w:r w:rsidRPr="000F54B7">
        <w:rPr>
          <w:rFonts w:ascii="Andes" w:hAnsi="Andes" w:cs="Arial"/>
          <w:sz w:val="22"/>
          <w:szCs w:val="22"/>
        </w:rPr>
        <w:t xml:space="preserve">otés sont des critères </w:t>
      </w:r>
      <w:r w:rsidR="004D43C1">
        <w:rPr>
          <w:rFonts w:ascii="Andes" w:hAnsi="Andes" w:cs="Arial"/>
          <w:sz w:val="22"/>
          <w:szCs w:val="22"/>
        </w:rPr>
        <w:t xml:space="preserve">qui sont appliqués </w:t>
      </w:r>
      <w:r w:rsidR="0003445C">
        <w:rPr>
          <w:rFonts w:ascii="Andes" w:hAnsi="Andes" w:cs="Arial"/>
          <w:sz w:val="22"/>
          <w:szCs w:val="22"/>
        </w:rPr>
        <w:t xml:space="preserve">aux attributs </w:t>
      </w:r>
      <w:r w:rsidR="00443055">
        <w:rPr>
          <w:rFonts w:ascii="Andes" w:hAnsi="Andes" w:cs="Arial"/>
          <w:sz w:val="22"/>
          <w:szCs w:val="22"/>
        </w:rPr>
        <w:t xml:space="preserve">non-chiffrés/qualitatifs des Offres/Propositions. </w:t>
      </w:r>
      <w:r w:rsidRPr="000F54B7">
        <w:rPr>
          <w:rFonts w:ascii="Andes" w:hAnsi="Andes" w:cs="Arial"/>
          <w:sz w:val="22"/>
          <w:szCs w:val="22"/>
        </w:rPr>
        <w:t xml:space="preserve">Les </w:t>
      </w:r>
      <w:r w:rsidR="00B426A3">
        <w:rPr>
          <w:rFonts w:ascii="Andes" w:hAnsi="Andes" w:cs="Arial"/>
          <w:sz w:val="22"/>
          <w:szCs w:val="22"/>
        </w:rPr>
        <w:t xml:space="preserve">scores </w:t>
      </w:r>
      <w:r w:rsidRPr="000F54B7">
        <w:rPr>
          <w:rFonts w:ascii="Andes" w:hAnsi="Andes" w:cs="Arial"/>
          <w:sz w:val="22"/>
          <w:szCs w:val="22"/>
        </w:rPr>
        <w:t xml:space="preserve">attribués </w:t>
      </w:r>
      <w:r w:rsidR="00F9512F">
        <w:rPr>
          <w:rFonts w:ascii="Andes" w:hAnsi="Andes" w:cs="Arial"/>
          <w:sz w:val="22"/>
          <w:szCs w:val="22"/>
        </w:rPr>
        <w:t>à une Offre</w:t>
      </w:r>
      <w:r w:rsidR="00FD70C6">
        <w:rPr>
          <w:rFonts w:ascii="Andes" w:hAnsi="Andes" w:cs="Arial"/>
          <w:sz w:val="22"/>
          <w:szCs w:val="22"/>
        </w:rPr>
        <w:t>/</w:t>
      </w:r>
      <w:r w:rsidR="00F9512F">
        <w:rPr>
          <w:rFonts w:ascii="Andes" w:hAnsi="Andes" w:cs="Arial"/>
          <w:sz w:val="22"/>
          <w:szCs w:val="22"/>
        </w:rPr>
        <w:t>Proposition</w:t>
      </w:r>
      <w:r w:rsidR="00D21B4B">
        <w:rPr>
          <w:rFonts w:ascii="Andes" w:hAnsi="Andes" w:cs="Arial"/>
          <w:sz w:val="22"/>
          <w:szCs w:val="22"/>
        </w:rPr>
        <w:t xml:space="preserve"> sont </w:t>
      </w:r>
      <w:r>
        <w:rPr>
          <w:rFonts w:ascii="Andes" w:hAnsi="Andes" w:cs="Arial"/>
          <w:sz w:val="22"/>
          <w:szCs w:val="22"/>
        </w:rPr>
        <w:t xml:space="preserve">normalement </w:t>
      </w:r>
      <w:r w:rsidRPr="000F54B7">
        <w:rPr>
          <w:rFonts w:ascii="Andes" w:hAnsi="Andes" w:cs="Arial"/>
          <w:sz w:val="22"/>
          <w:szCs w:val="22"/>
        </w:rPr>
        <w:t xml:space="preserve">en fonction du degré de satisfaction ou de dépassement des exigences </w:t>
      </w:r>
      <w:r w:rsidR="00273254">
        <w:rPr>
          <w:rFonts w:ascii="Andes" w:hAnsi="Andes" w:cs="Arial"/>
          <w:sz w:val="22"/>
          <w:szCs w:val="22"/>
        </w:rPr>
        <w:t xml:space="preserve">minimales </w:t>
      </w:r>
      <w:r w:rsidR="001734EF">
        <w:rPr>
          <w:rFonts w:ascii="Andes" w:hAnsi="Andes" w:cs="Arial"/>
          <w:sz w:val="22"/>
          <w:szCs w:val="22"/>
        </w:rPr>
        <w:t xml:space="preserve">non-chiffrées/qualitatives. </w:t>
      </w:r>
      <w:r w:rsidR="002908C7">
        <w:rPr>
          <w:rFonts w:ascii="Andes" w:hAnsi="Andes" w:cs="Arial"/>
          <w:sz w:val="22"/>
          <w:szCs w:val="22"/>
        </w:rPr>
        <w:t>Les</w:t>
      </w:r>
      <w:r w:rsidR="007614F5" w:rsidRPr="00882278">
        <w:rPr>
          <w:rFonts w:ascii="Andes" w:hAnsi="Andes" w:cs="Arial"/>
          <w:sz w:val="22"/>
          <w:szCs w:val="22"/>
        </w:rPr>
        <w:t xml:space="preserve"> pondération</w:t>
      </w:r>
      <w:r w:rsidR="002908C7">
        <w:rPr>
          <w:rFonts w:ascii="Andes" w:hAnsi="Andes" w:cs="Arial"/>
          <w:sz w:val="22"/>
          <w:szCs w:val="22"/>
        </w:rPr>
        <w:t>s</w:t>
      </w:r>
      <w:r w:rsidR="007614F5" w:rsidRPr="00882278">
        <w:rPr>
          <w:rFonts w:ascii="Andes" w:hAnsi="Andes" w:cs="Arial"/>
          <w:sz w:val="22"/>
          <w:szCs w:val="22"/>
        </w:rPr>
        <w:t xml:space="preserve"> accordée</w:t>
      </w:r>
      <w:r w:rsidR="002908C7">
        <w:rPr>
          <w:rFonts w:ascii="Andes" w:hAnsi="Andes" w:cs="Arial"/>
          <w:sz w:val="22"/>
          <w:szCs w:val="22"/>
        </w:rPr>
        <w:t>s</w:t>
      </w:r>
      <w:r w:rsidR="007614F5" w:rsidRPr="00882278">
        <w:rPr>
          <w:rFonts w:ascii="Andes" w:hAnsi="Andes" w:cs="Arial"/>
          <w:sz w:val="22"/>
          <w:szCs w:val="22"/>
        </w:rPr>
        <w:t xml:space="preserve"> aux </w:t>
      </w:r>
      <w:r w:rsidR="002908C7">
        <w:rPr>
          <w:rFonts w:ascii="Andes" w:hAnsi="Andes" w:cs="Arial"/>
          <w:sz w:val="22"/>
          <w:szCs w:val="22"/>
        </w:rPr>
        <w:t>C</w:t>
      </w:r>
      <w:r w:rsidR="007614F5" w:rsidRPr="00882278">
        <w:rPr>
          <w:rFonts w:ascii="Andes" w:hAnsi="Andes" w:cs="Arial"/>
          <w:sz w:val="22"/>
          <w:szCs w:val="22"/>
        </w:rPr>
        <w:t xml:space="preserve">ritères notés </w:t>
      </w:r>
      <w:r w:rsidR="002908C7">
        <w:rPr>
          <w:rFonts w:ascii="Andes" w:hAnsi="Andes" w:cs="Arial"/>
          <w:sz w:val="22"/>
          <w:szCs w:val="22"/>
        </w:rPr>
        <w:t>doivent être</w:t>
      </w:r>
      <w:r w:rsidR="007614F5" w:rsidRPr="00882278">
        <w:rPr>
          <w:rFonts w:ascii="Andes" w:hAnsi="Andes" w:cs="Arial"/>
          <w:sz w:val="22"/>
          <w:szCs w:val="22"/>
        </w:rPr>
        <w:t xml:space="preserve"> conforme</w:t>
      </w:r>
      <w:r w:rsidR="002908C7">
        <w:rPr>
          <w:rFonts w:ascii="Andes" w:hAnsi="Andes" w:cs="Arial"/>
          <w:sz w:val="22"/>
          <w:szCs w:val="22"/>
        </w:rPr>
        <w:t>s</w:t>
      </w:r>
      <w:r w:rsidR="007614F5" w:rsidRPr="00882278">
        <w:rPr>
          <w:rFonts w:ascii="Andes" w:hAnsi="Andes" w:cs="Arial"/>
          <w:sz w:val="22"/>
          <w:szCs w:val="22"/>
        </w:rPr>
        <w:t xml:space="preserve"> aux exigences du </w:t>
      </w:r>
      <w:r w:rsidR="002908C7">
        <w:rPr>
          <w:rFonts w:ascii="Andes" w:hAnsi="Andes" w:cs="Arial"/>
          <w:sz w:val="22"/>
          <w:szCs w:val="22"/>
        </w:rPr>
        <w:t>P</w:t>
      </w:r>
      <w:r w:rsidR="007614F5" w:rsidRPr="00882278">
        <w:rPr>
          <w:rFonts w:ascii="Andes" w:hAnsi="Andes" w:cs="Arial"/>
          <w:sz w:val="22"/>
          <w:szCs w:val="22"/>
        </w:rPr>
        <w:t>aragraphe</w:t>
      </w:r>
      <w:r w:rsidR="002908C7">
        <w:rPr>
          <w:rFonts w:ascii="Andes" w:hAnsi="Andes" w:cs="Arial"/>
          <w:sz w:val="22"/>
          <w:szCs w:val="22"/>
        </w:rPr>
        <w:t xml:space="preserve"> </w:t>
      </w:r>
      <w:r w:rsidR="00D76559">
        <w:rPr>
          <w:rFonts w:ascii="Andes" w:hAnsi="Andes" w:cs="Arial"/>
          <w:sz w:val="22"/>
          <w:szCs w:val="22"/>
        </w:rPr>
        <w:t xml:space="preserve">5 .51 et </w:t>
      </w:r>
      <w:proofErr w:type="gramStart"/>
      <w:r w:rsidR="00D76559">
        <w:rPr>
          <w:rFonts w:ascii="Andes" w:hAnsi="Andes" w:cs="Arial"/>
          <w:sz w:val="22"/>
          <w:szCs w:val="22"/>
        </w:rPr>
        <w:t xml:space="preserve">à </w:t>
      </w:r>
      <w:r w:rsidRPr="000F54B7">
        <w:rPr>
          <w:rFonts w:ascii="Andes" w:hAnsi="Andes" w:cs="Arial"/>
          <w:sz w:val="22"/>
          <w:szCs w:val="22"/>
        </w:rPr>
        <w:t xml:space="preserve"> l’</w:t>
      </w:r>
      <w:r w:rsidR="00925A7A">
        <w:rPr>
          <w:rFonts w:ascii="Andes" w:hAnsi="Andes" w:cs="Arial"/>
          <w:sz w:val="22"/>
          <w:szCs w:val="22"/>
        </w:rPr>
        <w:t>A</w:t>
      </w:r>
      <w:r w:rsidRPr="000F54B7">
        <w:rPr>
          <w:rFonts w:ascii="Andes" w:hAnsi="Andes" w:cs="Arial"/>
          <w:sz w:val="22"/>
          <w:szCs w:val="22"/>
        </w:rPr>
        <w:t>nnexe</w:t>
      </w:r>
      <w:proofErr w:type="gramEnd"/>
      <w:r w:rsidRPr="000F54B7">
        <w:rPr>
          <w:rFonts w:ascii="Andes" w:hAnsi="Andes" w:cs="Arial"/>
          <w:sz w:val="22"/>
          <w:szCs w:val="22"/>
        </w:rPr>
        <w:t> X Critères d’</w:t>
      </w:r>
      <w:r w:rsidR="00E04439">
        <w:rPr>
          <w:rFonts w:ascii="Andes" w:hAnsi="Andes" w:cs="Arial"/>
          <w:sz w:val="22"/>
          <w:szCs w:val="22"/>
        </w:rPr>
        <w:t>E</w:t>
      </w:r>
      <w:r w:rsidRPr="000F54B7">
        <w:rPr>
          <w:rFonts w:ascii="Andes" w:hAnsi="Andes" w:cs="Arial"/>
          <w:sz w:val="22"/>
          <w:szCs w:val="22"/>
        </w:rPr>
        <w:t>valuation.</w:t>
      </w:r>
    </w:p>
    <w:p w14:paraId="7CC29CDD" w14:textId="77777777" w:rsidR="006D600B" w:rsidRPr="000F54B7" w:rsidRDefault="006D600B" w:rsidP="006D600B">
      <w:pPr>
        <w:pStyle w:val="Style2"/>
        <w:keepNext/>
        <w:keepLines/>
        <w:widowControl/>
        <w:tabs>
          <w:tab w:val="left" w:pos="1710"/>
        </w:tabs>
        <w:autoSpaceDE/>
        <w:autoSpaceDN/>
        <w:adjustRightInd/>
        <w:spacing w:before="240" w:after="120" w:line="259" w:lineRule="auto"/>
        <w:ind w:left="-23"/>
        <w:contextualSpacing w:val="0"/>
        <w:outlineLvl w:val="0"/>
        <w:rPr>
          <w:rFonts w:ascii="Andes" w:eastAsiaTheme="majorEastAsia" w:hAnsi="Andes" w:cstheme="majorBidi"/>
          <w:bCs w:val="0"/>
          <w:color w:val="C45911"/>
          <w:sz w:val="32"/>
          <w:szCs w:val="32"/>
        </w:rPr>
      </w:pPr>
      <w:bookmarkStart w:id="2949" w:name="_Toc453170912"/>
      <w:bookmarkStart w:id="2950" w:name="_Toc453544318"/>
      <w:r>
        <w:rPr>
          <w:rFonts w:ascii="Andes" w:eastAsiaTheme="majorEastAsia" w:hAnsi="Andes" w:cstheme="majorBidi"/>
          <w:bCs w:val="0"/>
          <w:color w:val="C45911"/>
          <w:sz w:val="32"/>
          <w:szCs w:val="32"/>
        </w:rPr>
        <w:t xml:space="preserve">Types </w:t>
      </w:r>
      <w:r w:rsidRPr="000F54B7">
        <w:rPr>
          <w:rFonts w:ascii="Andes" w:eastAsiaTheme="majorEastAsia" w:hAnsi="Andes" w:cstheme="majorBidi"/>
          <w:bCs w:val="0"/>
          <w:color w:val="C45911"/>
          <w:sz w:val="32"/>
          <w:szCs w:val="32"/>
        </w:rPr>
        <w:t xml:space="preserve">particuliers de </w:t>
      </w:r>
      <w:r>
        <w:rPr>
          <w:rFonts w:ascii="Andes" w:eastAsiaTheme="majorEastAsia" w:hAnsi="Andes" w:cstheme="majorBidi"/>
          <w:bCs w:val="0"/>
          <w:color w:val="C45911"/>
          <w:sz w:val="32"/>
          <w:szCs w:val="32"/>
        </w:rPr>
        <w:t xml:space="preserve">modalités de </w:t>
      </w:r>
      <w:r w:rsidRPr="000F54B7">
        <w:rPr>
          <w:rFonts w:ascii="Andes" w:eastAsiaTheme="majorEastAsia" w:hAnsi="Andes" w:cstheme="majorBidi"/>
          <w:bCs w:val="0"/>
          <w:color w:val="C45911"/>
          <w:sz w:val="32"/>
          <w:szCs w:val="32"/>
        </w:rPr>
        <w:t>sélection agré</w:t>
      </w:r>
      <w:bookmarkEnd w:id="2949"/>
      <w:bookmarkEnd w:id="2950"/>
      <w:r w:rsidRPr="000F54B7">
        <w:rPr>
          <w:rFonts w:ascii="Andes" w:eastAsiaTheme="majorEastAsia" w:hAnsi="Andes" w:cstheme="majorBidi"/>
          <w:bCs w:val="0"/>
          <w:color w:val="C45911"/>
          <w:sz w:val="32"/>
          <w:szCs w:val="32"/>
        </w:rPr>
        <w:t>é</w:t>
      </w:r>
      <w:r>
        <w:rPr>
          <w:rFonts w:ascii="Andes" w:eastAsiaTheme="majorEastAsia" w:hAnsi="Andes" w:cstheme="majorBidi"/>
          <w:bCs w:val="0"/>
          <w:color w:val="C45911"/>
          <w:sz w:val="32"/>
          <w:szCs w:val="32"/>
        </w:rPr>
        <w:t>e</w:t>
      </w:r>
      <w:r w:rsidRPr="000F54B7">
        <w:rPr>
          <w:rFonts w:ascii="Andes" w:eastAsiaTheme="majorEastAsia" w:hAnsi="Andes" w:cstheme="majorBidi"/>
          <w:bCs w:val="0"/>
          <w:color w:val="C45911"/>
          <w:sz w:val="32"/>
          <w:szCs w:val="32"/>
        </w:rPr>
        <w:t>s</w:t>
      </w:r>
    </w:p>
    <w:p w14:paraId="5108B355" w14:textId="77777777"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Caractéristiques, procédures et </w:t>
      </w:r>
      <w:r>
        <w:rPr>
          <w:rFonts w:ascii="Andes" w:hAnsi="Andes" w:cs="Arial"/>
          <w:sz w:val="22"/>
          <w:szCs w:val="22"/>
        </w:rPr>
        <w:t xml:space="preserve">modes </w:t>
      </w:r>
      <w:r w:rsidRPr="000F54B7">
        <w:rPr>
          <w:rFonts w:ascii="Andes" w:hAnsi="Andes" w:cs="Arial"/>
          <w:sz w:val="22"/>
          <w:szCs w:val="22"/>
        </w:rPr>
        <w:t>de passation des marchés applicables aux situations suivantes :</w:t>
      </w:r>
    </w:p>
    <w:p w14:paraId="55D4B731" w14:textId="69681693" w:rsidR="006D600B" w:rsidRPr="000F54B7" w:rsidRDefault="006D600B" w:rsidP="006D600B">
      <w:pPr>
        <w:pStyle w:val="Paragraphedeliste"/>
        <w:numPr>
          <w:ilvl w:val="0"/>
          <w:numId w:val="176"/>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Dialogue </w:t>
      </w:r>
      <w:r w:rsidR="00330944" w:rsidRPr="000F54B7">
        <w:rPr>
          <w:rFonts w:ascii="Andes" w:eastAsiaTheme="minorHAnsi" w:hAnsi="Andes" w:cs="Arial"/>
          <w:color w:val="000000"/>
          <w:sz w:val="22"/>
          <w:szCs w:val="22"/>
        </w:rPr>
        <w:t>Co</w:t>
      </w:r>
      <w:r w:rsidR="00330944">
        <w:rPr>
          <w:rFonts w:ascii="Andes" w:eastAsiaTheme="minorHAnsi" w:hAnsi="Andes" w:cs="Arial"/>
          <w:color w:val="000000"/>
          <w:sz w:val="22"/>
          <w:szCs w:val="22"/>
        </w:rPr>
        <w:t>mpétitif</w:t>
      </w:r>
      <w:r w:rsidR="00330944" w:rsidRPr="000F54B7">
        <w:rPr>
          <w:rFonts w:ascii="Andes" w:eastAsiaTheme="minorHAnsi" w:hAnsi="Andes" w:cs="Arial"/>
          <w:color w:val="000000"/>
          <w:sz w:val="22"/>
          <w:szCs w:val="22"/>
        </w:rPr>
        <w:t> </w:t>
      </w:r>
      <w:r w:rsidRPr="000F54B7">
        <w:rPr>
          <w:rFonts w:ascii="Andes" w:eastAsiaTheme="minorHAnsi" w:hAnsi="Andes" w:cs="Arial"/>
          <w:color w:val="000000"/>
          <w:sz w:val="22"/>
          <w:szCs w:val="22"/>
        </w:rPr>
        <w:t>;</w:t>
      </w:r>
    </w:p>
    <w:p w14:paraId="5C84C18B" w14:textId="77777777" w:rsidR="006D600B" w:rsidRPr="000F54B7" w:rsidRDefault="006D600B" w:rsidP="006D600B">
      <w:pPr>
        <w:pStyle w:val="Paragraphedeliste"/>
        <w:numPr>
          <w:ilvl w:val="0"/>
          <w:numId w:val="176"/>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Partenariats Public-Privé ;</w:t>
      </w:r>
    </w:p>
    <w:p w14:paraId="6C01DD2A" w14:textId="77777777" w:rsidR="006D600B" w:rsidRPr="000F54B7" w:rsidRDefault="006D600B" w:rsidP="006D600B">
      <w:pPr>
        <w:pStyle w:val="Paragraphedeliste"/>
        <w:numPr>
          <w:ilvl w:val="0"/>
          <w:numId w:val="176"/>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Pratiques commerciales ;</w:t>
      </w:r>
    </w:p>
    <w:p w14:paraId="1E8E9523" w14:textId="77777777" w:rsidR="006D600B" w:rsidRPr="000F54B7" w:rsidRDefault="006D600B" w:rsidP="006D600B">
      <w:pPr>
        <w:pStyle w:val="Paragraphedeliste"/>
        <w:numPr>
          <w:ilvl w:val="0"/>
          <w:numId w:val="176"/>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Institutions des Nations Unies ;</w:t>
      </w:r>
    </w:p>
    <w:p w14:paraId="5EFC2360" w14:textId="77777777" w:rsidR="006D600B" w:rsidRPr="000F54B7" w:rsidRDefault="006D600B" w:rsidP="006D600B">
      <w:pPr>
        <w:pStyle w:val="Paragraphedeliste"/>
        <w:numPr>
          <w:ilvl w:val="0"/>
          <w:numId w:val="176"/>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Enchères électroniques inversées ;</w:t>
      </w:r>
    </w:p>
    <w:p w14:paraId="09E5F48B" w14:textId="77777777" w:rsidR="006D600B" w:rsidRPr="000F54B7" w:rsidRDefault="006D600B" w:rsidP="006D600B">
      <w:pPr>
        <w:pStyle w:val="Paragraphedeliste"/>
        <w:numPr>
          <w:ilvl w:val="0"/>
          <w:numId w:val="176"/>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Importations ;</w:t>
      </w:r>
    </w:p>
    <w:p w14:paraId="55E323BB" w14:textId="77777777" w:rsidR="006D600B" w:rsidRPr="000F54B7" w:rsidRDefault="006D600B" w:rsidP="006D600B">
      <w:pPr>
        <w:pStyle w:val="Paragraphedeliste"/>
        <w:numPr>
          <w:ilvl w:val="0"/>
          <w:numId w:val="176"/>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Produits de base ;</w:t>
      </w:r>
    </w:p>
    <w:p w14:paraId="05DE8F5C" w14:textId="593701C8" w:rsidR="006D600B" w:rsidRPr="000F54B7" w:rsidRDefault="00330944" w:rsidP="006D600B">
      <w:pPr>
        <w:pStyle w:val="Paragraphedeliste"/>
        <w:numPr>
          <w:ilvl w:val="0"/>
          <w:numId w:val="176"/>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Participation Communautaire</w:t>
      </w:r>
      <w:r w:rsidR="002E5975">
        <w:rPr>
          <w:rFonts w:ascii="Andes" w:eastAsiaTheme="minorHAnsi" w:hAnsi="Andes" w:cs="Arial"/>
          <w:color w:val="000000"/>
          <w:sz w:val="22"/>
          <w:szCs w:val="22"/>
        </w:rPr>
        <w:t xml:space="preserve"> au Développement</w:t>
      </w:r>
      <w:r w:rsidR="006D600B" w:rsidRPr="000F54B7">
        <w:rPr>
          <w:rFonts w:ascii="Andes" w:eastAsiaTheme="minorHAnsi" w:hAnsi="Andes" w:cs="Arial"/>
          <w:color w:val="000000"/>
          <w:sz w:val="22"/>
          <w:szCs w:val="22"/>
        </w:rPr>
        <w:t> ; et</w:t>
      </w:r>
    </w:p>
    <w:p w14:paraId="462E6868" w14:textId="77777777" w:rsidR="006D600B" w:rsidRPr="000F54B7" w:rsidRDefault="006D600B" w:rsidP="006D600B">
      <w:pPr>
        <w:pStyle w:val="Paragraphedeliste"/>
        <w:numPr>
          <w:ilvl w:val="0"/>
          <w:numId w:val="176"/>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Régies.</w:t>
      </w:r>
    </w:p>
    <w:p w14:paraId="7D682928" w14:textId="4E7177D8" w:rsidR="006D600B" w:rsidRPr="000F54B7" w:rsidRDefault="006D600B" w:rsidP="006D600B">
      <w:pPr>
        <w:spacing w:before="240" w:line="240" w:lineRule="auto"/>
        <w:contextualSpacing w:val="0"/>
        <w:rPr>
          <w:rFonts w:ascii="Andes" w:hAnsi="Andes"/>
          <w:sz w:val="28"/>
        </w:rPr>
      </w:pPr>
      <w:bookmarkStart w:id="2951" w:name="_Toc453170913"/>
      <w:r w:rsidRPr="000F54B7">
        <w:rPr>
          <w:rFonts w:ascii="Andes" w:hAnsi="Andes"/>
          <w:b/>
          <w:sz w:val="28"/>
          <w:szCs w:val="28"/>
        </w:rPr>
        <w:t>Dialogue</w:t>
      </w:r>
      <w:bookmarkEnd w:id="2951"/>
      <w:r w:rsidRPr="000F54B7">
        <w:rPr>
          <w:rFonts w:ascii="Andes" w:hAnsi="Andes"/>
          <w:b/>
          <w:sz w:val="28"/>
          <w:szCs w:val="28"/>
        </w:rPr>
        <w:t xml:space="preserve"> </w:t>
      </w:r>
      <w:r w:rsidR="00D75B95">
        <w:rPr>
          <w:rFonts w:ascii="Andes" w:hAnsi="Andes"/>
          <w:b/>
          <w:sz w:val="28"/>
          <w:szCs w:val="28"/>
        </w:rPr>
        <w:t>Compétitif</w:t>
      </w:r>
      <w:r w:rsidR="00D75B95" w:rsidRPr="000F54B7">
        <w:rPr>
          <w:rFonts w:ascii="Andes" w:hAnsi="Andes"/>
          <w:b/>
          <w:sz w:val="28"/>
          <w:szCs w:val="28"/>
        </w:rPr>
        <w:t xml:space="preserve"> </w:t>
      </w:r>
    </w:p>
    <w:p w14:paraId="1FFFD965" w14:textId="672BEC50"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eastAsiaTheme="minorHAnsi" w:hAnsi="Andes"/>
          <w:color w:val="000000"/>
          <w:sz w:val="22"/>
          <w:szCs w:val="22"/>
        </w:rPr>
        <w:t xml:space="preserve">Le </w:t>
      </w:r>
      <w:r w:rsidRPr="000F54B7">
        <w:rPr>
          <w:rFonts w:ascii="Andes" w:hAnsi="Andes" w:cs="Arial"/>
          <w:sz w:val="22"/>
          <w:szCs w:val="22"/>
        </w:rPr>
        <w:t xml:space="preserve">Dialogue </w:t>
      </w:r>
      <w:r w:rsidR="00330944">
        <w:rPr>
          <w:rFonts w:ascii="Andes" w:hAnsi="Andes" w:cs="Arial"/>
          <w:sz w:val="22"/>
          <w:szCs w:val="22"/>
        </w:rPr>
        <w:t>Compétitif</w:t>
      </w:r>
      <w:r w:rsidR="00330944" w:rsidRPr="000F54B7">
        <w:rPr>
          <w:rFonts w:ascii="Andes" w:hAnsi="Andes" w:cs="Arial"/>
          <w:sz w:val="22"/>
          <w:szCs w:val="22"/>
        </w:rPr>
        <w:t xml:space="preserve"> </w:t>
      </w:r>
      <w:r w:rsidRPr="000F54B7">
        <w:rPr>
          <w:rFonts w:ascii="Andes" w:hAnsi="Andes" w:cs="Arial"/>
          <w:sz w:val="22"/>
          <w:szCs w:val="22"/>
        </w:rPr>
        <w:t>est un</w:t>
      </w:r>
      <w:r>
        <w:rPr>
          <w:rFonts w:ascii="Andes" w:hAnsi="Andes" w:cs="Arial"/>
          <w:sz w:val="22"/>
          <w:szCs w:val="22"/>
        </w:rPr>
        <w:t>e modalité de sélection interactive</w:t>
      </w:r>
      <w:r w:rsidRPr="000F54B7">
        <w:rPr>
          <w:rFonts w:ascii="Andes" w:hAnsi="Andes" w:cs="Arial"/>
          <w:sz w:val="22"/>
          <w:szCs w:val="22"/>
        </w:rPr>
        <w:t xml:space="preserve"> en plusieurs étapes qui permet des échanges dynamiques avec les Proposants. L’Emprunteur doit justifier l’emploi de cette modalité dans l</w:t>
      </w:r>
      <w:r>
        <w:rPr>
          <w:rFonts w:ascii="Andes" w:hAnsi="Andes" w:cs="Arial"/>
          <w:sz w:val="22"/>
          <w:szCs w:val="22"/>
        </w:rPr>
        <w:t xml:space="preserve">a </w:t>
      </w:r>
      <w:r w:rsidR="006634EF">
        <w:rPr>
          <w:rFonts w:ascii="Andes" w:hAnsi="Andes" w:cs="Arial"/>
          <w:sz w:val="22"/>
          <w:szCs w:val="22"/>
        </w:rPr>
        <w:t>SPMPD</w:t>
      </w:r>
      <w:r w:rsidRPr="000F54B7">
        <w:rPr>
          <w:rFonts w:ascii="Andes" w:hAnsi="Andes" w:cs="Arial"/>
          <w:sz w:val="22"/>
          <w:szCs w:val="22"/>
        </w:rPr>
        <w:t xml:space="preserve">. Le Dialogue </w:t>
      </w:r>
      <w:r w:rsidR="00330944">
        <w:rPr>
          <w:rFonts w:ascii="Andes" w:hAnsi="Andes" w:cs="Arial"/>
          <w:sz w:val="22"/>
          <w:szCs w:val="22"/>
        </w:rPr>
        <w:t>Compétitif</w:t>
      </w:r>
      <w:r w:rsidR="00330944" w:rsidRPr="000F54B7">
        <w:rPr>
          <w:rFonts w:ascii="Andes" w:hAnsi="Andes" w:cs="Arial"/>
          <w:sz w:val="22"/>
          <w:szCs w:val="22"/>
        </w:rPr>
        <w:t xml:space="preserve"> </w:t>
      </w:r>
      <w:r w:rsidRPr="000F54B7">
        <w:rPr>
          <w:rFonts w:ascii="Andes" w:hAnsi="Andes" w:cs="Arial"/>
          <w:sz w:val="22"/>
          <w:szCs w:val="22"/>
        </w:rPr>
        <w:t>ne peut être utilisé que pour des marchés complexes ou novateurs.</w:t>
      </w:r>
    </w:p>
    <w:p w14:paraId="3543C6E4" w14:textId="1B64A546"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eastAsiaTheme="minorHAnsi" w:hAnsi="Andes"/>
          <w:color w:val="000000"/>
          <w:sz w:val="22"/>
          <w:szCs w:val="22"/>
        </w:rPr>
        <w:t xml:space="preserve">Le </w:t>
      </w:r>
      <w:r w:rsidRPr="000F54B7">
        <w:rPr>
          <w:rFonts w:ascii="Andes" w:hAnsi="Andes" w:cs="Arial"/>
          <w:sz w:val="22"/>
          <w:szCs w:val="22"/>
        </w:rPr>
        <w:t xml:space="preserve">Dialogue </w:t>
      </w:r>
      <w:r w:rsidR="00330944">
        <w:rPr>
          <w:rFonts w:ascii="Andes" w:hAnsi="Andes" w:cs="Arial"/>
          <w:sz w:val="22"/>
          <w:szCs w:val="22"/>
        </w:rPr>
        <w:t>Compétitif</w:t>
      </w:r>
      <w:r w:rsidR="00330944" w:rsidRPr="000F54B7">
        <w:rPr>
          <w:rFonts w:ascii="Andes" w:hAnsi="Andes" w:cs="Arial"/>
          <w:sz w:val="22"/>
          <w:szCs w:val="22"/>
        </w:rPr>
        <w:t xml:space="preserve"> </w:t>
      </w:r>
      <w:r w:rsidRPr="000F54B7">
        <w:rPr>
          <w:rFonts w:ascii="Andes" w:hAnsi="Andes" w:cs="Arial"/>
          <w:sz w:val="22"/>
          <w:szCs w:val="22"/>
        </w:rPr>
        <w:t xml:space="preserve">peut </w:t>
      </w:r>
      <w:r>
        <w:rPr>
          <w:rFonts w:ascii="Andes" w:hAnsi="Andes" w:cs="Arial"/>
          <w:sz w:val="22"/>
          <w:szCs w:val="22"/>
        </w:rPr>
        <w:t>convenir</w:t>
      </w:r>
      <w:r w:rsidRPr="000F54B7">
        <w:rPr>
          <w:rFonts w:ascii="Andes" w:hAnsi="Andes" w:cs="Arial"/>
          <w:sz w:val="22"/>
          <w:szCs w:val="22"/>
        </w:rPr>
        <w:t xml:space="preserve"> : </w:t>
      </w:r>
    </w:p>
    <w:p w14:paraId="0431F272" w14:textId="77777777" w:rsidR="006D600B" w:rsidRPr="000F54B7" w:rsidRDefault="006D600B" w:rsidP="006D600B">
      <w:pPr>
        <w:pStyle w:val="Paragraphedeliste"/>
        <w:numPr>
          <w:ilvl w:val="0"/>
          <w:numId w:val="177"/>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lastRenderedPageBreak/>
        <w:t xml:space="preserve">lorsque différentes solutions répondant aux exigences de l’Emprunteur </w:t>
      </w:r>
      <w:r>
        <w:rPr>
          <w:rFonts w:ascii="Andes" w:eastAsiaTheme="minorHAnsi" w:hAnsi="Andes" w:cs="Arial"/>
          <w:color w:val="000000"/>
          <w:sz w:val="22"/>
          <w:szCs w:val="22"/>
        </w:rPr>
        <w:t xml:space="preserve">sont </w:t>
      </w:r>
      <w:r w:rsidRPr="000F54B7">
        <w:rPr>
          <w:rFonts w:ascii="Andes" w:eastAsiaTheme="minorHAnsi" w:hAnsi="Andes" w:cs="Arial"/>
          <w:color w:val="000000"/>
          <w:sz w:val="22"/>
          <w:szCs w:val="22"/>
        </w:rPr>
        <w:t>possibles et que les parties ont besoin d’étudier et de mettre au point ensemble les modalités techniques et commerciales détaillées requises pour ces solutions ; et</w:t>
      </w:r>
    </w:p>
    <w:p w14:paraId="0B2EBC2F" w14:textId="77777777" w:rsidR="006D600B" w:rsidRPr="000F54B7" w:rsidRDefault="006D600B" w:rsidP="006D600B">
      <w:pPr>
        <w:pStyle w:val="Paragraphedeliste"/>
        <w:numPr>
          <w:ilvl w:val="0"/>
          <w:numId w:val="177"/>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si, du fait de la nature et de la complexité du marché, l’Emprunteur n’est pas objectivement </w:t>
      </w:r>
      <w:r>
        <w:rPr>
          <w:rFonts w:ascii="Andes" w:eastAsiaTheme="minorHAnsi" w:hAnsi="Andes" w:cs="Arial"/>
          <w:color w:val="000000"/>
          <w:sz w:val="22"/>
          <w:szCs w:val="22"/>
        </w:rPr>
        <w:t>en mesure </w:t>
      </w:r>
      <w:r w:rsidRPr="000F54B7">
        <w:rPr>
          <w:rFonts w:ascii="Andes" w:eastAsiaTheme="minorHAnsi" w:hAnsi="Andes" w:cs="Arial"/>
          <w:color w:val="000000"/>
          <w:sz w:val="22"/>
          <w:szCs w:val="22"/>
        </w:rPr>
        <w:t xml:space="preserve">: </w:t>
      </w:r>
    </w:p>
    <w:p w14:paraId="1AF61677" w14:textId="77777777" w:rsidR="006D600B" w:rsidRPr="000F54B7" w:rsidRDefault="006D600B" w:rsidP="006D600B">
      <w:pPr>
        <w:pStyle w:val="Paragraphedeliste"/>
        <w:numPr>
          <w:ilvl w:val="0"/>
          <w:numId w:val="140"/>
        </w:numPr>
        <w:spacing w:before="0" w:line="240" w:lineRule="auto"/>
        <w:contextualSpacing w:val="0"/>
        <w:rPr>
          <w:rFonts w:ascii="Andes" w:eastAsiaTheme="minorHAnsi" w:hAnsi="Andes" w:cs="Arial"/>
          <w:sz w:val="22"/>
          <w:szCs w:val="22"/>
        </w:rPr>
      </w:pPr>
      <w:r w:rsidRPr="000F54B7">
        <w:rPr>
          <w:rFonts w:ascii="Andes" w:eastAsiaTheme="minorHAnsi" w:hAnsi="Andes" w:cs="Arial"/>
          <w:sz w:val="22"/>
          <w:szCs w:val="22"/>
        </w:rPr>
        <w:t xml:space="preserve">de définir convenablement le contenu et les spécifications techniques </w:t>
      </w:r>
      <w:r>
        <w:rPr>
          <w:rFonts w:ascii="Andes" w:eastAsiaTheme="minorHAnsi" w:hAnsi="Andes" w:cs="Arial"/>
          <w:sz w:val="22"/>
          <w:szCs w:val="22"/>
        </w:rPr>
        <w:t xml:space="preserve">ou </w:t>
      </w:r>
      <w:r w:rsidRPr="000F54B7">
        <w:rPr>
          <w:rFonts w:ascii="Andes" w:eastAsiaTheme="minorHAnsi" w:hAnsi="Andes" w:cs="Arial"/>
          <w:sz w:val="22"/>
          <w:szCs w:val="22"/>
        </w:rPr>
        <w:t xml:space="preserve">de </w:t>
      </w:r>
      <w:proofErr w:type="gramStart"/>
      <w:r w:rsidRPr="000F54B7">
        <w:rPr>
          <w:rFonts w:ascii="Andes" w:eastAsiaTheme="minorHAnsi" w:hAnsi="Andes" w:cs="Arial"/>
          <w:sz w:val="22"/>
          <w:szCs w:val="22"/>
        </w:rPr>
        <w:t>performance nécessaires</w:t>
      </w:r>
      <w:proofErr w:type="gramEnd"/>
      <w:r w:rsidRPr="000F54B7">
        <w:rPr>
          <w:rFonts w:ascii="Andes" w:eastAsiaTheme="minorHAnsi" w:hAnsi="Andes" w:cs="Arial"/>
          <w:sz w:val="22"/>
          <w:szCs w:val="22"/>
        </w:rPr>
        <w:t xml:space="preserve"> pour satisfaire ses exigence</w:t>
      </w:r>
      <w:r>
        <w:rPr>
          <w:rFonts w:ascii="Andes" w:eastAsiaTheme="minorHAnsi" w:hAnsi="Andes" w:cs="Arial"/>
          <w:sz w:val="22"/>
          <w:szCs w:val="22"/>
        </w:rPr>
        <w:t>s</w:t>
      </w:r>
      <w:r w:rsidRPr="000F54B7">
        <w:rPr>
          <w:rFonts w:ascii="Andes" w:eastAsiaTheme="minorHAnsi" w:hAnsi="Andes" w:cs="Arial"/>
          <w:sz w:val="22"/>
          <w:szCs w:val="22"/>
        </w:rPr>
        <w:t xml:space="preserve"> ; et/ou </w:t>
      </w:r>
    </w:p>
    <w:p w14:paraId="6DC8A054" w14:textId="77777777" w:rsidR="006D600B" w:rsidRPr="000F54B7" w:rsidRDefault="006D600B" w:rsidP="006D600B">
      <w:pPr>
        <w:pStyle w:val="Paragraphedeliste"/>
        <w:numPr>
          <w:ilvl w:val="0"/>
          <w:numId w:val="140"/>
        </w:numPr>
        <w:spacing w:before="0" w:line="240" w:lineRule="auto"/>
        <w:contextualSpacing w:val="0"/>
        <w:rPr>
          <w:rFonts w:ascii="Andes" w:eastAsiaTheme="minorHAnsi" w:hAnsi="Andes" w:cs="Arial"/>
          <w:sz w:val="22"/>
          <w:szCs w:val="22"/>
        </w:rPr>
      </w:pPr>
      <w:r w:rsidRPr="000F54B7">
        <w:rPr>
          <w:rFonts w:ascii="Andes" w:eastAsiaTheme="minorHAnsi" w:hAnsi="Andes" w:cs="Arial"/>
          <w:sz w:val="22"/>
          <w:szCs w:val="22"/>
        </w:rPr>
        <w:t>de préciser de façon suffisamment détaillée les dispositions juridiques et/ou financières du marché.</w:t>
      </w:r>
    </w:p>
    <w:p w14:paraId="44BBB332" w14:textId="6A91E663"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Pour plus de détails, voir l’</w:t>
      </w:r>
      <w:r w:rsidR="00925A7A">
        <w:rPr>
          <w:rFonts w:ascii="Andes" w:hAnsi="Andes" w:cs="Arial"/>
          <w:sz w:val="22"/>
          <w:szCs w:val="22"/>
        </w:rPr>
        <w:t>A</w:t>
      </w:r>
      <w:r w:rsidRPr="000F54B7">
        <w:rPr>
          <w:rFonts w:ascii="Andes" w:hAnsi="Andes" w:cs="Arial"/>
          <w:sz w:val="22"/>
          <w:szCs w:val="22"/>
        </w:rPr>
        <w:t xml:space="preserve">nnexe XIII Dialogue </w:t>
      </w:r>
      <w:r w:rsidR="00330944">
        <w:rPr>
          <w:rFonts w:ascii="Andes" w:hAnsi="Andes" w:cs="Arial"/>
          <w:sz w:val="22"/>
          <w:szCs w:val="22"/>
        </w:rPr>
        <w:t>Compétitif</w:t>
      </w:r>
      <w:r w:rsidRPr="000F54B7">
        <w:rPr>
          <w:rFonts w:ascii="Andes" w:hAnsi="Andes" w:cs="Arial"/>
          <w:sz w:val="22"/>
          <w:szCs w:val="22"/>
        </w:rPr>
        <w:t xml:space="preserve">.  </w:t>
      </w:r>
    </w:p>
    <w:p w14:paraId="6FD66897" w14:textId="77777777" w:rsidR="006D600B" w:rsidRPr="000F54B7" w:rsidRDefault="006D600B" w:rsidP="006D600B">
      <w:pPr>
        <w:spacing w:before="240" w:line="240" w:lineRule="auto"/>
        <w:contextualSpacing w:val="0"/>
        <w:rPr>
          <w:rFonts w:ascii="Andes" w:hAnsi="Andes"/>
          <w:sz w:val="28"/>
        </w:rPr>
      </w:pPr>
      <w:bookmarkStart w:id="2952" w:name="_Toc409085823"/>
      <w:bookmarkStart w:id="2953" w:name="_Toc409086100"/>
      <w:bookmarkStart w:id="2954" w:name="_Toc409086377"/>
      <w:bookmarkStart w:id="2955" w:name="_Toc409248987"/>
      <w:bookmarkStart w:id="2956" w:name="_Toc409255567"/>
      <w:bookmarkStart w:id="2957" w:name="_Toc409255847"/>
      <w:bookmarkStart w:id="2958" w:name="_Toc409256127"/>
      <w:bookmarkStart w:id="2959" w:name="_Toc409256407"/>
      <w:bookmarkStart w:id="2960" w:name="_Toc409256687"/>
      <w:bookmarkStart w:id="2961" w:name="_Toc409270382"/>
      <w:bookmarkStart w:id="2962" w:name="_Toc409270662"/>
      <w:bookmarkStart w:id="2963" w:name="_Toc409509272"/>
      <w:bookmarkStart w:id="2964" w:name="_Toc409509555"/>
      <w:bookmarkStart w:id="2965" w:name="_Toc409509838"/>
      <w:bookmarkStart w:id="2966" w:name="_Toc409510121"/>
      <w:bookmarkStart w:id="2967" w:name="_Toc409510402"/>
      <w:bookmarkStart w:id="2968" w:name="_Toc409595881"/>
      <w:bookmarkStart w:id="2969" w:name="_Toc409607057"/>
      <w:bookmarkStart w:id="2970" w:name="_Toc409085824"/>
      <w:bookmarkStart w:id="2971" w:name="_Toc409086101"/>
      <w:bookmarkStart w:id="2972" w:name="_Toc409086378"/>
      <w:bookmarkStart w:id="2973" w:name="_Toc409248988"/>
      <w:bookmarkStart w:id="2974" w:name="_Toc409255568"/>
      <w:bookmarkStart w:id="2975" w:name="_Toc409255848"/>
      <w:bookmarkStart w:id="2976" w:name="_Toc409256128"/>
      <w:bookmarkStart w:id="2977" w:name="_Toc409256408"/>
      <w:bookmarkStart w:id="2978" w:name="_Toc409256688"/>
      <w:bookmarkStart w:id="2979" w:name="_Toc409270383"/>
      <w:bookmarkStart w:id="2980" w:name="_Toc409270663"/>
      <w:bookmarkStart w:id="2981" w:name="_Toc409509273"/>
      <w:bookmarkStart w:id="2982" w:name="_Toc409509556"/>
      <w:bookmarkStart w:id="2983" w:name="_Toc409509839"/>
      <w:bookmarkStart w:id="2984" w:name="_Toc409510122"/>
      <w:bookmarkStart w:id="2985" w:name="_Toc409510403"/>
      <w:bookmarkStart w:id="2986" w:name="_Toc409595882"/>
      <w:bookmarkStart w:id="2987" w:name="_Toc409607058"/>
      <w:bookmarkStart w:id="2988" w:name="_Toc409085825"/>
      <w:bookmarkStart w:id="2989" w:name="_Toc409086102"/>
      <w:bookmarkStart w:id="2990" w:name="_Toc409086379"/>
      <w:bookmarkStart w:id="2991" w:name="_Toc409248989"/>
      <w:bookmarkStart w:id="2992" w:name="_Toc409255569"/>
      <w:bookmarkStart w:id="2993" w:name="_Toc409255849"/>
      <w:bookmarkStart w:id="2994" w:name="_Toc409256129"/>
      <w:bookmarkStart w:id="2995" w:name="_Toc409256409"/>
      <w:bookmarkStart w:id="2996" w:name="_Toc409256689"/>
      <w:bookmarkStart w:id="2997" w:name="_Toc409270384"/>
      <w:bookmarkStart w:id="2998" w:name="_Toc409270664"/>
      <w:bookmarkStart w:id="2999" w:name="_Toc409509274"/>
      <w:bookmarkStart w:id="3000" w:name="_Toc409509557"/>
      <w:bookmarkStart w:id="3001" w:name="_Toc409509840"/>
      <w:bookmarkStart w:id="3002" w:name="_Toc409510123"/>
      <w:bookmarkStart w:id="3003" w:name="_Toc409510404"/>
      <w:bookmarkStart w:id="3004" w:name="_Toc409595883"/>
      <w:bookmarkStart w:id="3005" w:name="_Toc409607059"/>
      <w:bookmarkStart w:id="3006" w:name="_Toc409085826"/>
      <w:bookmarkStart w:id="3007" w:name="_Toc409086103"/>
      <w:bookmarkStart w:id="3008" w:name="_Toc409086380"/>
      <w:bookmarkStart w:id="3009" w:name="_Toc409248990"/>
      <w:bookmarkStart w:id="3010" w:name="_Toc409255570"/>
      <w:bookmarkStart w:id="3011" w:name="_Toc409255850"/>
      <w:bookmarkStart w:id="3012" w:name="_Toc409256130"/>
      <w:bookmarkStart w:id="3013" w:name="_Toc409256410"/>
      <w:bookmarkStart w:id="3014" w:name="_Toc409256690"/>
      <w:bookmarkStart w:id="3015" w:name="_Toc409270385"/>
      <w:bookmarkStart w:id="3016" w:name="_Toc409270665"/>
      <w:bookmarkStart w:id="3017" w:name="_Toc409509275"/>
      <w:bookmarkStart w:id="3018" w:name="_Toc409509558"/>
      <w:bookmarkStart w:id="3019" w:name="_Toc409509841"/>
      <w:bookmarkStart w:id="3020" w:name="_Toc409510124"/>
      <w:bookmarkStart w:id="3021" w:name="_Toc409510405"/>
      <w:bookmarkStart w:id="3022" w:name="_Toc409595884"/>
      <w:bookmarkStart w:id="3023" w:name="_Toc409607060"/>
      <w:bookmarkStart w:id="3024" w:name="_Toc409085827"/>
      <w:bookmarkStart w:id="3025" w:name="_Toc409086104"/>
      <w:bookmarkStart w:id="3026" w:name="_Toc409086381"/>
      <w:bookmarkStart w:id="3027" w:name="_Toc409248991"/>
      <w:bookmarkStart w:id="3028" w:name="_Toc409255571"/>
      <w:bookmarkStart w:id="3029" w:name="_Toc409255851"/>
      <w:bookmarkStart w:id="3030" w:name="_Toc409256131"/>
      <w:bookmarkStart w:id="3031" w:name="_Toc409256411"/>
      <w:bookmarkStart w:id="3032" w:name="_Toc409256691"/>
      <w:bookmarkStart w:id="3033" w:name="_Toc409270386"/>
      <w:bookmarkStart w:id="3034" w:name="_Toc409270666"/>
      <w:bookmarkStart w:id="3035" w:name="_Toc409509276"/>
      <w:bookmarkStart w:id="3036" w:name="_Toc409509559"/>
      <w:bookmarkStart w:id="3037" w:name="_Toc409509842"/>
      <w:bookmarkStart w:id="3038" w:name="_Toc409510125"/>
      <w:bookmarkStart w:id="3039" w:name="_Toc409510406"/>
      <w:bookmarkStart w:id="3040" w:name="_Toc409595885"/>
      <w:bookmarkStart w:id="3041" w:name="_Toc409607061"/>
      <w:bookmarkStart w:id="3042" w:name="_Toc409085828"/>
      <w:bookmarkStart w:id="3043" w:name="_Toc409086105"/>
      <w:bookmarkStart w:id="3044" w:name="_Toc409086382"/>
      <w:bookmarkStart w:id="3045" w:name="_Toc409248992"/>
      <w:bookmarkStart w:id="3046" w:name="_Toc409255572"/>
      <w:bookmarkStart w:id="3047" w:name="_Toc409255852"/>
      <w:bookmarkStart w:id="3048" w:name="_Toc409256132"/>
      <w:bookmarkStart w:id="3049" w:name="_Toc409256412"/>
      <w:bookmarkStart w:id="3050" w:name="_Toc409256692"/>
      <w:bookmarkStart w:id="3051" w:name="_Toc409270387"/>
      <w:bookmarkStart w:id="3052" w:name="_Toc409270667"/>
      <w:bookmarkStart w:id="3053" w:name="_Toc409509277"/>
      <w:bookmarkStart w:id="3054" w:name="_Toc409509560"/>
      <w:bookmarkStart w:id="3055" w:name="_Toc409509843"/>
      <w:bookmarkStart w:id="3056" w:name="_Toc409510126"/>
      <w:bookmarkStart w:id="3057" w:name="_Toc409510407"/>
      <w:bookmarkStart w:id="3058" w:name="_Toc409595886"/>
      <w:bookmarkStart w:id="3059" w:name="_Toc409607062"/>
      <w:bookmarkStart w:id="3060" w:name="_Toc409085829"/>
      <w:bookmarkStart w:id="3061" w:name="_Toc409086106"/>
      <w:bookmarkStart w:id="3062" w:name="_Toc409086383"/>
      <w:bookmarkStart w:id="3063" w:name="_Toc409248993"/>
      <w:bookmarkStart w:id="3064" w:name="_Toc409255573"/>
      <w:bookmarkStart w:id="3065" w:name="_Toc409255853"/>
      <w:bookmarkStart w:id="3066" w:name="_Toc409256133"/>
      <w:bookmarkStart w:id="3067" w:name="_Toc409256413"/>
      <w:bookmarkStart w:id="3068" w:name="_Toc409256693"/>
      <w:bookmarkStart w:id="3069" w:name="_Toc409270388"/>
      <w:bookmarkStart w:id="3070" w:name="_Toc409270668"/>
      <w:bookmarkStart w:id="3071" w:name="_Toc409509278"/>
      <w:bookmarkStart w:id="3072" w:name="_Toc409509561"/>
      <w:bookmarkStart w:id="3073" w:name="_Toc409509844"/>
      <w:bookmarkStart w:id="3074" w:name="_Toc409510127"/>
      <w:bookmarkStart w:id="3075" w:name="_Toc409510408"/>
      <w:bookmarkStart w:id="3076" w:name="_Toc409595887"/>
      <w:bookmarkStart w:id="3077" w:name="_Toc409607063"/>
      <w:bookmarkStart w:id="3078" w:name="_Toc409085830"/>
      <w:bookmarkStart w:id="3079" w:name="_Toc409086107"/>
      <w:bookmarkStart w:id="3080" w:name="_Toc409086384"/>
      <w:bookmarkStart w:id="3081" w:name="_Toc409248994"/>
      <w:bookmarkStart w:id="3082" w:name="_Toc409255574"/>
      <w:bookmarkStart w:id="3083" w:name="_Toc409255854"/>
      <w:bookmarkStart w:id="3084" w:name="_Toc409256134"/>
      <w:bookmarkStart w:id="3085" w:name="_Toc409256414"/>
      <w:bookmarkStart w:id="3086" w:name="_Toc409256694"/>
      <w:bookmarkStart w:id="3087" w:name="_Toc409270389"/>
      <w:bookmarkStart w:id="3088" w:name="_Toc409270669"/>
      <w:bookmarkStart w:id="3089" w:name="_Toc409509279"/>
      <w:bookmarkStart w:id="3090" w:name="_Toc409509562"/>
      <w:bookmarkStart w:id="3091" w:name="_Toc409509845"/>
      <w:bookmarkStart w:id="3092" w:name="_Toc409510128"/>
      <w:bookmarkStart w:id="3093" w:name="_Toc409510409"/>
      <w:bookmarkStart w:id="3094" w:name="_Toc409595888"/>
      <w:bookmarkStart w:id="3095" w:name="_Toc409607064"/>
      <w:bookmarkStart w:id="3096" w:name="_Toc409085831"/>
      <w:bookmarkStart w:id="3097" w:name="_Toc409086108"/>
      <w:bookmarkStart w:id="3098" w:name="_Toc409086385"/>
      <w:bookmarkStart w:id="3099" w:name="_Toc409248995"/>
      <w:bookmarkStart w:id="3100" w:name="_Toc409255575"/>
      <w:bookmarkStart w:id="3101" w:name="_Toc409255855"/>
      <w:bookmarkStart w:id="3102" w:name="_Toc409256135"/>
      <w:bookmarkStart w:id="3103" w:name="_Toc409256415"/>
      <w:bookmarkStart w:id="3104" w:name="_Toc409256695"/>
      <w:bookmarkStart w:id="3105" w:name="_Toc409270390"/>
      <w:bookmarkStart w:id="3106" w:name="_Toc409270670"/>
      <w:bookmarkStart w:id="3107" w:name="_Toc409509280"/>
      <w:bookmarkStart w:id="3108" w:name="_Toc409509563"/>
      <w:bookmarkStart w:id="3109" w:name="_Toc409509846"/>
      <w:bookmarkStart w:id="3110" w:name="_Toc409510129"/>
      <w:bookmarkStart w:id="3111" w:name="_Toc409510410"/>
      <w:bookmarkStart w:id="3112" w:name="_Toc409595889"/>
      <w:bookmarkStart w:id="3113" w:name="_Toc409607065"/>
      <w:bookmarkStart w:id="3114" w:name="_Toc409085832"/>
      <w:bookmarkStart w:id="3115" w:name="_Toc409086109"/>
      <w:bookmarkStart w:id="3116" w:name="_Toc409086386"/>
      <w:bookmarkStart w:id="3117" w:name="_Toc409248996"/>
      <w:bookmarkStart w:id="3118" w:name="_Toc409255576"/>
      <w:bookmarkStart w:id="3119" w:name="_Toc409255856"/>
      <w:bookmarkStart w:id="3120" w:name="_Toc409256136"/>
      <w:bookmarkStart w:id="3121" w:name="_Toc409256416"/>
      <w:bookmarkStart w:id="3122" w:name="_Toc409256696"/>
      <w:bookmarkStart w:id="3123" w:name="_Toc409270391"/>
      <w:bookmarkStart w:id="3124" w:name="_Toc409270671"/>
      <w:bookmarkStart w:id="3125" w:name="_Toc409509281"/>
      <w:bookmarkStart w:id="3126" w:name="_Toc409509564"/>
      <w:bookmarkStart w:id="3127" w:name="_Toc409509847"/>
      <w:bookmarkStart w:id="3128" w:name="_Toc409510130"/>
      <w:bookmarkStart w:id="3129" w:name="_Toc409510411"/>
      <w:bookmarkStart w:id="3130" w:name="_Toc409595890"/>
      <w:bookmarkStart w:id="3131" w:name="_Toc409607066"/>
      <w:bookmarkStart w:id="3132" w:name="_Toc409085833"/>
      <w:bookmarkStart w:id="3133" w:name="_Toc409086110"/>
      <w:bookmarkStart w:id="3134" w:name="_Toc409086387"/>
      <w:bookmarkStart w:id="3135" w:name="_Toc409248997"/>
      <w:bookmarkStart w:id="3136" w:name="_Toc409255577"/>
      <w:bookmarkStart w:id="3137" w:name="_Toc409255857"/>
      <w:bookmarkStart w:id="3138" w:name="_Toc409256137"/>
      <w:bookmarkStart w:id="3139" w:name="_Toc409256417"/>
      <w:bookmarkStart w:id="3140" w:name="_Toc409256697"/>
      <w:bookmarkStart w:id="3141" w:name="_Toc409270392"/>
      <w:bookmarkStart w:id="3142" w:name="_Toc409270672"/>
      <w:bookmarkStart w:id="3143" w:name="_Toc409509282"/>
      <w:bookmarkStart w:id="3144" w:name="_Toc409509565"/>
      <w:bookmarkStart w:id="3145" w:name="_Toc409509848"/>
      <w:bookmarkStart w:id="3146" w:name="_Toc409510131"/>
      <w:bookmarkStart w:id="3147" w:name="_Toc409510412"/>
      <w:bookmarkStart w:id="3148" w:name="_Toc409595891"/>
      <w:bookmarkStart w:id="3149" w:name="_Toc409607067"/>
      <w:bookmarkStart w:id="3150" w:name="_Toc409085834"/>
      <w:bookmarkStart w:id="3151" w:name="_Toc409086111"/>
      <w:bookmarkStart w:id="3152" w:name="_Toc409086388"/>
      <w:bookmarkStart w:id="3153" w:name="_Toc409248998"/>
      <w:bookmarkStart w:id="3154" w:name="_Toc409255578"/>
      <w:bookmarkStart w:id="3155" w:name="_Toc409255858"/>
      <w:bookmarkStart w:id="3156" w:name="_Toc409256138"/>
      <w:bookmarkStart w:id="3157" w:name="_Toc409256418"/>
      <w:bookmarkStart w:id="3158" w:name="_Toc409256698"/>
      <w:bookmarkStart w:id="3159" w:name="_Toc409270393"/>
      <w:bookmarkStart w:id="3160" w:name="_Toc409270673"/>
      <w:bookmarkStart w:id="3161" w:name="_Toc409509283"/>
      <w:bookmarkStart w:id="3162" w:name="_Toc409509566"/>
      <w:bookmarkStart w:id="3163" w:name="_Toc409509849"/>
      <w:bookmarkStart w:id="3164" w:name="_Toc409510132"/>
      <w:bookmarkStart w:id="3165" w:name="_Toc409510413"/>
      <w:bookmarkStart w:id="3166" w:name="_Toc409595892"/>
      <w:bookmarkStart w:id="3167" w:name="_Toc409607068"/>
      <w:bookmarkStart w:id="3168" w:name="_Toc409085835"/>
      <w:bookmarkStart w:id="3169" w:name="_Toc409086112"/>
      <w:bookmarkStart w:id="3170" w:name="_Toc409086389"/>
      <w:bookmarkStart w:id="3171" w:name="_Toc409248999"/>
      <w:bookmarkStart w:id="3172" w:name="_Toc409255579"/>
      <w:bookmarkStart w:id="3173" w:name="_Toc409255859"/>
      <w:bookmarkStart w:id="3174" w:name="_Toc409256139"/>
      <w:bookmarkStart w:id="3175" w:name="_Toc409256419"/>
      <w:bookmarkStart w:id="3176" w:name="_Toc409256699"/>
      <w:bookmarkStart w:id="3177" w:name="_Toc409270394"/>
      <w:bookmarkStart w:id="3178" w:name="_Toc409270674"/>
      <w:bookmarkStart w:id="3179" w:name="_Toc409509284"/>
      <w:bookmarkStart w:id="3180" w:name="_Toc409509567"/>
      <w:bookmarkStart w:id="3181" w:name="_Toc409509850"/>
      <w:bookmarkStart w:id="3182" w:name="_Toc409510133"/>
      <w:bookmarkStart w:id="3183" w:name="_Toc409510414"/>
      <w:bookmarkStart w:id="3184" w:name="_Toc409595893"/>
      <w:bookmarkStart w:id="3185" w:name="_Toc409607069"/>
      <w:bookmarkStart w:id="3186" w:name="_Toc409085836"/>
      <w:bookmarkStart w:id="3187" w:name="_Toc409086113"/>
      <w:bookmarkStart w:id="3188" w:name="_Toc409086390"/>
      <w:bookmarkStart w:id="3189" w:name="_Toc409249000"/>
      <w:bookmarkStart w:id="3190" w:name="_Toc409255580"/>
      <w:bookmarkStart w:id="3191" w:name="_Toc409255860"/>
      <w:bookmarkStart w:id="3192" w:name="_Toc409256140"/>
      <w:bookmarkStart w:id="3193" w:name="_Toc409256420"/>
      <w:bookmarkStart w:id="3194" w:name="_Toc409256700"/>
      <w:bookmarkStart w:id="3195" w:name="_Toc409270395"/>
      <w:bookmarkStart w:id="3196" w:name="_Toc409270675"/>
      <w:bookmarkStart w:id="3197" w:name="_Toc409509285"/>
      <w:bookmarkStart w:id="3198" w:name="_Toc409509568"/>
      <w:bookmarkStart w:id="3199" w:name="_Toc409509851"/>
      <w:bookmarkStart w:id="3200" w:name="_Toc409510134"/>
      <w:bookmarkStart w:id="3201" w:name="_Toc409510415"/>
      <w:bookmarkStart w:id="3202" w:name="_Toc409595894"/>
      <w:bookmarkStart w:id="3203" w:name="_Toc409607070"/>
      <w:bookmarkStart w:id="3204" w:name="_Toc409085837"/>
      <w:bookmarkStart w:id="3205" w:name="_Toc409086114"/>
      <w:bookmarkStart w:id="3206" w:name="_Toc409086391"/>
      <w:bookmarkStart w:id="3207" w:name="_Toc409249001"/>
      <w:bookmarkStart w:id="3208" w:name="_Toc409255581"/>
      <w:bookmarkStart w:id="3209" w:name="_Toc409255861"/>
      <w:bookmarkStart w:id="3210" w:name="_Toc409256141"/>
      <w:bookmarkStart w:id="3211" w:name="_Toc409256421"/>
      <w:bookmarkStart w:id="3212" w:name="_Toc409256701"/>
      <w:bookmarkStart w:id="3213" w:name="_Toc409270396"/>
      <w:bookmarkStart w:id="3214" w:name="_Toc409270676"/>
      <w:bookmarkStart w:id="3215" w:name="_Toc409509286"/>
      <w:bookmarkStart w:id="3216" w:name="_Toc409509569"/>
      <w:bookmarkStart w:id="3217" w:name="_Toc409509852"/>
      <w:bookmarkStart w:id="3218" w:name="_Toc409510135"/>
      <w:bookmarkStart w:id="3219" w:name="_Toc409510416"/>
      <w:bookmarkStart w:id="3220" w:name="_Toc409595895"/>
      <w:bookmarkStart w:id="3221" w:name="_Toc409607071"/>
      <w:bookmarkStart w:id="3222" w:name="_Toc453170914"/>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r w:rsidRPr="000F54B7">
        <w:rPr>
          <w:rFonts w:ascii="Andes" w:hAnsi="Andes"/>
          <w:b/>
          <w:sz w:val="28"/>
          <w:szCs w:val="28"/>
        </w:rPr>
        <w:t>Partenariats Public-Privé (PPP)</w:t>
      </w:r>
      <w:bookmarkEnd w:id="3222"/>
    </w:p>
    <w:p w14:paraId="0F776A7C" w14:textId="77777777"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Un PPP est un marché de longue durée conclu entre une </w:t>
      </w:r>
      <w:r>
        <w:rPr>
          <w:rFonts w:ascii="Andes" w:hAnsi="Andes" w:cs="Arial"/>
          <w:sz w:val="22"/>
          <w:szCs w:val="22"/>
        </w:rPr>
        <w:t xml:space="preserve">partie </w:t>
      </w:r>
      <w:r w:rsidRPr="000F54B7">
        <w:rPr>
          <w:rFonts w:ascii="Andes" w:hAnsi="Andes" w:cs="Arial"/>
          <w:sz w:val="22"/>
          <w:szCs w:val="22"/>
        </w:rPr>
        <w:t xml:space="preserve">privée et une entité publique en vue de fournir un bien ou un service public, dans lequel la partie privée supporte </w:t>
      </w:r>
      <w:r>
        <w:rPr>
          <w:rFonts w:ascii="Andes" w:hAnsi="Andes" w:cs="Arial"/>
          <w:sz w:val="22"/>
          <w:szCs w:val="22"/>
        </w:rPr>
        <w:t xml:space="preserve">des risques </w:t>
      </w:r>
      <w:r w:rsidRPr="000F54B7">
        <w:rPr>
          <w:rFonts w:ascii="Andes" w:hAnsi="Andes" w:cs="Arial"/>
          <w:sz w:val="22"/>
          <w:szCs w:val="22"/>
        </w:rPr>
        <w:t>important</w:t>
      </w:r>
      <w:r>
        <w:rPr>
          <w:rFonts w:ascii="Andes" w:hAnsi="Andes" w:cs="Arial"/>
          <w:sz w:val="22"/>
          <w:szCs w:val="22"/>
        </w:rPr>
        <w:t xml:space="preserve">s, assure la gestion et reçoit une </w:t>
      </w:r>
      <w:r w:rsidRPr="000F54B7">
        <w:rPr>
          <w:rFonts w:ascii="Andes" w:hAnsi="Andes" w:cs="Arial"/>
          <w:sz w:val="22"/>
          <w:szCs w:val="22"/>
        </w:rPr>
        <w:t xml:space="preserve">rémunération liée à la performance. </w:t>
      </w:r>
    </w:p>
    <w:p w14:paraId="733CD3D0" w14:textId="77777777"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La Banque peut financer le coût d’un projet ou d’un marché passé dans le cadre d’un PPP, par exemple de type construction, exploitation et propriété (CEP), construction, exploitation et transfert (CET) ou construction, propriété, exploitation et transfert (CPET) ou d’un autre dispositif similaire faisant intervenir le secteur privé, si la sélection :</w:t>
      </w:r>
    </w:p>
    <w:p w14:paraId="7F96B850" w14:textId="77777777" w:rsidR="006D600B" w:rsidRPr="000F54B7" w:rsidRDefault="006D600B" w:rsidP="006D600B">
      <w:pPr>
        <w:pStyle w:val="Paragraphedeliste"/>
        <w:numPr>
          <w:ilvl w:val="0"/>
          <w:numId w:val="271"/>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est effectuée dans le respect des Principes Fondamentaux de Passation des Marchés ;</w:t>
      </w:r>
    </w:p>
    <w:p w14:paraId="5429C8AD" w14:textId="77777777" w:rsidR="006D600B" w:rsidRPr="000F54B7" w:rsidRDefault="006D600B" w:rsidP="006D600B">
      <w:pPr>
        <w:pStyle w:val="Paragraphedeliste"/>
        <w:numPr>
          <w:ilvl w:val="0"/>
          <w:numId w:val="271"/>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 xml:space="preserve">applique </w:t>
      </w:r>
      <w:r w:rsidRPr="000F54B7">
        <w:rPr>
          <w:rFonts w:ascii="Andes" w:eastAsiaTheme="minorHAnsi" w:hAnsi="Andes" w:cs="Arial"/>
          <w:color w:val="000000"/>
          <w:sz w:val="22"/>
          <w:szCs w:val="22"/>
        </w:rPr>
        <w:t xml:space="preserve">les Directives pour la Lutte contre la Corruption publiées par la Banque ; et </w:t>
      </w:r>
    </w:p>
    <w:p w14:paraId="6204792D" w14:textId="77777777" w:rsidR="006D600B" w:rsidRPr="000F54B7" w:rsidRDefault="006D600B" w:rsidP="006D600B">
      <w:pPr>
        <w:pStyle w:val="Paragraphedeliste"/>
        <w:numPr>
          <w:ilvl w:val="0"/>
          <w:numId w:val="271"/>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est conforme, en tant que de besoin, aux exigences énoncées dans le présent Règlement de passation des marchés.  </w:t>
      </w:r>
    </w:p>
    <w:p w14:paraId="60A99581" w14:textId="52682066"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Pour plus de détails, voir l’</w:t>
      </w:r>
      <w:r w:rsidR="00925A7A">
        <w:rPr>
          <w:rFonts w:ascii="Andes" w:hAnsi="Andes" w:cs="Arial"/>
          <w:sz w:val="22"/>
          <w:szCs w:val="22"/>
        </w:rPr>
        <w:t>A</w:t>
      </w:r>
      <w:r w:rsidRPr="000F54B7">
        <w:rPr>
          <w:rFonts w:ascii="Andes" w:hAnsi="Andes" w:cs="Arial"/>
          <w:sz w:val="22"/>
          <w:szCs w:val="22"/>
        </w:rPr>
        <w:t xml:space="preserve">nnexe XIV Partenariats Public-Privé.  </w:t>
      </w:r>
    </w:p>
    <w:p w14:paraId="64D94DC1" w14:textId="335A1648"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Le partenaire privé sélectionné conformément aux dispositions de l’</w:t>
      </w:r>
      <w:r w:rsidR="00925A7A">
        <w:rPr>
          <w:rFonts w:ascii="Andes" w:hAnsi="Andes" w:cs="Arial"/>
          <w:sz w:val="22"/>
          <w:szCs w:val="22"/>
        </w:rPr>
        <w:t>A</w:t>
      </w:r>
      <w:r w:rsidRPr="000F54B7">
        <w:rPr>
          <w:rFonts w:ascii="Andes" w:hAnsi="Andes" w:cs="Arial"/>
          <w:sz w:val="22"/>
          <w:szCs w:val="22"/>
        </w:rPr>
        <w:t>nnexe XIV Partenariats Public-Privé obtient ensuite les Fournitures, les Travaux, les Services Autres que des Services de Consultants et/ou les Services de Consultants nécessaires à l’</w:t>
      </w:r>
      <w:r>
        <w:rPr>
          <w:rFonts w:ascii="Andes" w:hAnsi="Andes" w:cs="Arial"/>
          <w:sz w:val="22"/>
          <w:szCs w:val="22"/>
        </w:rPr>
        <w:t xml:space="preserve">installation </w:t>
      </w:r>
      <w:r w:rsidRPr="000F54B7">
        <w:rPr>
          <w:rFonts w:ascii="Andes" w:hAnsi="Andes" w:cs="Arial"/>
          <w:sz w:val="22"/>
          <w:szCs w:val="22"/>
        </w:rPr>
        <w:t xml:space="preserve">auprès de sources </w:t>
      </w:r>
      <w:r>
        <w:rPr>
          <w:rFonts w:ascii="Andes" w:hAnsi="Andes" w:cs="Arial"/>
          <w:sz w:val="22"/>
          <w:szCs w:val="22"/>
        </w:rPr>
        <w:t>répondant aux critères d’éligibilité</w:t>
      </w:r>
      <w:r w:rsidRPr="000F54B7">
        <w:rPr>
          <w:rFonts w:ascii="Andes" w:hAnsi="Andes" w:cs="Arial"/>
          <w:sz w:val="22"/>
          <w:szCs w:val="22"/>
        </w:rPr>
        <w:t>, en utilisant ses propres procédures.</w:t>
      </w:r>
    </w:p>
    <w:p w14:paraId="7F88C16C" w14:textId="77777777" w:rsidR="006D600B" w:rsidRPr="000F54B7" w:rsidRDefault="006D600B" w:rsidP="006D600B">
      <w:pPr>
        <w:spacing w:before="240" w:line="240" w:lineRule="auto"/>
        <w:contextualSpacing w:val="0"/>
        <w:rPr>
          <w:rFonts w:ascii="Andes" w:hAnsi="Andes"/>
          <w:sz w:val="28"/>
        </w:rPr>
      </w:pPr>
      <w:bookmarkStart w:id="3223" w:name="_Toc453170915"/>
      <w:r w:rsidRPr="000F54B7">
        <w:rPr>
          <w:rFonts w:ascii="Andes" w:hAnsi="Andes"/>
          <w:b/>
          <w:sz w:val="28"/>
          <w:szCs w:val="28"/>
        </w:rPr>
        <w:t>Pratiques commerciales</w:t>
      </w:r>
      <w:bookmarkEnd w:id="3223"/>
    </w:p>
    <w:p w14:paraId="3C71440C" w14:textId="2A6923CF"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Le terme « pratiques commerciales » fait référence à l’utilisation de modalités de passation de marchés bien établies dans le secteur privé (</w:t>
      </w:r>
      <w:r>
        <w:rPr>
          <w:rFonts w:ascii="Andes" w:hAnsi="Andes" w:cs="Arial"/>
          <w:sz w:val="22"/>
          <w:szCs w:val="22"/>
        </w:rPr>
        <w:t>normalement non soumis</w:t>
      </w:r>
      <w:r w:rsidRPr="000F54B7">
        <w:rPr>
          <w:rFonts w:ascii="Andes" w:hAnsi="Andes" w:cs="Arial"/>
          <w:sz w:val="22"/>
          <w:szCs w:val="22"/>
        </w:rPr>
        <w:t xml:space="preserve"> à la législation de l’Emprunteur relative à la passation des marchés publics) pour l’achat de Fournitures, de Travaux ou de Services Autres que des Services de Consultants. Les pratiques commerciales peuvent aussi être utilisées pour un programme d’importations engagé par des acteurs privés (</w:t>
      </w:r>
      <w:r>
        <w:rPr>
          <w:rFonts w:ascii="Andes" w:hAnsi="Andes" w:cs="Arial"/>
          <w:sz w:val="22"/>
          <w:szCs w:val="22"/>
        </w:rPr>
        <w:t xml:space="preserve">selon les dispositions du </w:t>
      </w:r>
      <w:r w:rsidR="00925A7A">
        <w:rPr>
          <w:rFonts w:ascii="Andes" w:hAnsi="Andes" w:cs="Arial"/>
          <w:sz w:val="22"/>
          <w:szCs w:val="22"/>
        </w:rPr>
        <w:t>P</w:t>
      </w:r>
      <w:r w:rsidRPr="000F54B7">
        <w:rPr>
          <w:rFonts w:ascii="Andes" w:hAnsi="Andes" w:cs="Arial"/>
          <w:sz w:val="22"/>
          <w:szCs w:val="22"/>
        </w:rPr>
        <w:t xml:space="preserve">aragraphe 6.50). Les Principes Fondamentaux de Passation des Marchés </w:t>
      </w:r>
      <w:r>
        <w:rPr>
          <w:rFonts w:ascii="Andes" w:hAnsi="Andes" w:cs="Arial"/>
          <w:sz w:val="22"/>
          <w:szCs w:val="22"/>
        </w:rPr>
        <w:t xml:space="preserve">publiés par </w:t>
      </w:r>
      <w:r w:rsidRPr="000F54B7">
        <w:rPr>
          <w:rFonts w:ascii="Andes" w:hAnsi="Andes" w:cs="Arial"/>
          <w:sz w:val="22"/>
          <w:szCs w:val="22"/>
        </w:rPr>
        <w:t xml:space="preserve">la Banque </w:t>
      </w:r>
      <w:r>
        <w:rPr>
          <w:rFonts w:ascii="Andes" w:hAnsi="Andes" w:cs="Arial"/>
          <w:sz w:val="22"/>
          <w:szCs w:val="22"/>
        </w:rPr>
        <w:t xml:space="preserve">servent de </w:t>
      </w:r>
      <w:r w:rsidRPr="000F54B7">
        <w:rPr>
          <w:rFonts w:ascii="Andes" w:hAnsi="Andes" w:cs="Arial"/>
          <w:sz w:val="22"/>
          <w:szCs w:val="22"/>
        </w:rPr>
        <w:t xml:space="preserve">référence pour juger du caractère acceptable des pratiques commerciales. </w:t>
      </w:r>
    </w:p>
    <w:p w14:paraId="604C44EB" w14:textId="77777777" w:rsidR="006D600B" w:rsidRPr="000F54B7" w:rsidRDefault="006D600B" w:rsidP="006D600B">
      <w:pPr>
        <w:spacing w:before="240" w:line="240" w:lineRule="auto"/>
        <w:contextualSpacing w:val="0"/>
        <w:rPr>
          <w:rFonts w:ascii="Andes" w:hAnsi="Andes"/>
          <w:sz w:val="28"/>
        </w:rPr>
      </w:pPr>
      <w:bookmarkStart w:id="3224" w:name="_Toc453170916"/>
      <w:r w:rsidRPr="000F54B7">
        <w:rPr>
          <w:rFonts w:ascii="Andes" w:hAnsi="Andes"/>
          <w:b/>
          <w:sz w:val="28"/>
          <w:szCs w:val="28"/>
        </w:rPr>
        <w:t>Institutions des Nations Unies</w:t>
      </w:r>
      <w:bookmarkEnd w:id="3224"/>
    </w:p>
    <w:p w14:paraId="68FCCCED" w14:textId="77777777"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Pr>
          <w:rFonts w:ascii="Andes" w:hAnsi="Andes" w:cs="Arial"/>
          <w:sz w:val="22"/>
          <w:szCs w:val="22"/>
        </w:rPr>
        <w:lastRenderedPageBreak/>
        <w:t>Sous réserve d’en être convenu</w:t>
      </w:r>
      <w:r w:rsidRPr="000F54B7">
        <w:rPr>
          <w:rFonts w:ascii="Andes" w:hAnsi="Andes" w:cs="Arial"/>
          <w:sz w:val="22"/>
          <w:szCs w:val="22"/>
        </w:rPr>
        <w:t xml:space="preserve"> avec la Banque, </w:t>
      </w:r>
      <w:r>
        <w:rPr>
          <w:rFonts w:ascii="Andes" w:hAnsi="Andes" w:cs="Arial"/>
          <w:sz w:val="22"/>
          <w:szCs w:val="22"/>
        </w:rPr>
        <w:t>un Emprunteur</w:t>
      </w:r>
      <w:r w:rsidRPr="000F54B7">
        <w:rPr>
          <w:rFonts w:ascii="Andes" w:hAnsi="Andes" w:cs="Arial"/>
          <w:sz w:val="22"/>
          <w:szCs w:val="22"/>
        </w:rPr>
        <w:t xml:space="preserve"> pe</w:t>
      </w:r>
      <w:r>
        <w:rPr>
          <w:rFonts w:ascii="Andes" w:hAnsi="Andes" w:cs="Arial"/>
          <w:sz w:val="22"/>
          <w:szCs w:val="22"/>
        </w:rPr>
        <w:t>u</w:t>
      </w:r>
      <w:r w:rsidRPr="000F54B7">
        <w:rPr>
          <w:rFonts w:ascii="Andes" w:hAnsi="Andes" w:cs="Arial"/>
          <w:sz w:val="22"/>
          <w:szCs w:val="22"/>
        </w:rPr>
        <w:t xml:space="preserve">t sélectionner des Institutions des Nations Unies directement </w:t>
      </w:r>
      <w:r>
        <w:rPr>
          <w:rFonts w:ascii="Andes" w:hAnsi="Andes" w:cs="Arial"/>
          <w:sz w:val="22"/>
          <w:szCs w:val="22"/>
        </w:rPr>
        <w:t xml:space="preserve">lorsque </w:t>
      </w:r>
      <w:r w:rsidRPr="000F54B7">
        <w:rPr>
          <w:rFonts w:ascii="Andes" w:hAnsi="Andes" w:cs="Arial"/>
          <w:sz w:val="22"/>
          <w:szCs w:val="22"/>
        </w:rPr>
        <w:t xml:space="preserve">leurs compétences ou leur mobilisation rapide sur le terrain sont déterminantes, en particulier dans les situations de besoin urgent d’assistance ou de capacités insuffisantes. </w:t>
      </w:r>
    </w:p>
    <w:p w14:paraId="454E8CF8" w14:textId="77777777"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sz w:val="22"/>
          <w:szCs w:val="22"/>
        </w:rPr>
      </w:pPr>
      <w:r w:rsidRPr="000F54B7">
        <w:rPr>
          <w:rFonts w:ascii="Andes" w:hAnsi="Andes" w:cs="Arial"/>
          <w:sz w:val="22"/>
          <w:szCs w:val="22"/>
        </w:rPr>
        <w:t>Lorsqu’il passe un marché avec une Institution des Nations Unies, l’Emprunteur doit utiliser un contrat type entre lui et l’Institution des Nations Unies ou un modèle de contrat approuvé par la Banque</w:t>
      </w:r>
      <w:r>
        <w:rPr>
          <w:rFonts w:ascii="Andes" w:hAnsi="Andes" w:cs="Arial"/>
          <w:sz w:val="22"/>
          <w:szCs w:val="22"/>
        </w:rPr>
        <w:t xml:space="preserve"> et</w:t>
      </w:r>
      <w:r w:rsidRPr="00716082">
        <w:rPr>
          <w:rFonts w:ascii="Andes" w:hAnsi="Andes" w:cs="Arial"/>
          <w:sz w:val="22"/>
          <w:szCs w:val="22"/>
        </w:rPr>
        <w:t xml:space="preserve"> </w:t>
      </w:r>
      <w:r w:rsidRPr="000F54B7">
        <w:rPr>
          <w:rFonts w:ascii="Andes" w:hAnsi="Andes" w:cs="Arial"/>
          <w:sz w:val="22"/>
          <w:szCs w:val="22"/>
        </w:rPr>
        <w:t xml:space="preserve">spécifique </w:t>
      </w:r>
      <w:r>
        <w:rPr>
          <w:rFonts w:ascii="Andes" w:hAnsi="Andes" w:cs="Arial"/>
          <w:sz w:val="22"/>
          <w:szCs w:val="22"/>
        </w:rPr>
        <w:t>à la situation</w:t>
      </w:r>
      <w:r w:rsidRPr="000F54B7">
        <w:rPr>
          <w:rFonts w:ascii="Andes" w:hAnsi="Andes" w:cs="Arial"/>
          <w:sz w:val="22"/>
          <w:szCs w:val="22"/>
        </w:rPr>
        <w:t xml:space="preserve">. </w:t>
      </w:r>
      <w:r>
        <w:rPr>
          <w:rFonts w:ascii="Andes" w:hAnsi="Andes" w:cs="Arial"/>
          <w:sz w:val="22"/>
          <w:szCs w:val="22"/>
        </w:rPr>
        <w:t xml:space="preserve">Lorsque </w:t>
      </w:r>
      <w:r w:rsidRPr="000F54B7">
        <w:rPr>
          <w:rFonts w:ascii="Andes" w:hAnsi="Andes" w:cs="Arial"/>
          <w:sz w:val="22"/>
          <w:szCs w:val="22"/>
        </w:rPr>
        <w:t xml:space="preserve">la Banque et une Institution </w:t>
      </w:r>
      <w:r>
        <w:rPr>
          <w:rFonts w:ascii="Andes" w:hAnsi="Andes" w:cs="Arial"/>
          <w:sz w:val="22"/>
          <w:szCs w:val="22"/>
        </w:rPr>
        <w:t xml:space="preserve">des Nations Unies ont un Accord </w:t>
      </w:r>
      <w:r w:rsidRPr="000F54B7">
        <w:rPr>
          <w:rFonts w:ascii="Andes" w:hAnsi="Andes" w:cs="Arial"/>
          <w:sz w:val="22"/>
          <w:szCs w:val="22"/>
        </w:rPr>
        <w:t xml:space="preserve">Cadre établi, l’Emprunteur peut </w:t>
      </w:r>
      <w:r>
        <w:rPr>
          <w:rFonts w:ascii="Andes" w:hAnsi="Andes" w:cs="Arial"/>
          <w:sz w:val="22"/>
          <w:szCs w:val="22"/>
        </w:rPr>
        <w:t xml:space="preserve">utiliser </w:t>
      </w:r>
      <w:r w:rsidRPr="000F54B7">
        <w:rPr>
          <w:rFonts w:ascii="Andes" w:hAnsi="Andes" w:cs="Arial"/>
          <w:sz w:val="22"/>
          <w:szCs w:val="22"/>
        </w:rPr>
        <w:t>l’AC lorsqu’il passe un marché avec l’Institution des Nations Unies.</w:t>
      </w:r>
    </w:p>
    <w:p w14:paraId="7182DD02" w14:textId="77777777" w:rsidR="006D600B" w:rsidRPr="000F54B7" w:rsidRDefault="006D600B" w:rsidP="006D600B">
      <w:pPr>
        <w:spacing w:before="240" w:line="240" w:lineRule="auto"/>
        <w:contextualSpacing w:val="0"/>
        <w:rPr>
          <w:rFonts w:ascii="Andes" w:hAnsi="Andes"/>
          <w:sz w:val="28"/>
        </w:rPr>
      </w:pPr>
      <w:bookmarkStart w:id="3225" w:name="_Toc453170917"/>
      <w:r w:rsidRPr="000F54B7">
        <w:rPr>
          <w:rFonts w:ascii="Andes" w:hAnsi="Andes"/>
          <w:b/>
          <w:sz w:val="28"/>
          <w:szCs w:val="28"/>
        </w:rPr>
        <w:t>Enchères électroniques inversées</w:t>
      </w:r>
      <w:bookmarkEnd w:id="3225"/>
    </w:p>
    <w:p w14:paraId="44658A8A" w14:textId="284E26AD"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Une enchère électronique inversée est une procédure qui se déroule en ligne à un horaire programmé, au cours de laquelle </w:t>
      </w:r>
      <w:r>
        <w:rPr>
          <w:rFonts w:ascii="Andes" w:hAnsi="Andes" w:cs="Arial"/>
          <w:sz w:val="22"/>
          <w:szCs w:val="22"/>
        </w:rPr>
        <w:t>d</w:t>
      </w:r>
      <w:r w:rsidRPr="000F54B7">
        <w:rPr>
          <w:rFonts w:ascii="Andes" w:hAnsi="Andes" w:cs="Arial"/>
          <w:sz w:val="22"/>
          <w:szCs w:val="22"/>
        </w:rPr>
        <w:t>es entreprises pré</w:t>
      </w:r>
      <w:r w:rsidR="005B6AB6">
        <w:rPr>
          <w:rFonts w:ascii="Andes" w:hAnsi="Andes" w:cs="Arial"/>
          <w:sz w:val="22"/>
          <w:szCs w:val="22"/>
        </w:rPr>
        <w:t>-</w:t>
      </w:r>
      <w:r w:rsidRPr="000F54B7">
        <w:rPr>
          <w:rFonts w:ascii="Andes" w:hAnsi="Andes" w:cs="Arial"/>
          <w:sz w:val="22"/>
          <w:szCs w:val="22"/>
        </w:rPr>
        <w:t>qualifiées/enregistrées se concurrence</w:t>
      </w:r>
      <w:r>
        <w:rPr>
          <w:rFonts w:ascii="Andes" w:hAnsi="Andes" w:cs="Arial"/>
          <w:sz w:val="22"/>
          <w:szCs w:val="22"/>
        </w:rPr>
        <w:t>nt</w:t>
      </w:r>
      <w:r w:rsidRPr="000F54B7">
        <w:rPr>
          <w:rFonts w:ascii="Andes" w:hAnsi="Andes" w:cs="Arial"/>
          <w:sz w:val="22"/>
          <w:szCs w:val="22"/>
        </w:rPr>
        <w:t xml:space="preserve"> sur les prix. Pour plus de détails, voir l’annexe XII « Méthodes de sélection ».</w:t>
      </w:r>
    </w:p>
    <w:p w14:paraId="0680B0DE" w14:textId="77777777" w:rsidR="006D600B" w:rsidRPr="000F54B7" w:rsidRDefault="006D600B" w:rsidP="006D600B">
      <w:pPr>
        <w:spacing w:before="240" w:line="240" w:lineRule="auto"/>
        <w:contextualSpacing w:val="0"/>
        <w:rPr>
          <w:rFonts w:ascii="Andes" w:hAnsi="Andes"/>
          <w:sz w:val="28"/>
        </w:rPr>
      </w:pPr>
      <w:bookmarkStart w:id="3226" w:name="_Toc409085842"/>
      <w:bookmarkStart w:id="3227" w:name="_Toc409086119"/>
      <w:bookmarkStart w:id="3228" w:name="_Toc409086396"/>
      <w:bookmarkStart w:id="3229" w:name="_Toc409249007"/>
      <w:bookmarkStart w:id="3230" w:name="_Toc409255587"/>
      <w:bookmarkStart w:id="3231" w:name="_Toc409255867"/>
      <w:bookmarkStart w:id="3232" w:name="_Toc409256147"/>
      <w:bookmarkStart w:id="3233" w:name="_Toc409256427"/>
      <w:bookmarkStart w:id="3234" w:name="_Toc409256707"/>
      <w:bookmarkStart w:id="3235" w:name="_Toc409270402"/>
      <w:bookmarkStart w:id="3236" w:name="_Toc409270682"/>
      <w:bookmarkStart w:id="3237" w:name="_Toc409509292"/>
      <w:bookmarkStart w:id="3238" w:name="_Toc409509575"/>
      <w:bookmarkStart w:id="3239" w:name="_Toc409509858"/>
      <w:bookmarkStart w:id="3240" w:name="_Toc409510141"/>
      <w:bookmarkStart w:id="3241" w:name="_Toc409510422"/>
      <w:bookmarkStart w:id="3242" w:name="_Toc409595901"/>
      <w:bookmarkStart w:id="3243" w:name="_Toc409607077"/>
      <w:bookmarkStart w:id="3244" w:name="_Toc409085843"/>
      <w:bookmarkStart w:id="3245" w:name="_Toc409086120"/>
      <w:bookmarkStart w:id="3246" w:name="_Toc409086397"/>
      <w:bookmarkStart w:id="3247" w:name="_Toc409249008"/>
      <w:bookmarkStart w:id="3248" w:name="_Toc409255588"/>
      <w:bookmarkStart w:id="3249" w:name="_Toc409255868"/>
      <w:bookmarkStart w:id="3250" w:name="_Toc409256148"/>
      <w:bookmarkStart w:id="3251" w:name="_Toc409256428"/>
      <w:bookmarkStart w:id="3252" w:name="_Toc409256708"/>
      <w:bookmarkStart w:id="3253" w:name="_Toc409270403"/>
      <w:bookmarkStart w:id="3254" w:name="_Toc409270683"/>
      <w:bookmarkStart w:id="3255" w:name="_Toc409509293"/>
      <w:bookmarkStart w:id="3256" w:name="_Toc409509576"/>
      <w:bookmarkStart w:id="3257" w:name="_Toc409509859"/>
      <w:bookmarkStart w:id="3258" w:name="_Toc409510142"/>
      <w:bookmarkStart w:id="3259" w:name="_Toc409510423"/>
      <w:bookmarkStart w:id="3260" w:name="_Toc409595902"/>
      <w:bookmarkStart w:id="3261" w:name="_Toc409607078"/>
      <w:bookmarkStart w:id="3262" w:name="_Toc409085844"/>
      <w:bookmarkStart w:id="3263" w:name="_Toc409086121"/>
      <w:bookmarkStart w:id="3264" w:name="_Toc409086398"/>
      <w:bookmarkStart w:id="3265" w:name="_Toc409249009"/>
      <w:bookmarkStart w:id="3266" w:name="_Toc409255589"/>
      <w:bookmarkStart w:id="3267" w:name="_Toc409255869"/>
      <w:bookmarkStart w:id="3268" w:name="_Toc409256149"/>
      <w:bookmarkStart w:id="3269" w:name="_Toc409256429"/>
      <w:bookmarkStart w:id="3270" w:name="_Toc409256709"/>
      <w:bookmarkStart w:id="3271" w:name="_Toc409270404"/>
      <w:bookmarkStart w:id="3272" w:name="_Toc409270684"/>
      <w:bookmarkStart w:id="3273" w:name="_Toc409509294"/>
      <w:bookmarkStart w:id="3274" w:name="_Toc409509577"/>
      <w:bookmarkStart w:id="3275" w:name="_Toc409509860"/>
      <w:bookmarkStart w:id="3276" w:name="_Toc409510143"/>
      <w:bookmarkStart w:id="3277" w:name="_Toc409510424"/>
      <w:bookmarkStart w:id="3278" w:name="_Toc409595903"/>
      <w:bookmarkStart w:id="3279" w:name="_Toc409607079"/>
      <w:bookmarkStart w:id="3280" w:name="_Toc409085845"/>
      <w:bookmarkStart w:id="3281" w:name="_Toc409086122"/>
      <w:bookmarkStart w:id="3282" w:name="_Toc409086399"/>
      <w:bookmarkStart w:id="3283" w:name="_Toc409249010"/>
      <w:bookmarkStart w:id="3284" w:name="_Toc409255590"/>
      <w:bookmarkStart w:id="3285" w:name="_Toc409255870"/>
      <w:bookmarkStart w:id="3286" w:name="_Toc409256150"/>
      <w:bookmarkStart w:id="3287" w:name="_Toc409256430"/>
      <w:bookmarkStart w:id="3288" w:name="_Toc409256710"/>
      <w:bookmarkStart w:id="3289" w:name="_Toc409270405"/>
      <w:bookmarkStart w:id="3290" w:name="_Toc409270685"/>
      <w:bookmarkStart w:id="3291" w:name="_Toc409509295"/>
      <w:bookmarkStart w:id="3292" w:name="_Toc409509578"/>
      <w:bookmarkStart w:id="3293" w:name="_Toc409509861"/>
      <w:bookmarkStart w:id="3294" w:name="_Toc409510144"/>
      <w:bookmarkStart w:id="3295" w:name="_Toc409510425"/>
      <w:bookmarkStart w:id="3296" w:name="_Toc409595904"/>
      <w:bookmarkStart w:id="3297" w:name="_Toc409607080"/>
      <w:bookmarkStart w:id="3298" w:name="_Toc409085846"/>
      <w:bookmarkStart w:id="3299" w:name="_Toc409086123"/>
      <w:bookmarkStart w:id="3300" w:name="_Toc409086400"/>
      <w:bookmarkStart w:id="3301" w:name="_Toc409249011"/>
      <w:bookmarkStart w:id="3302" w:name="_Toc409255591"/>
      <w:bookmarkStart w:id="3303" w:name="_Toc409255871"/>
      <w:bookmarkStart w:id="3304" w:name="_Toc409256151"/>
      <w:bookmarkStart w:id="3305" w:name="_Toc409256431"/>
      <w:bookmarkStart w:id="3306" w:name="_Toc409256711"/>
      <w:bookmarkStart w:id="3307" w:name="_Toc409270406"/>
      <w:bookmarkStart w:id="3308" w:name="_Toc409270686"/>
      <w:bookmarkStart w:id="3309" w:name="_Toc409509296"/>
      <w:bookmarkStart w:id="3310" w:name="_Toc409509579"/>
      <w:bookmarkStart w:id="3311" w:name="_Toc409509862"/>
      <w:bookmarkStart w:id="3312" w:name="_Toc409510145"/>
      <w:bookmarkStart w:id="3313" w:name="_Toc409510426"/>
      <w:bookmarkStart w:id="3314" w:name="_Toc409595905"/>
      <w:bookmarkStart w:id="3315" w:name="_Toc409607081"/>
      <w:bookmarkStart w:id="3316" w:name="_Toc453170918"/>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r w:rsidRPr="000F54B7">
        <w:rPr>
          <w:rFonts w:ascii="Andes" w:hAnsi="Andes"/>
          <w:b/>
          <w:sz w:val="28"/>
          <w:szCs w:val="28"/>
        </w:rPr>
        <w:t>Programme d’importations</w:t>
      </w:r>
      <w:bookmarkEnd w:id="3316"/>
    </w:p>
    <w:p w14:paraId="120DFB3C" w14:textId="007A51C7"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Lorsque le FPI </w:t>
      </w:r>
      <w:r>
        <w:rPr>
          <w:rFonts w:ascii="Andes" w:hAnsi="Andes" w:cs="Arial"/>
          <w:sz w:val="22"/>
          <w:szCs w:val="22"/>
        </w:rPr>
        <w:t>finance</w:t>
      </w:r>
      <w:r w:rsidRPr="000F54B7">
        <w:rPr>
          <w:rFonts w:ascii="Andes" w:hAnsi="Andes" w:cs="Arial"/>
          <w:sz w:val="22"/>
          <w:szCs w:val="22"/>
        </w:rPr>
        <w:t xml:space="preserve"> un programme d’importations (c’est-à-dire un programme </w:t>
      </w:r>
      <w:r>
        <w:rPr>
          <w:rFonts w:ascii="Andes" w:hAnsi="Andes" w:cs="Arial"/>
          <w:sz w:val="22"/>
          <w:szCs w:val="22"/>
        </w:rPr>
        <w:t xml:space="preserve">prévoyant </w:t>
      </w:r>
      <w:r w:rsidRPr="000F54B7">
        <w:rPr>
          <w:rFonts w:ascii="Andes" w:hAnsi="Andes" w:cs="Arial"/>
          <w:sz w:val="22"/>
          <w:szCs w:val="22"/>
        </w:rPr>
        <w:t>l’importation de Fournitures essentielles admissibles par des entités privées ou publiques, à partir d’une liste convenue entre l’Emprunteur et la Banque), les modalités de passation des marchés pour un programme de ce type sont décrites à l’</w:t>
      </w:r>
      <w:r w:rsidR="00925A7A">
        <w:rPr>
          <w:rFonts w:ascii="Andes" w:hAnsi="Andes" w:cs="Arial"/>
          <w:sz w:val="22"/>
          <w:szCs w:val="22"/>
        </w:rPr>
        <w:t>A</w:t>
      </w:r>
      <w:r w:rsidRPr="000F54B7">
        <w:rPr>
          <w:rFonts w:ascii="Andes" w:hAnsi="Andes" w:cs="Arial"/>
          <w:sz w:val="22"/>
          <w:szCs w:val="22"/>
        </w:rPr>
        <w:t xml:space="preserve">nnexe XII Méthodes de sélection. </w:t>
      </w:r>
    </w:p>
    <w:p w14:paraId="3D6BE452" w14:textId="77777777" w:rsidR="006D600B" w:rsidRPr="000F54B7" w:rsidRDefault="006D600B" w:rsidP="00F962F4">
      <w:pPr>
        <w:keepNext/>
        <w:spacing w:before="240" w:line="240" w:lineRule="auto"/>
        <w:contextualSpacing w:val="0"/>
        <w:rPr>
          <w:rFonts w:ascii="Andes" w:hAnsi="Andes"/>
          <w:sz w:val="28"/>
        </w:rPr>
      </w:pPr>
      <w:bookmarkStart w:id="3317" w:name="_Toc453170919"/>
      <w:r w:rsidRPr="000F54B7">
        <w:rPr>
          <w:rFonts w:ascii="Andes" w:hAnsi="Andes"/>
          <w:b/>
          <w:sz w:val="28"/>
          <w:szCs w:val="28"/>
        </w:rPr>
        <w:t>Produits de base</w:t>
      </w:r>
      <w:bookmarkEnd w:id="3317"/>
    </w:p>
    <w:p w14:paraId="6F22E81E" w14:textId="1C6AABFF"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Les produits de base comprennent des articles tels que céréales, fourrages, huiles alimentaires, engrais ou métaux. Les marchés portant sur des produits de base suppose</w:t>
      </w:r>
      <w:r>
        <w:rPr>
          <w:rFonts w:ascii="Andes" w:hAnsi="Andes" w:cs="Arial"/>
          <w:sz w:val="22"/>
          <w:szCs w:val="22"/>
        </w:rPr>
        <w:t>nt</w:t>
      </w:r>
      <w:r w:rsidRPr="000F54B7">
        <w:rPr>
          <w:rFonts w:ascii="Andes" w:hAnsi="Andes" w:cs="Arial"/>
          <w:sz w:val="22"/>
          <w:szCs w:val="22"/>
        </w:rPr>
        <w:t xml:space="preserve"> souvent d’attribuer plusieurs contrats sur des quantités partielles afin d’assurer une sécurité d’approvisionnement, et de réaliser plusieurs achats sur une </w:t>
      </w:r>
      <w:proofErr w:type="gramStart"/>
      <w:r w:rsidRPr="000F54B7">
        <w:rPr>
          <w:rFonts w:ascii="Andes" w:hAnsi="Andes" w:cs="Arial"/>
          <w:sz w:val="22"/>
          <w:szCs w:val="22"/>
        </w:rPr>
        <w:t>période de temps</w:t>
      </w:r>
      <w:proofErr w:type="gramEnd"/>
      <w:r w:rsidRPr="000F54B7">
        <w:rPr>
          <w:rFonts w:ascii="Andes" w:hAnsi="Andes" w:cs="Arial"/>
          <w:sz w:val="22"/>
          <w:szCs w:val="22"/>
        </w:rPr>
        <w:t xml:space="preserve"> donnée afin de tirer parti des conditions de marché favorables et de </w:t>
      </w:r>
      <w:r>
        <w:rPr>
          <w:rFonts w:ascii="Andes" w:hAnsi="Andes" w:cs="Arial"/>
          <w:sz w:val="22"/>
          <w:szCs w:val="22"/>
        </w:rPr>
        <w:t xml:space="preserve">limiter les </w:t>
      </w:r>
      <w:r w:rsidRPr="000F54B7">
        <w:rPr>
          <w:rFonts w:ascii="Andes" w:hAnsi="Andes" w:cs="Arial"/>
          <w:sz w:val="22"/>
          <w:szCs w:val="22"/>
        </w:rPr>
        <w:t>stocks. Pour plus de détails, voir l’</w:t>
      </w:r>
      <w:r w:rsidR="00925A7A">
        <w:rPr>
          <w:rFonts w:ascii="Andes" w:hAnsi="Andes" w:cs="Arial"/>
          <w:sz w:val="22"/>
          <w:szCs w:val="22"/>
        </w:rPr>
        <w:t>A</w:t>
      </w:r>
      <w:r w:rsidRPr="000F54B7">
        <w:rPr>
          <w:rFonts w:ascii="Andes" w:hAnsi="Andes" w:cs="Arial"/>
          <w:sz w:val="22"/>
          <w:szCs w:val="22"/>
        </w:rPr>
        <w:t>nnexe XII Méthodes de sélection.</w:t>
      </w:r>
    </w:p>
    <w:p w14:paraId="292FA7EF" w14:textId="720F831D" w:rsidR="006D600B" w:rsidRPr="000F54B7" w:rsidRDefault="00B51E0D" w:rsidP="006D600B">
      <w:pPr>
        <w:spacing w:before="240" w:line="240" w:lineRule="auto"/>
        <w:contextualSpacing w:val="0"/>
        <w:rPr>
          <w:rFonts w:ascii="Andes" w:hAnsi="Andes"/>
          <w:sz w:val="28"/>
        </w:rPr>
      </w:pPr>
      <w:r>
        <w:rPr>
          <w:rFonts w:ascii="Andes" w:hAnsi="Andes"/>
          <w:b/>
          <w:sz w:val="28"/>
          <w:szCs w:val="28"/>
        </w:rPr>
        <w:t xml:space="preserve">Participation </w:t>
      </w:r>
      <w:r w:rsidR="00D75B95">
        <w:rPr>
          <w:rFonts w:ascii="Andes" w:hAnsi="Andes"/>
          <w:b/>
          <w:sz w:val="28"/>
          <w:szCs w:val="28"/>
        </w:rPr>
        <w:t xml:space="preserve">Communautaire </w:t>
      </w:r>
      <w:r w:rsidR="005B6AB6">
        <w:rPr>
          <w:rFonts w:ascii="Andes" w:hAnsi="Andes"/>
          <w:b/>
          <w:sz w:val="28"/>
          <w:szCs w:val="28"/>
        </w:rPr>
        <w:t xml:space="preserve">au </w:t>
      </w:r>
      <w:r>
        <w:rPr>
          <w:rFonts w:ascii="Andes" w:hAnsi="Andes"/>
          <w:b/>
          <w:sz w:val="28"/>
          <w:szCs w:val="28"/>
        </w:rPr>
        <w:t>Développement</w:t>
      </w:r>
    </w:p>
    <w:p w14:paraId="244A37FE" w14:textId="77777777"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Les modalités de passation de marchés, les spécifications et le contenu du marché peuvent être adaptés en tant que de besoin, d’une manière </w:t>
      </w:r>
      <w:r>
        <w:rPr>
          <w:rFonts w:ascii="Andes" w:hAnsi="Andes" w:cs="Arial"/>
          <w:sz w:val="22"/>
          <w:szCs w:val="22"/>
        </w:rPr>
        <w:t xml:space="preserve">jugée </w:t>
      </w:r>
      <w:r w:rsidRPr="000F54B7">
        <w:rPr>
          <w:rFonts w:ascii="Andes" w:hAnsi="Andes" w:cs="Arial"/>
          <w:sz w:val="22"/>
          <w:szCs w:val="22"/>
        </w:rPr>
        <w:t xml:space="preserve">acceptable par la Banque, lorsque, </w:t>
      </w:r>
      <w:r>
        <w:rPr>
          <w:rFonts w:ascii="Andes" w:hAnsi="Andes" w:cs="Arial"/>
          <w:sz w:val="22"/>
          <w:szCs w:val="22"/>
        </w:rPr>
        <w:t xml:space="preserve">dans l’intérêt de la pérennité du </w:t>
      </w:r>
      <w:r w:rsidRPr="000F54B7">
        <w:rPr>
          <w:rFonts w:ascii="Andes" w:hAnsi="Andes" w:cs="Arial"/>
          <w:sz w:val="22"/>
          <w:szCs w:val="22"/>
        </w:rPr>
        <w:t xml:space="preserve">projet ou </w:t>
      </w:r>
      <w:r>
        <w:rPr>
          <w:rFonts w:ascii="Andes" w:hAnsi="Andes" w:cs="Arial"/>
          <w:sz w:val="22"/>
          <w:szCs w:val="22"/>
        </w:rPr>
        <w:t xml:space="preserve">afin </w:t>
      </w:r>
      <w:r w:rsidRPr="000F54B7">
        <w:rPr>
          <w:rFonts w:ascii="Andes" w:hAnsi="Andes" w:cs="Arial"/>
          <w:sz w:val="22"/>
          <w:szCs w:val="22"/>
        </w:rPr>
        <w:t>d’atteindre certains de ses objectifs sociaux, il est souhaitable (pour des composantes précises du projet) de :</w:t>
      </w:r>
    </w:p>
    <w:p w14:paraId="4E52DFA4" w14:textId="77777777" w:rsidR="006D600B" w:rsidRPr="000F54B7" w:rsidRDefault="006D600B" w:rsidP="006D600B">
      <w:pPr>
        <w:pStyle w:val="Paragraphedeliste"/>
        <w:numPr>
          <w:ilvl w:val="0"/>
          <w:numId w:val="178"/>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solliciter la participation de populations locales et/ou d’organisations non gouvernementales (ONG) à des Travaux de génie civil et à la </w:t>
      </w:r>
      <w:r>
        <w:rPr>
          <w:rFonts w:ascii="Andes" w:eastAsiaTheme="minorHAnsi" w:hAnsi="Andes" w:cs="Arial"/>
          <w:color w:val="000000"/>
          <w:sz w:val="22"/>
          <w:szCs w:val="22"/>
        </w:rPr>
        <w:t>fourniture de Services Autres que des Serv</w:t>
      </w:r>
      <w:r w:rsidRPr="000F54B7">
        <w:rPr>
          <w:rFonts w:ascii="Andes" w:eastAsiaTheme="minorHAnsi" w:hAnsi="Andes" w:cs="Arial"/>
          <w:color w:val="000000"/>
          <w:sz w:val="22"/>
          <w:szCs w:val="22"/>
        </w:rPr>
        <w:t>ices de Consultants ;</w:t>
      </w:r>
    </w:p>
    <w:p w14:paraId="5C5A84A5" w14:textId="77777777" w:rsidR="006D600B" w:rsidRPr="000F54B7" w:rsidRDefault="006D600B" w:rsidP="006D600B">
      <w:pPr>
        <w:pStyle w:val="Paragraphedeliste"/>
        <w:numPr>
          <w:ilvl w:val="0"/>
          <w:numId w:val="178"/>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stimuler l’utilisation des savoir-faire, des Fournitures ou des matériaux locaux ; ou</w:t>
      </w:r>
    </w:p>
    <w:p w14:paraId="179FA7A1" w14:textId="77777777" w:rsidR="006D600B" w:rsidRPr="000F54B7" w:rsidRDefault="006D600B" w:rsidP="006D600B">
      <w:pPr>
        <w:pStyle w:val="Paragraphedeliste"/>
        <w:numPr>
          <w:ilvl w:val="0"/>
          <w:numId w:val="178"/>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employer des techniques à haute intensité de main-d’œuvre ou d’autres technologies appropriées. </w:t>
      </w:r>
    </w:p>
    <w:p w14:paraId="62EE7E5D" w14:textId="3D7BD900"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Pour plus de détails, voir l’</w:t>
      </w:r>
      <w:r w:rsidR="00925A7A">
        <w:rPr>
          <w:rFonts w:ascii="Andes" w:hAnsi="Andes" w:cs="Arial"/>
          <w:sz w:val="22"/>
          <w:szCs w:val="22"/>
        </w:rPr>
        <w:t>A</w:t>
      </w:r>
      <w:r w:rsidRPr="000F54B7">
        <w:rPr>
          <w:rFonts w:ascii="Andes" w:hAnsi="Andes" w:cs="Arial"/>
          <w:sz w:val="22"/>
          <w:szCs w:val="22"/>
        </w:rPr>
        <w:t>nnexe XII Méthodes de sélection.</w:t>
      </w:r>
    </w:p>
    <w:p w14:paraId="72729C6F" w14:textId="77777777" w:rsidR="006D600B" w:rsidRPr="000F54B7" w:rsidRDefault="006D600B" w:rsidP="006D600B">
      <w:pPr>
        <w:spacing w:before="240" w:line="240" w:lineRule="auto"/>
        <w:contextualSpacing w:val="0"/>
        <w:rPr>
          <w:rFonts w:ascii="Andes" w:hAnsi="Andes"/>
          <w:sz w:val="28"/>
        </w:rPr>
      </w:pPr>
      <w:bookmarkStart w:id="3318" w:name="_Toc453170921"/>
      <w:r w:rsidRPr="000F54B7">
        <w:rPr>
          <w:rFonts w:ascii="Andes" w:hAnsi="Andes"/>
          <w:b/>
          <w:sz w:val="28"/>
          <w:szCs w:val="28"/>
        </w:rPr>
        <w:lastRenderedPageBreak/>
        <w:t>Régies</w:t>
      </w:r>
      <w:bookmarkEnd w:id="3318"/>
    </w:p>
    <w:p w14:paraId="31E848AF" w14:textId="77777777"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La Régie, c’est-à-dire l’exécution de Travaux tels que la construction et l’installation d’</w:t>
      </w:r>
      <w:r>
        <w:rPr>
          <w:rFonts w:ascii="Andes" w:hAnsi="Andes" w:cs="Arial"/>
          <w:sz w:val="22"/>
          <w:szCs w:val="22"/>
        </w:rPr>
        <w:t>un équipement</w:t>
      </w:r>
      <w:r w:rsidRPr="000F54B7">
        <w:rPr>
          <w:rFonts w:ascii="Andes" w:hAnsi="Andes" w:cs="Arial"/>
          <w:sz w:val="22"/>
          <w:szCs w:val="22"/>
        </w:rPr>
        <w:t xml:space="preserve"> ou la fourniture de Services Autres que des Services de Consultants par une </w:t>
      </w:r>
      <w:r>
        <w:rPr>
          <w:rFonts w:ascii="Andes" w:hAnsi="Andes" w:cs="Arial"/>
          <w:sz w:val="22"/>
          <w:szCs w:val="22"/>
        </w:rPr>
        <w:t>a</w:t>
      </w:r>
      <w:r w:rsidRPr="000F54B7">
        <w:rPr>
          <w:rFonts w:ascii="Andes" w:hAnsi="Andes" w:cs="Arial"/>
          <w:sz w:val="22"/>
          <w:szCs w:val="22"/>
        </w:rPr>
        <w:t xml:space="preserve">dministration </w:t>
      </w:r>
      <w:r>
        <w:rPr>
          <w:rFonts w:ascii="Andes" w:hAnsi="Andes" w:cs="Arial"/>
          <w:sz w:val="22"/>
          <w:szCs w:val="22"/>
        </w:rPr>
        <w:t xml:space="preserve">publique </w:t>
      </w:r>
      <w:r w:rsidRPr="000F54B7">
        <w:rPr>
          <w:rFonts w:ascii="Andes" w:hAnsi="Andes" w:cs="Arial"/>
          <w:sz w:val="22"/>
          <w:szCs w:val="22"/>
        </w:rPr>
        <w:t xml:space="preserve">du pays de l’Emprunteur à l’aide de son propre personnel et </w:t>
      </w:r>
      <w:r>
        <w:rPr>
          <w:rFonts w:ascii="Andes" w:hAnsi="Andes" w:cs="Arial"/>
          <w:sz w:val="22"/>
          <w:szCs w:val="22"/>
        </w:rPr>
        <w:t>équipement</w:t>
      </w:r>
      <w:r w:rsidRPr="000F54B7">
        <w:rPr>
          <w:rFonts w:ascii="Andes" w:hAnsi="Andes" w:cs="Arial"/>
          <w:sz w:val="22"/>
          <w:szCs w:val="22"/>
        </w:rPr>
        <w:t xml:space="preserve">, </w:t>
      </w:r>
      <w:proofErr w:type="spellStart"/>
      <w:r w:rsidRPr="000F54B7">
        <w:rPr>
          <w:rFonts w:ascii="Andes" w:hAnsi="Andes" w:cs="Arial"/>
          <w:sz w:val="22"/>
          <w:szCs w:val="22"/>
        </w:rPr>
        <w:t>peut être</w:t>
      </w:r>
      <w:proofErr w:type="spellEnd"/>
      <w:r w:rsidRPr="000F54B7">
        <w:rPr>
          <w:rFonts w:ascii="Andes" w:hAnsi="Andes" w:cs="Arial"/>
          <w:sz w:val="22"/>
          <w:szCs w:val="22"/>
        </w:rPr>
        <w:t xml:space="preserve"> la seule méthode possible pour </w:t>
      </w:r>
      <w:r>
        <w:rPr>
          <w:rFonts w:ascii="Andes" w:hAnsi="Andes" w:cs="Arial"/>
          <w:sz w:val="22"/>
          <w:szCs w:val="22"/>
        </w:rPr>
        <w:t xml:space="preserve">passer un marché de </w:t>
      </w:r>
      <w:r w:rsidRPr="000F54B7">
        <w:rPr>
          <w:rFonts w:ascii="Andes" w:hAnsi="Andes" w:cs="Arial"/>
          <w:sz w:val="22"/>
          <w:szCs w:val="22"/>
        </w:rPr>
        <w:t xml:space="preserve">travaux ou </w:t>
      </w:r>
      <w:r>
        <w:rPr>
          <w:rFonts w:ascii="Andes" w:hAnsi="Andes" w:cs="Arial"/>
          <w:sz w:val="22"/>
          <w:szCs w:val="22"/>
        </w:rPr>
        <w:t xml:space="preserve">de </w:t>
      </w:r>
      <w:r w:rsidRPr="000F54B7">
        <w:rPr>
          <w:rFonts w:ascii="Andes" w:hAnsi="Andes" w:cs="Arial"/>
          <w:sz w:val="22"/>
          <w:szCs w:val="22"/>
        </w:rPr>
        <w:t>services dans certaines situations. Une administration publique assurant des services de construction qui n’est pas autonome sur le plan administratif, juridique ou financier est considérée comme un service d’exécution de travaux en Régie. Dans le cas d’une Régie, l’Emprunteur doit procéder à des inspections et à des contrôles de qualité avec la même rigueur que pour les marchés attribués à des tiers.</w:t>
      </w:r>
    </w:p>
    <w:p w14:paraId="37392CE1" w14:textId="77777777"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L’utilisation de la Régie doit être justifiée et n’est possible, après avis de non-objection de la Banque, que dans l’une des situations suivantes :</w:t>
      </w:r>
    </w:p>
    <w:p w14:paraId="277B7C45" w14:textId="77777777" w:rsidR="006D600B" w:rsidRPr="000F54B7" w:rsidRDefault="006D600B" w:rsidP="006D600B">
      <w:pPr>
        <w:pStyle w:val="Paragraphedeliste"/>
        <w:numPr>
          <w:ilvl w:val="0"/>
          <w:numId w:val="179"/>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les quantités de Travaux de construction et d’installation à exécuter ne peuvent pas être définies à l’avance ; </w:t>
      </w:r>
    </w:p>
    <w:p w14:paraId="475B3650" w14:textId="77777777" w:rsidR="006D600B" w:rsidRPr="000F54B7" w:rsidRDefault="006D600B" w:rsidP="006D600B">
      <w:pPr>
        <w:pStyle w:val="Paragraphedeliste"/>
        <w:numPr>
          <w:ilvl w:val="0"/>
          <w:numId w:val="179"/>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les Travaux de construction et d’installation sont </w:t>
      </w:r>
      <w:r>
        <w:rPr>
          <w:rFonts w:ascii="Andes" w:eastAsiaTheme="minorHAnsi" w:hAnsi="Andes" w:cs="Arial"/>
          <w:color w:val="000000"/>
          <w:sz w:val="22"/>
          <w:szCs w:val="22"/>
        </w:rPr>
        <w:t xml:space="preserve">minimes </w:t>
      </w:r>
      <w:r w:rsidRPr="000F54B7">
        <w:rPr>
          <w:rFonts w:ascii="Andes" w:eastAsiaTheme="minorHAnsi" w:hAnsi="Andes" w:cs="Arial"/>
          <w:color w:val="000000"/>
          <w:sz w:val="22"/>
          <w:szCs w:val="22"/>
        </w:rPr>
        <w:t>et dispersés ou sont localisés dans des lieux reculés, de sorte qu’il est peu probable que des entreprises de construction qualifiées présentent des offres assorties de prix raisonnables ;</w:t>
      </w:r>
    </w:p>
    <w:p w14:paraId="113F6D56" w14:textId="77777777" w:rsidR="006D600B" w:rsidRPr="000F54B7" w:rsidRDefault="006D600B" w:rsidP="006D600B">
      <w:pPr>
        <w:pStyle w:val="Paragraphedeliste"/>
        <w:numPr>
          <w:ilvl w:val="0"/>
          <w:numId w:val="179"/>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les Travaux de construction et d’installation doivent être réalisés sans interrompre des opérations en cours ;</w:t>
      </w:r>
    </w:p>
    <w:p w14:paraId="495240A7" w14:textId="77777777" w:rsidR="006D600B" w:rsidRPr="000F54B7" w:rsidRDefault="006D600B" w:rsidP="006D600B">
      <w:pPr>
        <w:pStyle w:val="Paragraphedeliste"/>
        <w:numPr>
          <w:ilvl w:val="0"/>
          <w:numId w:val="179"/>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l’Emprunteur est davantage en mesure qu’un entrepreneur d’assumer les risques d’une interruption inévitable des travaux ; </w:t>
      </w:r>
    </w:p>
    <w:p w14:paraId="73871A49" w14:textId="77777777" w:rsidR="006D600B" w:rsidRPr="000F54B7" w:rsidRDefault="006D600B" w:rsidP="006D600B">
      <w:pPr>
        <w:pStyle w:val="Paragraphedeliste"/>
        <w:numPr>
          <w:ilvl w:val="0"/>
          <w:numId w:val="179"/>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des Services spécialisés Autres que des Services de Consultants, tels que </w:t>
      </w:r>
      <w:r>
        <w:rPr>
          <w:rFonts w:ascii="Andes" w:eastAsiaTheme="minorHAnsi" w:hAnsi="Andes" w:cs="Arial"/>
          <w:color w:val="000000"/>
          <w:sz w:val="22"/>
          <w:szCs w:val="22"/>
        </w:rPr>
        <w:t>des études cartographiques</w:t>
      </w:r>
      <w:r w:rsidRPr="000F54B7">
        <w:rPr>
          <w:rFonts w:ascii="Andes" w:eastAsiaTheme="minorHAnsi" w:hAnsi="Andes" w:cs="Arial"/>
          <w:color w:val="000000"/>
          <w:sz w:val="22"/>
          <w:szCs w:val="22"/>
        </w:rPr>
        <w:t xml:space="preserve"> ou </w:t>
      </w:r>
      <w:r>
        <w:rPr>
          <w:rFonts w:ascii="Andes" w:eastAsiaTheme="minorHAnsi" w:hAnsi="Andes" w:cs="Arial"/>
          <w:color w:val="000000"/>
          <w:sz w:val="22"/>
          <w:szCs w:val="22"/>
        </w:rPr>
        <w:t>d</w:t>
      </w:r>
      <w:r w:rsidRPr="000F54B7">
        <w:rPr>
          <w:rFonts w:ascii="Andes" w:eastAsiaTheme="minorHAnsi" w:hAnsi="Andes" w:cs="Arial"/>
          <w:color w:val="000000"/>
          <w:sz w:val="22"/>
          <w:szCs w:val="22"/>
        </w:rPr>
        <w:t>es relevés aériens</w:t>
      </w:r>
      <w:r>
        <w:rPr>
          <w:rFonts w:ascii="Andes" w:eastAsiaTheme="minorHAnsi" w:hAnsi="Andes" w:cs="Arial"/>
          <w:color w:val="000000"/>
          <w:sz w:val="22"/>
          <w:szCs w:val="22"/>
        </w:rPr>
        <w:t>,</w:t>
      </w:r>
      <w:r w:rsidRPr="000F54B7">
        <w:rPr>
          <w:rFonts w:ascii="Andes" w:eastAsiaTheme="minorHAnsi" w:hAnsi="Andes" w:cs="Arial"/>
          <w:color w:val="000000"/>
          <w:sz w:val="22"/>
          <w:szCs w:val="22"/>
        </w:rPr>
        <w:t xml:space="preserve"> ne peuvent être réalisés que </w:t>
      </w:r>
      <w:r>
        <w:rPr>
          <w:rFonts w:ascii="Andes" w:eastAsiaTheme="minorHAnsi" w:hAnsi="Andes" w:cs="Arial"/>
          <w:color w:val="000000"/>
          <w:sz w:val="22"/>
          <w:szCs w:val="22"/>
        </w:rPr>
        <w:t>par une structure gouvernementale spécialisée</w:t>
      </w:r>
      <w:r w:rsidRPr="000F54B7">
        <w:rPr>
          <w:rFonts w:ascii="Andes" w:eastAsiaTheme="minorHAnsi" w:hAnsi="Andes" w:cs="Arial"/>
          <w:color w:val="000000"/>
          <w:sz w:val="22"/>
          <w:szCs w:val="22"/>
        </w:rPr>
        <w:t xml:space="preserve">, pour des </w:t>
      </w:r>
      <w:r>
        <w:rPr>
          <w:rFonts w:ascii="Andes" w:eastAsiaTheme="minorHAnsi" w:hAnsi="Andes" w:cs="Arial"/>
          <w:color w:val="000000"/>
          <w:sz w:val="22"/>
          <w:szCs w:val="22"/>
        </w:rPr>
        <w:t>motifs imposé</w:t>
      </w:r>
      <w:r w:rsidRPr="000F54B7">
        <w:rPr>
          <w:rFonts w:ascii="Andes" w:eastAsiaTheme="minorHAnsi" w:hAnsi="Andes" w:cs="Arial"/>
          <w:color w:val="000000"/>
          <w:sz w:val="22"/>
          <w:szCs w:val="22"/>
        </w:rPr>
        <w:t>s par la législation ou la réglementation officielle de l’Emprunteur</w:t>
      </w:r>
      <w:r>
        <w:rPr>
          <w:rFonts w:ascii="Andes" w:eastAsiaTheme="minorHAnsi" w:hAnsi="Andes" w:cs="Arial"/>
          <w:color w:val="000000"/>
          <w:sz w:val="22"/>
          <w:szCs w:val="22"/>
        </w:rPr>
        <w:t>, par exemple la sécurité nationale</w:t>
      </w:r>
      <w:r w:rsidRPr="000F54B7">
        <w:rPr>
          <w:rFonts w:ascii="Andes" w:eastAsiaTheme="minorHAnsi" w:hAnsi="Andes" w:cs="Arial"/>
          <w:color w:val="000000"/>
          <w:sz w:val="22"/>
          <w:szCs w:val="22"/>
        </w:rPr>
        <w:t> ;</w:t>
      </w:r>
    </w:p>
    <w:p w14:paraId="210857A2" w14:textId="77777777" w:rsidR="006D600B" w:rsidRPr="000F54B7" w:rsidRDefault="006D600B" w:rsidP="006D600B">
      <w:pPr>
        <w:pStyle w:val="Paragraphedeliste"/>
        <w:numPr>
          <w:ilvl w:val="0"/>
          <w:numId w:val="179"/>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des réparations urgentes nécessitent une prise en charge rapide afin d’éviter la survenance de dommages supplémentaires, ou des Travaux doivent être réalisés dans des zones touchées par un conflit, </w:t>
      </w:r>
      <w:r>
        <w:rPr>
          <w:rFonts w:ascii="Andes" w:eastAsiaTheme="minorHAnsi" w:hAnsi="Andes" w:cs="Arial"/>
          <w:color w:val="000000"/>
          <w:sz w:val="22"/>
          <w:szCs w:val="22"/>
        </w:rPr>
        <w:t xml:space="preserve">qui pourraient ne pas intéresser des </w:t>
      </w:r>
      <w:r w:rsidRPr="000F54B7">
        <w:rPr>
          <w:rFonts w:ascii="Andes" w:eastAsiaTheme="minorHAnsi" w:hAnsi="Andes" w:cs="Arial"/>
          <w:color w:val="000000"/>
          <w:sz w:val="22"/>
          <w:szCs w:val="22"/>
        </w:rPr>
        <w:t>entreprises privées.</w:t>
      </w:r>
    </w:p>
    <w:p w14:paraId="5816B818" w14:textId="528F050B" w:rsidR="006D600B" w:rsidRPr="000F54B7" w:rsidRDefault="005B6AB6" w:rsidP="006D600B">
      <w:pPr>
        <w:spacing w:before="240" w:line="240" w:lineRule="auto"/>
        <w:contextualSpacing w:val="0"/>
        <w:rPr>
          <w:rFonts w:ascii="Andes" w:hAnsi="Andes"/>
          <w:sz w:val="28"/>
        </w:rPr>
      </w:pPr>
      <w:r>
        <w:rPr>
          <w:rFonts w:ascii="Andes" w:hAnsi="Andes"/>
          <w:b/>
          <w:sz w:val="28"/>
          <w:szCs w:val="28"/>
        </w:rPr>
        <w:t>Prestataires Individuels</w:t>
      </w:r>
      <w:r w:rsidRPr="000F54B7">
        <w:rPr>
          <w:rFonts w:ascii="Andes" w:hAnsi="Andes"/>
          <w:b/>
          <w:sz w:val="28"/>
          <w:szCs w:val="28"/>
        </w:rPr>
        <w:t xml:space="preserve"> </w:t>
      </w:r>
      <w:r w:rsidR="006D600B" w:rsidRPr="000F54B7">
        <w:rPr>
          <w:rFonts w:ascii="Andes" w:hAnsi="Andes"/>
          <w:b/>
          <w:sz w:val="28"/>
          <w:szCs w:val="28"/>
        </w:rPr>
        <w:t>de services</w:t>
      </w:r>
    </w:p>
    <w:p w14:paraId="7AA14D2D" w14:textId="77777777"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Certains projets peuvent amener à recruter des personnes (mais pas en tant qu’employés) afin de fournir des Services Autres que des Services de Consultants. Leur sélection doit se faire conformément aux procédures de recrutement du personnel de l’Emprunteur, telles qu’examinées et jugées satisfaisantes par la Banque. Lorsque les personnes assurant ces services doivent être fo</w:t>
      </w:r>
      <w:r>
        <w:rPr>
          <w:rFonts w:ascii="Andes" w:eastAsiaTheme="minorHAnsi" w:hAnsi="Andes" w:cs="Arial"/>
          <w:color w:val="000000"/>
          <w:sz w:val="22"/>
          <w:szCs w:val="22"/>
        </w:rPr>
        <w:t xml:space="preserve">urnies par des entreprises, lesdites </w:t>
      </w:r>
      <w:r w:rsidRPr="000F54B7">
        <w:rPr>
          <w:rFonts w:ascii="Andes" w:eastAsiaTheme="minorHAnsi" w:hAnsi="Andes" w:cs="Arial"/>
          <w:color w:val="000000"/>
          <w:sz w:val="22"/>
          <w:szCs w:val="22"/>
        </w:rPr>
        <w:t>entreprises doivent être choisies au moyen des procédures et méthodes de sélection explicitées dans le présent Règlement de passation des marchés.</w:t>
      </w:r>
    </w:p>
    <w:p w14:paraId="191ABD19" w14:textId="77777777" w:rsidR="006D600B" w:rsidRPr="000F54B7" w:rsidRDefault="006D600B" w:rsidP="006D600B">
      <w:pPr>
        <w:pStyle w:val="Style2"/>
        <w:keepNext/>
        <w:keepLines/>
        <w:widowControl/>
        <w:tabs>
          <w:tab w:val="left" w:pos="1710"/>
        </w:tabs>
        <w:autoSpaceDE/>
        <w:autoSpaceDN/>
        <w:adjustRightInd/>
        <w:spacing w:before="240" w:after="120" w:line="259" w:lineRule="auto"/>
        <w:ind w:left="-23"/>
        <w:contextualSpacing w:val="0"/>
        <w:outlineLvl w:val="0"/>
        <w:rPr>
          <w:rFonts w:ascii="Andes" w:eastAsiaTheme="majorEastAsia" w:hAnsi="Andes" w:cstheme="majorBidi"/>
          <w:bCs w:val="0"/>
          <w:color w:val="C45911"/>
          <w:sz w:val="32"/>
          <w:szCs w:val="32"/>
        </w:rPr>
      </w:pPr>
      <w:bookmarkStart w:id="3319" w:name="_Toc453170922"/>
      <w:bookmarkStart w:id="3320" w:name="_Toc453544319"/>
      <w:r w:rsidRPr="000F54B7">
        <w:rPr>
          <w:rFonts w:ascii="Andes" w:eastAsiaTheme="majorEastAsia" w:hAnsi="Andes" w:cstheme="majorBidi"/>
          <w:bCs w:val="0"/>
          <w:color w:val="C45911"/>
          <w:sz w:val="32"/>
          <w:szCs w:val="32"/>
        </w:rPr>
        <w:t>Types particuliers d’arrangements contractuels</w:t>
      </w:r>
      <w:bookmarkEnd w:id="3319"/>
      <w:bookmarkEnd w:id="3320"/>
    </w:p>
    <w:p w14:paraId="31D52467" w14:textId="53C14B4A" w:rsidR="006D600B" w:rsidRPr="000F54B7" w:rsidRDefault="006D600B" w:rsidP="006D600B">
      <w:pPr>
        <w:rPr>
          <w:rFonts w:ascii="Andes" w:hAnsi="Andes"/>
          <w:sz w:val="28"/>
        </w:rPr>
      </w:pPr>
      <w:bookmarkStart w:id="3321" w:name="_Toc453170923"/>
      <w:r>
        <w:rPr>
          <w:rFonts w:ascii="Andes" w:hAnsi="Andes"/>
          <w:b/>
          <w:sz w:val="28"/>
          <w:szCs w:val="28"/>
        </w:rPr>
        <w:t>Accords</w:t>
      </w:r>
      <w:r w:rsidR="005B6AB6">
        <w:rPr>
          <w:rFonts w:ascii="Andes" w:hAnsi="Andes"/>
          <w:b/>
          <w:sz w:val="28"/>
          <w:szCs w:val="28"/>
        </w:rPr>
        <w:t>-</w:t>
      </w:r>
      <w:r w:rsidRPr="000F54B7">
        <w:rPr>
          <w:rFonts w:ascii="Andes" w:hAnsi="Andes"/>
          <w:b/>
          <w:sz w:val="28"/>
          <w:szCs w:val="28"/>
        </w:rPr>
        <w:t>Cadres</w:t>
      </w:r>
      <w:bookmarkEnd w:id="3321"/>
    </w:p>
    <w:p w14:paraId="58E23F5C" w14:textId="77777777"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Pr>
          <w:rFonts w:ascii="Andes" w:hAnsi="Andes" w:cs="Arial"/>
          <w:sz w:val="22"/>
          <w:szCs w:val="22"/>
        </w:rPr>
        <w:lastRenderedPageBreak/>
        <w:t>Un Accord C</w:t>
      </w:r>
      <w:r w:rsidRPr="000F54B7">
        <w:rPr>
          <w:rFonts w:ascii="Andes" w:hAnsi="Andes" w:cs="Arial"/>
          <w:sz w:val="22"/>
          <w:szCs w:val="22"/>
        </w:rPr>
        <w:t xml:space="preserve">adre (AC) est un accord conclu avec une ou plusieurs entreprises qui définit les conditions devant régir tout </w:t>
      </w:r>
      <w:r>
        <w:rPr>
          <w:rFonts w:ascii="Andes" w:hAnsi="Andes" w:cs="Arial"/>
          <w:sz w:val="22"/>
          <w:szCs w:val="22"/>
        </w:rPr>
        <w:t xml:space="preserve">marché subséquent </w:t>
      </w:r>
      <w:r w:rsidRPr="000F54B7">
        <w:rPr>
          <w:rFonts w:ascii="Andes" w:hAnsi="Andes" w:cs="Arial"/>
          <w:sz w:val="22"/>
          <w:szCs w:val="22"/>
        </w:rPr>
        <w:t>attribué durant la durée de validité de l’AC</w:t>
      </w:r>
      <w:r>
        <w:rPr>
          <w:rFonts w:ascii="Andes" w:hAnsi="Andes" w:cs="Arial"/>
          <w:sz w:val="22"/>
          <w:szCs w:val="22"/>
        </w:rPr>
        <w:t xml:space="preserve"> (marché à commandes)</w:t>
      </w:r>
      <w:r w:rsidRPr="000F54B7">
        <w:rPr>
          <w:rFonts w:ascii="Andes" w:hAnsi="Andes" w:cs="Arial"/>
          <w:sz w:val="22"/>
          <w:szCs w:val="22"/>
        </w:rPr>
        <w:t xml:space="preserve">. Les </w:t>
      </w:r>
      <w:r>
        <w:rPr>
          <w:rFonts w:ascii="Andes" w:hAnsi="Andes" w:cs="Arial"/>
          <w:sz w:val="22"/>
          <w:szCs w:val="22"/>
        </w:rPr>
        <w:t xml:space="preserve">clauses et </w:t>
      </w:r>
      <w:r w:rsidRPr="000F54B7">
        <w:rPr>
          <w:rFonts w:ascii="Andes" w:hAnsi="Andes" w:cs="Arial"/>
          <w:sz w:val="22"/>
          <w:szCs w:val="22"/>
        </w:rPr>
        <w:t>conditions comprennent généralement le</w:t>
      </w:r>
      <w:r>
        <w:rPr>
          <w:rFonts w:ascii="Andes" w:hAnsi="Andes" w:cs="Arial"/>
          <w:sz w:val="22"/>
          <w:szCs w:val="22"/>
        </w:rPr>
        <w:t xml:space="preserve">s commissions, le barème des prix ou </w:t>
      </w:r>
      <w:r w:rsidRPr="000F54B7">
        <w:rPr>
          <w:rFonts w:ascii="Andes" w:hAnsi="Andes" w:cs="Arial"/>
          <w:sz w:val="22"/>
          <w:szCs w:val="22"/>
        </w:rPr>
        <w:t>le mécanisme de tarification. Des AC peuvent être établis dans la perspective de la passation de marchés de Fournitures, de Travaux ou de Services Autres que des Services de Consultants, en tant que de b</w:t>
      </w:r>
      <w:r>
        <w:rPr>
          <w:rFonts w:ascii="Andes" w:hAnsi="Andes" w:cs="Arial"/>
          <w:sz w:val="22"/>
          <w:szCs w:val="22"/>
        </w:rPr>
        <w:t>e</w:t>
      </w:r>
      <w:r w:rsidRPr="000F54B7">
        <w:rPr>
          <w:rFonts w:ascii="Andes" w:hAnsi="Andes" w:cs="Arial"/>
          <w:sz w:val="22"/>
          <w:szCs w:val="22"/>
        </w:rPr>
        <w:t xml:space="preserve">soin, </w:t>
      </w:r>
      <w:r>
        <w:rPr>
          <w:rFonts w:ascii="Andes" w:hAnsi="Andes" w:cs="Arial"/>
          <w:sz w:val="22"/>
          <w:szCs w:val="22"/>
        </w:rPr>
        <w:t xml:space="preserve">pendant </w:t>
      </w:r>
      <w:r w:rsidRPr="000F54B7">
        <w:rPr>
          <w:rFonts w:ascii="Andes" w:hAnsi="Andes" w:cs="Arial"/>
          <w:sz w:val="22"/>
          <w:szCs w:val="22"/>
        </w:rPr>
        <w:t xml:space="preserve">une </w:t>
      </w:r>
      <w:proofErr w:type="gramStart"/>
      <w:r w:rsidRPr="000F54B7">
        <w:rPr>
          <w:rFonts w:ascii="Andes" w:hAnsi="Andes" w:cs="Arial"/>
          <w:sz w:val="22"/>
          <w:szCs w:val="22"/>
        </w:rPr>
        <w:t>période de temps</w:t>
      </w:r>
      <w:proofErr w:type="gramEnd"/>
      <w:r w:rsidRPr="000F54B7">
        <w:rPr>
          <w:rFonts w:ascii="Andes" w:hAnsi="Andes" w:cs="Arial"/>
          <w:sz w:val="22"/>
          <w:szCs w:val="22"/>
        </w:rPr>
        <w:t xml:space="preserve"> donnée. Un AC n’engage aucune des parties à acheter ou fournir quoi que ce soit. Une fois mis en place, un AC constitue un moyen rapide et efficient de passer des marchés de Fournitures, de Travaux ou de Services Autres que des Services de Consultants. Un AC multi-</w:t>
      </w:r>
      <w:r>
        <w:rPr>
          <w:rFonts w:ascii="Andes" w:hAnsi="Andes" w:cs="Arial"/>
          <w:sz w:val="22"/>
          <w:szCs w:val="22"/>
        </w:rPr>
        <w:t xml:space="preserve">attributaire </w:t>
      </w:r>
      <w:r w:rsidRPr="000F54B7">
        <w:rPr>
          <w:rFonts w:ascii="Andes" w:hAnsi="Andes" w:cs="Arial"/>
          <w:sz w:val="22"/>
          <w:szCs w:val="22"/>
        </w:rPr>
        <w:t>pe</w:t>
      </w:r>
      <w:r>
        <w:rPr>
          <w:rFonts w:ascii="Andes" w:hAnsi="Andes" w:cs="Arial"/>
          <w:sz w:val="22"/>
          <w:szCs w:val="22"/>
        </w:rPr>
        <w:t>r</w:t>
      </w:r>
      <w:r w:rsidRPr="000F54B7">
        <w:rPr>
          <w:rFonts w:ascii="Andes" w:hAnsi="Andes" w:cs="Arial"/>
          <w:sz w:val="22"/>
          <w:szCs w:val="22"/>
        </w:rPr>
        <w:t>met à un Emprunteur de sélectionner une entreprise parmi plusieurs, afin d’être mieux assuré de trouver le meilleur rapport qualité-prix pour chaque marché passé.</w:t>
      </w:r>
    </w:p>
    <w:p w14:paraId="7AA5923F" w14:textId="77777777"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Les AC peuvent être appropriés pour la passation de marchés de Fournitures, de Travaux ou de Services Autres que des Services de Consultants dans les situations suivantes :</w:t>
      </w:r>
    </w:p>
    <w:p w14:paraId="3CE87552" w14:textId="77777777" w:rsidR="006D600B" w:rsidRPr="000F54B7" w:rsidRDefault="006D600B" w:rsidP="006D600B">
      <w:pPr>
        <w:pStyle w:val="Paragraphedeliste"/>
        <w:numPr>
          <w:ilvl w:val="0"/>
          <w:numId w:val="180"/>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des commandes à répétition fréquentes sont basées sur des exigences ou un cahier des charges identiques ou similaires ;</w:t>
      </w:r>
    </w:p>
    <w:p w14:paraId="3CE99D23" w14:textId="77777777" w:rsidR="006D600B" w:rsidRPr="000F54B7" w:rsidRDefault="006D600B" w:rsidP="006D600B">
      <w:pPr>
        <w:pStyle w:val="Paragraphedeliste"/>
        <w:numPr>
          <w:ilvl w:val="0"/>
          <w:numId w:val="180"/>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différentes entités de l’Emprunteur achètent les mêmes Fournitures, Travaux ou Services Autres que des Services de Consulta</w:t>
      </w:r>
      <w:r>
        <w:rPr>
          <w:rFonts w:ascii="Andes" w:eastAsiaTheme="minorHAnsi" w:hAnsi="Andes" w:cs="Arial"/>
          <w:color w:val="000000"/>
          <w:sz w:val="22"/>
          <w:szCs w:val="22"/>
        </w:rPr>
        <w:t>n</w:t>
      </w:r>
      <w:r w:rsidRPr="000F54B7">
        <w:rPr>
          <w:rFonts w:ascii="Andes" w:eastAsiaTheme="minorHAnsi" w:hAnsi="Andes" w:cs="Arial"/>
          <w:color w:val="000000"/>
          <w:sz w:val="22"/>
          <w:szCs w:val="22"/>
        </w:rPr>
        <w:t>ts, et le regroupement des demandes pourrait permettre d’obtenir des remises sur volume ;</w:t>
      </w:r>
    </w:p>
    <w:p w14:paraId="693E1317" w14:textId="77777777" w:rsidR="006D600B" w:rsidRPr="000F54B7" w:rsidRDefault="006D600B" w:rsidP="006D600B">
      <w:pPr>
        <w:pStyle w:val="Paragraphedeliste"/>
        <w:numPr>
          <w:ilvl w:val="0"/>
          <w:numId w:val="180"/>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anticipation de Situation</w:t>
      </w:r>
      <w:r>
        <w:rPr>
          <w:rFonts w:ascii="Andes" w:eastAsiaTheme="minorHAnsi" w:hAnsi="Andes" w:cs="Arial"/>
          <w:color w:val="000000"/>
          <w:sz w:val="22"/>
          <w:szCs w:val="22"/>
        </w:rPr>
        <w:t>s</w:t>
      </w:r>
      <w:r w:rsidRPr="000F54B7">
        <w:rPr>
          <w:rFonts w:ascii="Andes" w:eastAsiaTheme="minorHAnsi" w:hAnsi="Andes" w:cs="Arial"/>
          <w:color w:val="000000"/>
          <w:sz w:val="22"/>
          <w:szCs w:val="22"/>
        </w:rPr>
        <w:t xml:space="preserve"> d’Urgence ; ou</w:t>
      </w:r>
    </w:p>
    <w:p w14:paraId="0D6F4F39" w14:textId="77777777" w:rsidR="006D600B" w:rsidRPr="000F54B7" w:rsidRDefault="006D600B" w:rsidP="006D600B">
      <w:pPr>
        <w:pStyle w:val="Paragraphedeliste"/>
        <w:numPr>
          <w:ilvl w:val="0"/>
          <w:numId w:val="180"/>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on estime qu’</w:t>
      </w:r>
      <w:r>
        <w:rPr>
          <w:rFonts w:ascii="Andes" w:eastAsiaTheme="minorHAnsi" w:hAnsi="Andes" w:cs="Arial"/>
          <w:color w:val="000000"/>
          <w:sz w:val="22"/>
          <w:szCs w:val="22"/>
        </w:rPr>
        <w:t>auc</w:t>
      </w:r>
      <w:r w:rsidRPr="000F54B7">
        <w:rPr>
          <w:rFonts w:ascii="Andes" w:eastAsiaTheme="minorHAnsi" w:hAnsi="Andes" w:cs="Arial"/>
          <w:color w:val="000000"/>
          <w:sz w:val="22"/>
          <w:szCs w:val="22"/>
        </w:rPr>
        <w:t>une entreprise ne possède les capacités suffisantes à elle seule.</w:t>
      </w:r>
    </w:p>
    <w:p w14:paraId="023EE679" w14:textId="1FA0B496"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Pour plus de détails, voir l’</w:t>
      </w:r>
      <w:r w:rsidR="00213640">
        <w:rPr>
          <w:rFonts w:ascii="Andes" w:hAnsi="Andes" w:cs="Arial"/>
          <w:sz w:val="22"/>
          <w:szCs w:val="22"/>
        </w:rPr>
        <w:t>A</w:t>
      </w:r>
      <w:r w:rsidRPr="000F54B7">
        <w:rPr>
          <w:rFonts w:ascii="Andes" w:hAnsi="Andes" w:cs="Arial"/>
          <w:sz w:val="22"/>
          <w:szCs w:val="22"/>
        </w:rPr>
        <w:t>nnexe XV</w:t>
      </w:r>
      <w:r>
        <w:rPr>
          <w:rFonts w:ascii="Andes" w:hAnsi="Andes" w:cs="Arial"/>
          <w:sz w:val="22"/>
          <w:szCs w:val="22"/>
        </w:rPr>
        <w:t xml:space="preserve"> Accords</w:t>
      </w:r>
      <w:r w:rsidR="001A6367">
        <w:rPr>
          <w:rFonts w:ascii="Andes" w:hAnsi="Andes" w:cs="Arial"/>
          <w:sz w:val="22"/>
          <w:szCs w:val="22"/>
        </w:rPr>
        <w:t>-</w:t>
      </w:r>
      <w:r w:rsidRPr="000F54B7">
        <w:rPr>
          <w:rFonts w:ascii="Andes" w:hAnsi="Andes" w:cs="Arial"/>
          <w:sz w:val="22"/>
          <w:szCs w:val="22"/>
        </w:rPr>
        <w:t xml:space="preserve">Cadres.   </w:t>
      </w:r>
    </w:p>
    <w:p w14:paraId="421C5C3D" w14:textId="77777777" w:rsidR="006D600B" w:rsidRPr="000F54B7" w:rsidRDefault="006D600B" w:rsidP="006D600B">
      <w:pPr>
        <w:spacing w:before="240" w:line="240" w:lineRule="auto"/>
        <w:contextualSpacing w:val="0"/>
        <w:rPr>
          <w:rFonts w:ascii="Andes" w:hAnsi="Andes"/>
          <w:sz w:val="28"/>
        </w:rPr>
      </w:pPr>
      <w:bookmarkStart w:id="3322" w:name="_Toc409595912"/>
      <w:bookmarkStart w:id="3323" w:name="_Toc409607088"/>
      <w:bookmarkStart w:id="3324" w:name="_Toc409595913"/>
      <w:bookmarkStart w:id="3325" w:name="_Toc409607089"/>
      <w:bookmarkStart w:id="3326" w:name="_Toc409595914"/>
      <w:bookmarkStart w:id="3327" w:name="_Toc409607090"/>
      <w:bookmarkStart w:id="3328" w:name="_Toc409595915"/>
      <w:bookmarkStart w:id="3329" w:name="_Toc409607091"/>
      <w:bookmarkStart w:id="3330" w:name="_Toc409595916"/>
      <w:bookmarkStart w:id="3331" w:name="_Toc409607092"/>
      <w:bookmarkStart w:id="3332" w:name="_Toc409595917"/>
      <w:bookmarkStart w:id="3333" w:name="_Toc409607093"/>
      <w:bookmarkStart w:id="3334" w:name="_Toc409595918"/>
      <w:bookmarkStart w:id="3335" w:name="_Toc409607094"/>
      <w:bookmarkStart w:id="3336" w:name="_Toc409595919"/>
      <w:bookmarkStart w:id="3337" w:name="_Toc409607095"/>
      <w:bookmarkStart w:id="3338" w:name="_Toc409595920"/>
      <w:bookmarkStart w:id="3339" w:name="_Toc409607096"/>
      <w:bookmarkStart w:id="3340" w:name="_Toc409595921"/>
      <w:bookmarkStart w:id="3341" w:name="_Toc409607097"/>
      <w:bookmarkStart w:id="3342" w:name="_Toc409595922"/>
      <w:bookmarkStart w:id="3343" w:name="_Toc409607098"/>
      <w:bookmarkStart w:id="3344" w:name="_Toc409595923"/>
      <w:bookmarkStart w:id="3345" w:name="_Toc409607099"/>
      <w:bookmarkStart w:id="3346" w:name="_Toc453170924"/>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r>
        <w:rPr>
          <w:rFonts w:ascii="Andes" w:hAnsi="Andes"/>
          <w:b/>
          <w:sz w:val="28"/>
          <w:szCs w:val="28"/>
        </w:rPr>
        <w:t xml:space="preserve">Marchés </w:t>
      </w:r>
      <w:r w:rsidRPr="000F54B7">
        <w:rPr>
          <w:rFonts w:ascii="Andes" w:hAnsi="Andes"/>
          <w:b/>
          <w:sz w:val="28"/>
          <w:szCs w:val="28"/>
        </w:rPr>
        <w:t>basés sur la performance</w:t>
      </w:r>
      <w:bookmarkEnd w:id="3346"/>
    </w:p>
    <w:p w14:paraId="550B776A" w14:textId="77A1167E"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eastAsiaTheme="minorEastAsia" w:hAnsi="Andes"/>
          <w:sz w:val="22"/>
          <w:szCs w:val="22"/>
        </w:rPr>
      </w:pPr>
      <w:r w:rsidRPr="000F54B7">
        <w:rPr>
          <w:rFonts w:ascii="Andes" w:hAnsi="Andes"/>
          <w:sz w:val="22"/>
          <w:szCs w:val="22"/>
        </w:rPr>
        <w:t xml:space="preserve">Les </w:t>
      </w:r>
      <w:r>
        <w:rPr>
          <w:rFonts w:ascii="Andes" w:hAnsi="Andes"/>
          <w:sz w:val="22"/>
          <w:szCs w:val="22"/>
        </w:rPr>
        <w:t xml:space="preserve">marchés </w:t>
      </w:r>
      <w:r w:rsidRPr="000F54B7">
        <w:rPr>
          <w:rFonts w:ascii="Andes" w:hAnsi="Andes"/>
          <w:sz w:val="22"/>
          <w:szCs w:val="22"/>
        </w:rPr>
        <w:t xml:space="preserve">basés sur la performance sont des relations contractuelles </w:t>
      </w:r>
      <w:r>
        <w:rPr>
          <w:rFonts w:ascii="Andes" w:hAnsi="Andes"/>
          <w:sz w:val="22"/>
          <w:szCs w:val="22"/>
        </w:rPr>
        <w:t xml:space="preserve">dans le cadre desquelles </w:t>
      </w:r>
      <w:r w:rsidRPr="000F54B7">
        <w:rPr>
          <w:rFonts w:ascii="Andes" w:hAnsi="Andes"/>
          <w:sz w:val="22"/>
          <w:szCs w:val="22"/>
        </w:rPr>
        <w:t xml:space="preserve">les paiements sont effectués en fonction de produits mesurés (objectifs de performance) et non pas des moyens mis en œuvre. </w:t>
      </w:r>
      <w:r>
        <w:rPr>
          <w:rFonts w:ascii="Andes" w:hAnsi="Andes"/>
          <w:sz w:val="22"/>
          <w:szCs w:val="22"/>
        </w:rPr>
        <w:t xml:space="preserve">Les produits ont pour but de satisfaire des besoins fonctionnels en matière de qualité, de quantité et de fiabilité. </w:t>
      </w:r>
      <w:r w:rsidRPr="000F54B7">
        <w:rPr>
          <w:rFonts w:ascii="Andes" w:hAnsi="Andes"/>
          <w:sz w:val="22"/>
          <w:szCs w:val="22"/>
        </w:rPr>
        <w:t xml:space="preserve">Les paiements dépendent de la quantité de produits </w:t>
      </w:r>
      <w:r>
        <w:rPr>
          <w:rFonts w:ascii="Andes" w:hAnsi="Andes"/>
          <w:sz w:val="22"/>
          <w:szCs w:val="22"/>
        </w:rPr>
        <w:t>obtenus</w:t>
      </w:r>
      <w:r w:rsidRPr="000F54B7">
        <w:rPr>
          <w:rFonts w:ascii="Andes" w:hAnsi="Andes"/>
          <w:sz w:val="22"/>
          <w:szCs w:val="22"/>
        </w:rPr>
        <w:t xml:space="preserve">, à condition qu’ils aient été fournis </w:t>
      </w:r>
      <w:r>
        <w:rPr>
          <w:rFonts w:ascii="Andes" w:hAnsi="Andes"/>
          <w:sz w:val="22"/>
          <w:szCs w:val="22"/>
        </w:rPr>
        <w:t xml:space="preserve">avec la </w:t>
      </w:r>
      <w:r w:rsidRPr="000F54B7">
        <w:rPr>
          <w:rFonts w:ascii="Andes" w:hAnsi="Andes"/>
          <w:sz w:val="22"/>
          <w:szCs w:val="22"/>
        </w:rPr>
        <w:t>qualité requis</w:t>
      </w:r>
      <w:r>
        <w:rPr>
          <w:rFonts w:ascii="Andes" w:hAnsi="Andes"/>
          <w:sz w:val="22"/>
          <w:szCs w:val="22"/>
        </w:rPr>
        <w:t>e</w:t>
      </w:r>
      <w:r w:rsidRPr="000F54B7">
        <w:rPr>
          <w:rFonts w:ascii="Andes" w:hAnsi="Andes"/>
          <w:sz w:val="22"/>
          <w:szCs w:val="22"/>
        </w:rPr>
        <w:t>. Ils peuvent faire l’objet de réfaction, ou retenue, si les produits sont de qualité inférieure et, dans certains cas, des primes peuvent être versées lorsque la qualité des produits est supérieure. L’</w:t>
      </w:r>
      <w:r>
        <w:rPr>
          <w:rFonts w:ascii="Andes" w:hAnsi="Andes"/>
          <w:sz w:val="22"/>
          <w:szCs w:val="22"/>
        </w:rPr>
        <w:t>entreprise</w:t>
      </w:r>
      <w:r w:rsidRPr="000F54B7">
        <w:rPr>
          <w:rFonts w:ascii="Andes" w:hAnsi="Andes"/>
          <w:sz w:val="22"/>
          <w:szCs w:val="22"/>
        </w:rPr>
        <w:t xml:space="preserve"> est libre de proposer la solution la plus appropriée, basée sur une expérience éprouvée et concluante, et doit apporter la preuve que le niveau de qualité spécifié dans le</w:t>
      </w:r>
      <w:r>
        <w:rPr>
          <w:rFonts w:ascii="Andes" w:hAnsi="Andes"/>
          <w:sz w:val="22"/>
          <w:szCs w:val="22"/>
        </w:rPr>
        <w:t xml:space="preserve"> dossier</w:t>
      </w:r>
      <w:r w:rsidRPr="000F54B7">
        <w:rPr>
          <w:rFonts w:ascii="Andes" w:hAnsi="Andes"/>
          <w:sz w:val="22"/>
          <w:szCs w:val="22"/>
        </w:rPr>
        <w:t xml:space="preserve"> d’</w:t>
      </w:r>
      <w:r w:rsidR="00C51DF5">
        <w:rPr>
          <w:rFonts w:ascii="Andes" w:hAnsi="Andes"/>
          <w:sz w:val="22"/>
          <w:szCs w:val="22"/>
        </w:rPr>
        <w:t>Appel d’Offres/ à Propositions</w:t>
      </w:r>
      <w:r w:rsidRPr="000F54B7">
        <w:rPr>
          <w:rFonts w:ascii="Andes" w:hAnsi="Andes"/>
          <w:sz w:val="22"/>
          <w:szCs w:val="22"/>
        </w:rPr>
        <w:t xml:space="preserve"> sera atteint.</w:t>
      </w:r>
    </w:p>
    <w:p w14:paraId="33F0F387" w14:textId="77777777" w:rsidR="006D600B" w:rsidRPr="000F54B7" w:rsidRDefault="006D600B" w:rsidP="006D600B">
      <w:pPr>
        <w:pStyle w:val="Paragraphedeliste"/>
        <w:numPr>
          <w:ilvl w:val="0"/>
          <w:numId w:val="79"/>
        </w:numPr>
        <w:tabs>
          <w:tab w:val="left" w:pos="630"/>
        </w:tabs>
        <w:spacing w:before="0" w:line="240" w:lineRule="auto"/>
        <w:ind w:left="634" w:hanging="634"/>
        <w:contextualSpacing w:val="0"/>
        <w:rPr>
          <w:rFonts w:ascii="Andes" w:hAnsi="Andes" w:cs="Arial"/>
          <w:sz w:val="22"/>
          <w:szCs w:val="22"/>
        </w:rPr>
      </w:pPr>
      <w:r w:rsidRPr="000F54B7">
        <w:rPr>
          <w:rFonts w:ascii="Andes" w:hAnsi="Andes" w:cs="Arial"/>
          <w:sz w:val="22"/>
          <w:szCs w:val="22"/>
        </w:rPr>
        <w:t>L</w:t>
      </w:r>
      <w:r>
        <w:rPr>
          <w:rFonts w:ascii="Andes" w:hAnsi="Andes" w:cs="Arial"/>
          <w:sz w:val="22"/>
          <w:szCs w:val="22"/>
        </w:rPr>
        <w:t xml:space="preserve">es </w:t>
      </w:r>
      <w:r w:rsidRPr="000F54B7">
        <w:rPr>
          <w:rFonts w:ascii="Andes" w:hAnsi="Andes" w:cs="Arial"/>
          <w:sz w:val="22"/>
          <w:szCs w:val="22"/>
        </w:rPr>
        <w:t>marché</w:t>
      </w:r>
      <w:r>
        <w:rPr>
          <w:rFonts w:ascii="Andes" w:hAnsi="Andes" w:cs="Arial"/>
          <w:sz w:val="22"/>
          <w:szCs w:val="22"/>
        </w:rPr>
        <w:t>s basés</w:t>
      </w:r>
      <w:r w:rsidRPr="000F54B7">
        <w:rPr>
          <w:rFonts w:ascii="Andes" w:hAnsi="Andes" w:cs="Arial"/>
          <w:sz w:val="22"/>
          <w:szCs w:val="22"/>
        </w:rPr>
        <w:t xml:space="preserve"> sur la performance peu</w:t>
      </w:r>
      <w:r>
        <w:rPr>
          <w:rFonts w:ascii="Andes" w:hAnsi="Andes" w:cs="Arial"/>
          <w:sz w:val="22"/>
          <w:szCs w:val="22"/>
        </w:rPr>
        <w:t>ven</w:t>
      </w:r>
      <w:r w:rsidRPr="000F54B7">
        <w:rPr>
          <w:rFonts w:ascii="Andes" w:hAnsi="Andes" w:cs="Arial"/>
          <w:sz w:val="22"/>
          <w:szCs w:val="22"/>
        </w:rPr>
        <w:t>t concerner :</w:t>
      </w:r>
      <w:r w:rsidRPr="000F54B7">
        <w:rPr>
          <w:rFonts w:ascii="Andes" w:eastAsiaTheme="minorEastAsia" w:hAnsi="Andes"/>
          <w:color w:val="000000"/>
          <w:sz w:val="22"/>
          <w:szCs w:val="22"/>
        </w:rPr>
        <w:t xml:space="preserve"> </w:t>
      </w:r>
    </w:p>
    <w:p w14:paraId="3DBB499A" w14:textId="77777777" w:rsidR="006D600B" w:rsidRPr="000F54B7" w:rsidRDefault="006D600B" w:rsidP="006D600B">
      <w:pPr>
        <w:pStyle w:val="Paragraphedeliste"/>
        <w:numPr>
          <w:ilvl w:val="0"/>
          <w:numId w:val="248"/>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la fourniture de Services Autres que des Services de Consultants à rémunérer sur la base des produits obtenus ; </w:t>
      </w:r>
    </w:p>
    <w:p w14:paraId="55035E54" w14:textId="77777777" w:rsidR="006D600B" w:rsidRPr="000F54B7" w:rsidRDefault="006D600B" w:rsidP="006D600B">
      <w:pPr>
        <w:pStyle w:val="Paragraphedeliste"/>
        <w:numPr>
          <w:ilvl w:val="0"/>
          <w:numId w:val="248"/>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la conception, la fourniture, la construction (ou la modernisation) et la mise en service d’une installation qui sera exploitée par l’Emprunteur ; ou </w:t>
      </w:r>
    </w:p>
    <w:p w14:paraId="5178F911" w14:textId="77777777" w:rsidR="006D600B" w:rsidRDefault="006D600B" w:rsidP="006D600B">
      <w:pPr>
        <w:pStyle w:val="Paragraphedeliste"/>
        <w:numPr>
          <w:ilvl w:val="0"/>
          <w:numId w:val="248"/>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la conception, la fourniture, la construction (ou la modernisation) d’une installation, et la fourniture de services autres que des services de consultants afin d’assurer son exploitation et son entretien pour un nombre d’années pré</w:t>
      </w:r>
      <w:r>
        <w:rPr>
          <w:rFonts w:ascii="Andes" w:eastAsiaTheme="minorHAnsi" w:hAnsi="Andes" w:cs="Arial"/>
          <w:color w:val="000000"/>
          <w:sz w:val="22"/>
          <w:szCs w:val="22"/>
        </w:rPr>
        <w:t>établi après sa mise en service.</w:t>
      </w:r>
    </w:p>
    <w:p w14:paraId="6F6E380F" w14:textId="3DB9EF1B" w:rsidR="002F08F6" w:rsidRDefault="002F08F6">
      <w:pPr>
        <w:spacing w:before="0" w:after="200"/>
        <w:contextualSpacing w:val="0"/>
        <w:jc w:val="left"/>
        <w:rPr>
          <w:rFonts w:ascii="Andes" w:eastAsiaTheme="minorHAnsi" w:hAnsi="Andes" w:cs="Arial"/>
          <w:color w:val="000000"/>
          <w:sz w:val="22"/>
          <w:szCs w:val="22"/>
        </w:rPr>
      </w:pPr>
    </w:p>
    <w:p w14:paraId="7910BF09" w14:textId="45AD0218" w:rsidR="00717F2A" w:rsidRDefault="00717F2A">
      <w:pPr>
        <w:spacing w:before="0" w:after="200"/>
        <w:contextualSpacing w:val="0"/>
        <w:jc w:val="left"/>
        <w:rPr>
          <w:rFonts w:ascii="Andes" w:eastAsiaTheme="minorHAnsi" w:hAnsi="Andes" w:cs="Arial"/>
          <w:color w:val="000000"/>
          <w:sz w:val="22"/>
          <w:szCs w:val="22"/>
        </w:rPr>
      </w:pPr>
      <w:r>
        <w:rPr>
          <w:rFonts w:ascii="Andes" w:eastAsiaTheme="minorHAnsi" w:hAnsi="Andes" w:cs="Arial"/>
          <w:color w:val="000000"/>
          <w:sz w:val="22"/>
          <w:szCs w:val="22"/>
        </w:rPr>
        <w:br w:type="page"/>
      </w:r>
    </w:p>
    <w:p w14:paraId="1936315B" w14:textId="77777777" w:rsidR="00F962F4" w:rsidRPr="006D600B" w:rsidRDefault="00F962F4" w:rsidP="006D600B">
      <w:pPr>
        <w:pStyle w:val="Paragraphedeliste"/>
        <w:numPr>
          <w:ilvl w:val="0"/>
          <w:numId w:val="248"/>
        </w:numPr>
        <w:spacing w:before="0" w:line="240" w:lineRule="auto"/>
        <w:contextualSpacing w:val="0"/>
        <w:rPr>
          <w:rFonts w:ascii="Andes" w:eastAsiaTheme="minorHAnsi" w:hAnsi="Andes" w:cs="Arial"/>
          <w:color w:val="000000"/>
          <w:sz w:val="22"/>
          <w:szCs w:val="22"/>
        </w:rPr>
        <w:sectPr w:rsidR="00F962F4" w:rsidRPr="006D600B">
          <w:footnotePr>
            <w:numRestart w:val="eachSect"/>
          </w:footnotePr>
          <w:pgSz w:w="12240" w:h="15840"/>
          <w:pgMar w:top="1872" w:right="1440" w:bottom="1440" w:left="1440" w:header="720" w:footer="720" w:gutter="0"/>
          <w:cols w:space="720"/>
          <w:docGrid w:linePitch="360"/>
        </w:sectPr>
      </w:pPr>
    </w:p>
    <w:p w14:paraId="53B8A3C8" w14:textId="77777777" w:rsidR="006D600B" w:rsidRPr="00844AF2" w:rsidRDefault="006D600B" w:rsidP="006D600B">
      <w:pPr>
        <w:pStyle w:val="REGsH1"/>
        <w:rPr>
          <w:lang w:val="en-US"/>
        </w:rPr>
      </w:pPr>
      <w:bookmarkStart w:id="3347" w:name="_Toc453544320"/>
      <w:r>
        <w:rPr>
          <w:rFonts w:cs="Microsoft Sans Serif"/>
          <w:noProof/>
          <w:color w:val="002060"/>
          <w:lang w:val="en-US"/>
        </w:rPr>
        <w:lastRenderedPageBreak/>
        <mc:AlternateContent>
          <mc:Choice Requires="wps">
            <w:drawing>
              <wp:anchor distT="0" distB="0" distL="114300" distR="114300" simplePos="0" relativeHeight="251651072" behindDoc="0" locked="0" layoutInCell="1" allowOverlap="1" wp14:anchorId="3866A8EB" wp14:editId="52267933">
                <wp:simplePos x="0" y="0"/>
                <wp:positionH relativeFrom="margin">
                  <wp:posOffset>-887730</wp:posOffset>
                </wp:positionH>
                <wp:positionV relativeFrom="paragraph">
                  <wp:posOffset>-1185545</wp:posOffset>
                </wp:positionV>
                <wp:extent cx="7858125" cy="1379855"/>
                <wp:effectExtent l="0" t="0" r="9525"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58125" cy="1379855"/>
                        </a:xfrm>
                        <a:prstGeom prst="rect">
                          <a:avLst/>
                        </a:prstGeom>
                        <a:solidFill>
                          <a:srgbClr val="002060"/>
                        </a:solidFill>
                        <a:ln w="12700" cap="flat" cmpd="sng" algn="ctr">
                          <a:noFill/>
                          <a:prstDash val="solid"/>
                          <a:miter lim="800000"/>
                        </a:ln>
                        <a:effectLst/>
                      </wps:spPr>
                      <wps:txbx>
                        <w:txbxContent>
                          <w:p w14:paraId="7B16694D" w14:textId="77777777" w:rsidR="002714D7" w:rsidRDefault="00A41794" w:rsidP="006B7880">
                            <w:pPr>
                              <w:ind w:left="2970" w:right="1348" w:hanging="2160"/>
                              <w:jc w:val="left"/>
                              <w:rPr>
                                <w:rFonts w:ascii="Andes" w:hAnsi="Andes"/>
                                <w:sz w:val="44"/>
                                <w:szCs w:val="44"/>
                              </w:rPr>
                            </w:pPr>
                            <w:r w:rsidRPr="00140330">
                              <w:rPr>
                                <w:rFonts w:ascii="Andes" w:hAnsi="Andes"/>
                                <w:sz w:val="44"/>
                                <w:szCs w:val="44"/>
                              </w:rPr>
                              <w:t>Section VII.</w:t>
                            </w:r>
                            <w:r>
                              <w:rPr>
                                <w:rFonts w:ascii="Andes" w:hAnsi="Andes"/>
                                <w:sz w:val="44"/>
                                <w:szCs w:val="44"/>
                              </w:rPr>
                              <w:t xml:space="preserve"> </w:t>
                            </w:r>
                            <w:r w:rsidRPr="00140330">
                              <w:rPr>
                                <w:rFonts w:ascii="Andes" w:hAnsi="Andes"/>
                                <w:sz w:val="44"/>
                                <w:szCs w:val="44"/>
                              </w:rPr>
                              <w:tab/>
                              <w:t>Méthodes de s</w:t>
                            </w:r>
                            <w:r>
                              <w:rPr>
                                <w:rFonts w:ascii="Andes" w:hAnsi="Andes"/>
                                <w:sz w:val="44"/>
                                <w:szCs w:val="44"/>
                              </w:rPr>
                              <w:t>é</w:t>
                            </w:r>
                            <w:r w:rsidRPr="00140330">
                              <w:rPr>
                                <w:rFonts w:ascii="Andes" w:hAnsi="Andes"/>
                                <w:sz w:val="44"/>
                                <w:szCs w:val="44"/>
                              </w:rPr>
                              <w:t>lection agréées</w:t>
                            </w:r>
                            <w:r>
                              <w:rPr>
                                <w:rFonts w:ascii="Andes" w:hAnsi="Andes"/>
                                <w:sz w:val="44"/>
                                <w:szCs w:val="44"/>
                              </w:rPr>
                              <w:t xml:space="preserve"> </w:t>
                            </w:r>
                          </w:p>
                          <w:p w14:paraId="5247AF7C" w14:textId="2DBB075E" w:rsidR="00A41794" w:rsidRPr="00140330" w:rsidRDefault="00A41794" w:rsidP="006B7880">
                            <w:pPr>
                              <w:ind w:left="2970" w:right="1348" w:hanging="2160"/>
                              <w:jc w:val="left"/>
                              <w:rPr>
                                <w:rFonts w:ascii="Andes" w:hAnsi="Andes"/>
                                <w:sz w:val="44"/>
                                <w:szCs w:val="44"/>
                              </w:rPr>
                            </w:pPr>
                            <w:r w:rsidRPr="00140330">
                              <w:rPr>
                                <w:rFonts w:ascii="Andes" w:hAnsi="Andes"/>
                                <w:sz w:val="44"/>
                                <w:szCs w:val="44"/>
                              </w:rPr>
                              <w:t>Services de Consultants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866A8EB" id="Rectangle 13" o:spid="_x0000_s1036" style="position:absolute;margin-left:-69.9pt;margin-top:-93.35pt;width:618.75pt;height:108.6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" fillcolor="#002060" stroked="f" strokeweight="1pt">
                <v:textbox>
                  <w:txbxContent>
                    <w:p w14:paraId="7B16694D" w14:textId="77777777" w:rsidR="002714D7" w:rsidRDefault="00A41794" w:rsidP="006B7880">
                      <w:pPr>
                        <w:ind w:left="2970" w:right="1348" w:hanging="2160"/>
                        <w:jc w:val="left"/>
                        <w:rPr>
                          <w:rFonts w:ascii="Andes" w:hAnsi="Andes"/>
                          <w:sz w:val="44"/>
                          <w:szCs w:val="44"/>
                        </w:rPr>
                      </w:pPr>
                      <w:r w:rsidRPr="00140330">
                        <w:rPr>
                          <w:rFonts w:ascii="Andes" w:hAnsi="Andes"/>
                          <w:sz w:val="44"/>
                          <w:szCs w:val="44"/>
                        </w:rPr>
                        <w:t>Section VII.</w:t>
                      </w:r>
                      <w:r>
                        <w:rPr>
                          <w:rFonts w:ascii="Andes" w:hAnsi="Andes"/>
                          <w:sz w:val="44"/>
                          <w:szCs w:val="44"/>
                        </w:rPr>
                        <w:t xml:space="preserve"> </w:t>
                      </w:r>
                      <w:r w:rsidRPr="00140330">
                        <w:rPr>
                          <w:rFonts w:ascii="Andes" w:hAnsi="Andes"/>
                          <w:sz w:val="44"/>
                          <w:szCs w:val="44"/>
                        </w:rPr>
                        <w:tab/>
                        <w:t>Méthodes de s</w:t>
                      </w:r>
                      <w:r>
                        <w:rPr>
                          <w:rFonts w:ascii="Andes" w:hAnsi="Andes"/>
                          <w:sz w:val="44"/>
                          <w:szCs w:val="44"/>
                        </w:rPr>
                        <w:t>é</w:t>
                      </w:r>
                      <w:r w:rsidRPr="00140330">
                        <w:rPr>
                          <w:rFonts w:ascii="Andes" w:hAnsi="Andes"/>
                          <w:sz w:val="44"/>
                          <w:szCs w:val="44"/>
                        </w:rPr>
                        <w:t>lection agréées</w:t>
                      </w:r>
                      <w:r>
                        <w:rPr>
                          <w:rFonts w:ascii="Andes" w:hAnsi="Andes"/>
                          <w:sz w:val="44"/>
                          <w:szCs w:val="44"/>
                        </w:rPr>
                        <w:t xml:space="preserve"> </w:t>
                      </w:r>
                    </w:p>
                    <w:p w14:paraId="5247AF7C" w14:textId="2DBB075E" w:rsidR="00A41794" w:rsidRPr="00140330" w:rsidRDefault="00A41794" w:rsidP="006B7880">
                      <w:pPr>
                        <w:ind w:left="2970" w:right="1348" w:hanging="2160"/>
                        <w:jc w:val="left"/>
                        <w:rPr>
                          <w:rFonts w:ascii="Andes" w:hAnsi="Andes"/>
                          <w:sz w:val="44"/>
                          <w:szCs w:val="44"/>
                        </w:rPr>
                      </w:pPr>
                      <w:r w:rsidRPr="00140330">
                        <w:rPr>
                          <w:rFonts w:ascii="Andes" w:hAnsi="Andes"/>
                          <w:sz w:val="44"/>
                          <w:szCs w:val="44"/>
                        </w:rPr>
                        <w:t>Services de Consultants</w:t>
                      </w:r>
                    </w:p>
                  </w:txbxContent>
                </v:textbox>
                <w10:wrap anchorx="margin"/>
              </v:rect>
            </w:pict>
          </mc:Fallback>
        </mc:AlternateContent>
      </w:r>
      <w:r w:rsidRPr="00844AF2">
        <w:rPr>
          <w:lang w:val="en-US"/>
        </w:rPr>
        <w:t>Section VII.  Approved Selection Methods: Consulting Services</w:t>
      </w:r>
      <w:bookmarkEnd w:id="3347"/>
    </w:p>
    <w:p w14:paraId="6D7016D4" w14:textId="77777777" w:rsidR="006D600B" w:rsidRPr="000F54B7" w:rsidRDefault="006D600B" w:rsidP="006D600B">
      <w:pPr>
        <w:pStyle w:val="Style2"/>
        <w:keepNext/>
        <w:keepLines/>
        <w:widowControl/>
        <w:tabs>
          <w:tab w:val="left" w:pos="1710"/>
        </w:tabs>
        <w:autoSpaceDE/>
        <w:autoSpaceDN/>
        <w:adjustRightInd/>
        <w:spacing w:before="240" w:after="120" w:line="259" w:lineRule="auto"/>
        <w:contextualSpacing w:val="0"/>
        <w:jc w:val="left"/>
        <w:outlineLvl w:val="0"/>
        <w:rPr>
          <w:rFonts w:ascii="Andes" w:eastAsiaTheme="majorEastAsia" w:hAnsi="Andes" w:cstheme="majorBidi"/>
          <w:color w:val="C45911"/>
          <w:sz w:val="32"/>
          <w:szCs w:val="32"/>
        </w:rPr>
      </w:pPr>
      <w:bookmarkStart w:id="3348" w:name="_Toc453170925"/>
      <w:bookmarkStart w:id="3349" w:name="_Toc453544321"/>
      <w:r w:rsidRPr="000F54B7">
        <w:rPr>
          <w:rFonts w:ascii="Andes" w:eastAsiaTheme="majorEastAsia" w:hAnsi="Andes" w:cstheme="majorBidi"/>
          <w:bCs w:val="0"/>
          <w:color w:val="C45911"/>
          <w:sz w:val="32"/>
          <w:szCs w:val="32"/>
        </w:rPr>
        <w:t>Méthodes de sélection agréées</w:t>
      </w:r>
      <w:bookmarkEnd w:id="3348"/>
      <w:bookmarkEnd w:id="3349"/>
    </w:p>
    <w:p w14:paraId="37856521" w14:textId="0E5137AB" w:rsidR="006D600B" w:rsidRPr="00224493" w:rsidRDefault="006D600B" w:rsidP="00224493">
      <w:pPr>
        <w:pStyle w:val="Paragraphedeliste"/>
        <w:numPr>
          <w:ilvl w:val="0"/>
          <w:numId w:val="124"/>
        </w:numPr>
        <w:spacing w:before="0" w:line="240" w:lineRule="auto"/>
        <w:ind w:left="630" w:hanging="634"/>
        <w:contextualSpacing w:val="0"/>
        <w:rPr>
          <w:rFonts w:ascii="Andes" w:eastAsiaTheme="majorEastAsia" w:hAnsi="Andes"/>
          <w:b/>
          <w:sz w:val="22"/>
          <w:szCs w:val="22"/>
        </w:rPr>
      </w:pPr>
      <w:r w:rsidRPr="00224493">
        <w:rPr>
          <w:rFonts w:ascii="Andes" w:hAnsi="Andes" w:cs="Arial"/>
          <w:sz w:val="22"/>
          <w:szCs w:val="22"/>
        </w:rPr>
        <w:t>Le tableau</w:t>
      </w:r>
      <w:r w:rsidRPr="00224493">
        <w:rPr>
          <w:rFonts w:ascii="Calibri" w:hAnsi="Calibri" w:cs="Calibri"/>
          <w:sz w:val="22"/>
          <w:szCs w:val="22"/>
        </w:rPr>
        <w:t> </w:t>
      </w:r>
      <w:r w:rsidRPr="00224493">
        <w:rPr>
          <w:rFonts w:ascii="Andes" w:hAnsi="Andes" w:cs="Arial"/>
          <w:sz w:val="22"/>
          <w:szCs w:val="22"/>
        </w:rPr>
        <w:t>2 ci-dessous donne une vue d’ensemble des méthodes de sélection agréées, des types particuliers de modalités de sélection agréées et des modes de recherche de fournisseurs possibles pour sélectionner des Services de Consultants dans le cadre d’opérations de FPI. Pour plus de détails, voir l’</w:t>
      </w:r>
      <w:r w:rsidR="00367F47">
        <w:rPr>
          <w:rFonts w:ascii="Andes" w:hAnsi="Andes" w:cs="Arial"/>
          <w:sz w:val="22"/>
          <w:szCs w:val="22"/>
        </w:rPr>
        <w:t>A</w:t>
      </w:r>
      <w:r w:rsidRPr="00224493">
        <w:rPr>
          <w:rFonts w:ascii="Andes" w:hAnsi="Andes" w:cs="Arial"/>
          <w:sz w:val="22"/>
          <w:szCs w:val="22"/>
        </w:rPr>
        <w:t>nnexe</w:t>
      </w:r>
      <w:r w:rsidRPr="00224493">
        <w:rPr>
          <w:rFonts w:ascii="Calibri" w:hAnsi="Calibri" w:cs="Calibri"/>
          <w:sz w:val="22"/>
          <w:szCs w:val="22"/>
        </w:rPr>
        <w:t> </w:t>
      </w:r>
      <w:r w:rsidRPr="00224493">
        <w:rPr>
          <w:rFonts w:ascii="Andes" w:hAnsi="Andes" w:cs="Arial"/>
          <w:sz w:val="22"/>
          <w:szCs w:val="22"/>
        </w:rPr>
        <w:t>XII M</w:t>
      </w:r>
      <w:r w:rsidRPr="00224493">
        <w:rPr>
          <w:rFonts w:ascii="Andes" w:hAnsi="Andes" w:cs="Andes"/>
          <w:sz w:val="22"/>
          <w:szCs w:val="22"/>
        </w:rPr>
        <w:t>é</w:t>
      </w:r>
      <w:r w:rsidRPr="00224493">
        <w:rPr>
          <w:rFonts w:ascii="Andes" w:hAnsi="Andes" w:cs="Arial"/>
          <w:sz w:val="22"/>
          <w:szCs w:val="22"/>
        </w:rPr>
        <w:t>thodes de sélection.</w:t>
      </w:r>
      <w:bookmarkStart w:id="3350" w:name="_Toc453170926"/>
    </w:p>
    <w:tbl>
      <w:tblPr>
        <w:tblpPr w:leftFromText="180" w:rightFromText="180" w:vertAnchor="page" w:horzAnchor="margin" w:tblpY="4751"/>
        <w:tblW w:w="4949" w:type="pct"/>
        <w:tblLayout w:type="fixed"/>
        <w:tblCellMar>
          <w:left w:w="29" w:type="dxa"/>
          <w:right w:w="29" w:type="dxa"/>
        </w:tblCellMar>
        <w:tblLook w:val="04A0" w:firstRow="1" w:lastRow="0" w:firstColumn="1" w:lastColumn="0" w:noHBand="0" w:noVBand="1"/>
      </w:tblPr>
      <w:tblGrid>
        <w:gridCol w:w="3174"/>
        <w:gridCol w:w="1051"/>
        <w:gridCol w:w="975"/>
        <w:gridCol w:w="817"/>
        <w:gridCol w:w="1217"/>
        <w:gridCol w:w="950"/>
        <w:gridCol w:w="1069"/>
        <w:gridCol w:w="11"/>
      </w:tblGrid>
      <w:tr w:rsidR="00224493" w:rsidRPr="00D672E8" w14:paraId="524E0729" w14:textId="77777777" w:rsidTr="00C034F4">
        <w:trPr>
          <w:trHeight w:val="432"/>
        </w:trPr>
        <w:tc>
          <w:tcPr>
            <w:tcW w:w="1713" w:type="pct"/>
            <w:tcBorders>
              <w:top w:val="single" w:sz="12" w:space="0" w:color="auto"/>
              <w:left w:val="single" w:sz="12" w:space="0" w:color="auto"/>
              <w:bottom w:val="single" w:sz="4" w:space="0" w:color="auto"/>
              <w:right w:val="single" w:sz="4" w:space="0" w:color="auto"/>
            </w:tcBorders>
            <w:shd w:val="clear" w:color="auto" w:fill="auto"/>
          </w:tcPr>
          <w:bookmarkEnd w:id="3350"/>
          <w:p w14:paraId="45BAC0E3" w14:textId="77777777" w:rsidR="00224493" w:rsidRPr="000F54B7" w:rsidRDefault="00224493" w:rsidP="00224493">
            <w:pPr>
              <w:spacing w:before="40" w:after="40" w:line="240" w:lineRule="auto"/>
              <w:contextualSpacing w:val="0"/>
              <w:jc w:val="center"/>
              <w:rPr>
                <w:rFonts w:ascii="Andes" w:hAnsi="Andes" w:cs="Arial"/>
                <w:bCs/>
                <w:color w:val="000000"/>
                <w:sz w:val="28"/>
                <w:szCs w:val="28"/>
              </w:rPr>
            </w:pPr>
            <w:r w:rsidRPr="000F54B7">
              <w:rPr>
                <w:rFonts w:ascii="Andes" w:hAnsi="Andes" w:cs="Arial"/>
                <w:bCs/>
                <w:color w:val="C45911"/>
                <w:sz w:val="28"/>
                <w:szCs w:val="28"/>
              </w:rPr>
              <w:t>Services de Consultants</w:t>
            </w:r>
          </w:p>
        </w:tc>
        <w:tc>
          <w:tcPr>
            <w:tcW w:w="3287" w:type="pct"/>
            <w:gridSpan w:val="7"/>
            <w:tcBorders>
              <w:top w:val="single" w:sz="12" w:space="0" w:color="auto"/>
              <w:left w:val="single" w:sz="4" w:space="0" w:color="auto"/>
              <w:bottom w:val="single" w:sz="12" w:space="0" w:color="FFFFFF" w:themeColor="background1"/>
              <w:right w:val="single" w:sz="12" w:space="0" w:color="auto"/>
            </w:tcBorders>
            <w:shd w:val="clear" w:color="auto" w:fill="002060"/>
            <w:noWrap/>
            <w:vAlign w:val="center"/>
          </w:tcPr>
          <w:p w14:paraId="2886B156" w14:textId="77777777" w:rsidR="00224493" w:rsidRPr="000F54B7" w:rsidRDefault="00224493" w:rsidP="00224493">
            <w:pPr>
              <w:spacing w:before="0" w:after="0" w:line="240" w:lineRule="auto"/>
              <w:ind w:left="720"/>
              <w:jc w:val="center"/>
              <w:rPr>
                <w:rFonts w:ascii="Andes" w:hAnsi="Andes" w:cs="Arial"/>
                <w:b/>
                <w:bCs/>
                <w:color w:val="FFFFFF" w:themeColor="background1"/>
                <w:szCs w:val="22"/>
              </w:rPr>
            </w:pPr>
            <w:r>
              <w:rPr>
                <w:rFonts w:ascii="Andes" w:hAnsi="Andes" w:cs="Arial"/>
                <w:b/>
                <w:bCs/>
                <w:color w:val="FFFFFF" w:themeColor="background1"/>
                <w:sz w:val="22"/>
                <w:szCs w:val="22"/>
              </w:rPr>
              <w:t xml:space="preserve">Modes </w:t>
            </w:r>
            <w:r w:rsidRPr="000F54B7">
              <w:rPr>
                <w:rFonts w:ascii="Andes" w:hAnsi="Andes" w:cs="Arial"/>
                <w:b/>
                <w:bCs/>
                <w:color w:val="FFFFFF" w:themeColor="background1"/>
                <w:sz w:val="22"/>
                <w:szCs w:val="22"/>
              </w:rPr>
              <w:t>de recherche de fournisseurs</w:t>
            </w:r>
          </w:p>
        </w:tc>
      </w:tr>
      <w:tr w:rsidR="00224493" w:rsidRPr="000F54B7" w14:paraId="4E0D3B68" w14:textId="77777777" w:rsidTr="00C034F4">
        <w:trPr>
          <w:gridAfter w:val="1"/>
          <w:wAfter w:w="6" w:type="pct"/>
          <w:trHeight w:val="576"/>
        </w:trPr>
        <w:tc>
          <w:tcPr>
            <w:tcW w:w="1713" w:type="pct"/>
            <w:tcBorders>
              <w:top w:val="single" w:sz="4" w:space="0" w:color="auto"/>
              <w:left w:val="single" w:sz="12" w:space="0" w:color="auto"/>
              <w:bottom w:val="single" w:sz="12" w:space="0" w:color="auto"/>
              <w:right w:val="single" w:sz="12" w:space="0" w:color="FFFFFF" w:themeColor="background1"/>
            </w:tcBorders>
            <w:shd w:val="clear" w:color="auto" w:fill="002060"/>
            <w:noWrap/>
            <w:vAlign w:val="center"/>
          </w:tcPr>
          <w:p w14:paraId="16757E59" w14:textId="77777777" w:rsidR="00224493" w:rsidRPr="000F54B7" w:rsidRDefault="00224493" w:rsidP="00224493">
            <w:pPr>
              <w:spacing w:before="0" w:after="0" w:line="240" w:lineRule="auto"/>
              <w:ind w:left="-33"/>
              <w:jc w:val="center"/>
              <w:rPr>
                <w:rFonts w:ascii="Andes" w:hAnsi="Andes" w:cs="Arial"/>
                <w:b/>
                <w:bCs/>
                <w:color w:val="FFFFFF" w:themeColor="background1"/>
                <w:szCs w:val="22"/>
              </w:rPr>
            </w:pPr>
            <w:r w:rsidRPr="000F54B7">
              <w:rPr>
                <w:rFonts w:ascii="Andes" w:hAnsi="Andes" w:cs="Arial"/>
                <w:b/>
                <w:bCs/>
                <w:color w:val="FFFFFF" w:themeColor="background1"/>
                <w:sz w:val="22"/>
                <w:szCs w:val="22"/>
              </w:rPr>
              <w:t xml:space="preserve">Méthodes et </w:t>
            </w:r>
            <w:r>
              <w:rPr>
                <w:rFonts w:ascii="Andes" w:hAnsi="Andes" w:cs="Arial"/>
                <w:b/>
                <w:bCs/>
                <w:color w:val="FFFFFF" w:themeColor="background1"/>
                <w:sz w:val="22"/>
                <w:szCs w:val="22"/>
              </w:rPr>
              <w:t xml:space="preserve">modalités </w:t>
            </w:r>
            <w:r w:rsidRPr="000F54B7">
              <w:rPr>
                <w:rFonts w:ascii="Andes" w:hAnsi="Andes" w:cs="Arial"/>
                <w:b/>
                <w:bCs/>
                <w:color w:val="FFFFFF" w:themeColor="background1"/>
                <w:sz w:val="22"/>
                <w:szCs w:val="22"/>
              </w:rPr>
              <w:t>de sélection agréé</w:t>
            </w:r>
            <w:r>
              <w:rPr>
                <w:rFonts w:ascii="Andes" w:hAnsi="Andes" w:cs="Arial"/>
                <w:b/>
                <w:bCs/>
                <w:color w:val="FFFFFF" w:themeColor="background1"/>
                <w:sz w:val="22"/>
                <w:szCs w:val="22"/>
              </w:rPr>
              <w:t>e</w:t>
            </w:r>
            <w:r w:rsidRPr="000F54B7">
              <w:rPr>
                <w:rFonts w:ascii="Andes" w:hAnsi="Andes" w:cs="Arial"/>
                <w:b/>
                <w:bCs/>
                <w:color w:val="FFFFFF" w:themeColor="background1"/>
                <w:sz w:val="22"/>
                <w:szCs w:val="22"/>
              </w:rPr>
              <w:t>s</w:t>
            </w:r>
          </w:p>
        </w:tc>
        <w:tc>
          <w:tcPr>
            <w:tcW w:w="567" w:type="pct"/>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C45911"/>
            <w:vAlign w:val="center"/>
          </w:tcPr>
          <w:p w14:paraId="347CD6A1" w14:textId="77777777" w:rsidR="00224493" w:rsidRPr="00C034F4" w:rsidRDefault="00224493" w:rsidP="00224493">
            <w:pPr>
              <w:spacing w:before="0" w:after="0" w:line="240" w:lineRule="auto"/>
              <w:ind w:left="-61" w:firstLine="55"/>
              <w:jc w:val="center"/>
              <w:rPr>
                <w:rFonts w:ascii="Andes" w:hAnsi="Andes" w:cs="Arial"/>
                <w:bCs/>
                <w:color w:val="FFFFFF" w:themeColor="background1"/>
                <w:sz w:val="18"/>
                <w:szCs w:val="18"/>
              </w:rPr>
            </w:pPr>
            <w:r w:rsidRPr="00C034F4">
              <w:rPr>
                <w:rFonts w:ascii="Andes" w:hAnsi="Andes" w:cs="Arial"/>
                <w:bCs/>
                <w:color w:val="FFFFFF" w:themeColor="background1"/>
                <w:sz w:val="18"/>
                <w:szCs w:val="18"/>
              </w:rPr>
              <w:t>Ouverte</w:t>
            </w:r>
          </w:p>
        </w:tc>
        <w:tc>
          <w:tcPr>
            <w:tcW w:w="526" w:type="pct"/>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C45911"/>
            <w:vAlign w:val="center"/>
          </w:tcPr>
          <w:p w14:paraId="34429E1A" w14:textId="77777777" w:rsidR="00224493" w:rsidRPr="00C034F4" w:rsidRDefault="00224493" w:rsidP="00C034F4">
            <w:pPr>
              <w:spacing w:before="0" w:after="0" w:line="240" w:lineRule="auto"/>
              <w:ind w:left="-38" w:firstLine="11"/>
              <w:jc w:val="center"/>
              <w:rPr>
                <w:rFonts w:ascii="Andes" w:hAnsi="Andes" w:cs="Arial"/>
                <w:bCs/>
                <w:color w:val="FFFFFF" w:themeColor="background1"/>
                <w:sz w:val="18"/>
                <w:szCs w:val="18"/>
              </w:rPr>
            </w:pPr>
            <w:r w:rsidRPr="00C034F4">
              <w:rPr>
                <w:rFonts w:ascii="Andes" w:hAnsi="Andes" w:cs="Arial"/>
                <w:bCs/>
                <w:color w:val="FFFFFF" w:themeColor="background1"/>
                <w:sz w:val="18"/>
                <w:szCs w:val="18"/>
              </w:rPr>
              <w:t>Restreinte</w:t>
            </w:r>
          </w:p>
        </w:tc>
        <w:tc>
          <w:tcPr>
            <w:tcW w:w="441" w:type="pct"/>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C45911"/>
            <w:vAlign w:val="center"/>
          </w:tcPr>
          <w:p w14:paraId="7AB82D73" w14:textId="77777777" w:rsidR="00224493" w:rsidRPr="00C034F4" w:rsidRDefault="00224493" w:rsidP="00224493">
            <w:pPr>
              <w:spacing w:before="0" w:after="0" w:line="240" w:lineRule="auto"/>
              <w:ind w:left="-18" w:hanging="28"/>
              <w:jc w:val="center"/>
              <w:rPr>
                <w:rFonts w:ascii="Andes" w:hAnsi="Andes" w:cs="Arial"/>
                <w:bCs/>
                <w:color w:val="FFFFFF" w:themeColor="background1"/>
                <w:sz w:val="18"/>
                <w:szCs w:val="18"/>
              </w:rPr>
            </w:pPr>
            <w:r w:rsidRPr="00C034F4">
              <w:rPr>
                <w:rFonts w:ascii="Andes" w:hAnsi="Andes" w:cs="Arial"/>
                <w:bCs/>
                <w:color w:val="FFFFFF" w:themeColor="background1"/>
                <w:sz w:val="18"/>
                <w:szCs w:val="18"/>
              </w:rPr>
              <w:t>Directe</w:t>
            </w:r>
          </w:p>
        </w:tc>
        <w:tc>
          <w:tcPr>
            <w:tcW w:w="657" w:type="pct"/>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C45911"/>
            <w:vAlign w:val="center"/>
          </w:tcPr>
          <w:p w14:paraId="06B48519" w14:textId="77777777" w:rsidR="00224493" w:rsidRPr="00C034F4" w:rsidRDefault="00224493" w:rsidP="00224493">
            <w:pPr>
              <w:spacing w:before="0" w:after="0" w:line="240" w:lineRule="auto"/>
              <w:jc w:val="center"/>
              <w:rPr>
                <w:rFonts w:ascii="Andes" w:hAnsi="Andes" w:cs="Arial"/>
                <w:bCs/>
                <w:color w:val="FFFFFF" w:themeColor="background1"/>
                <w:sz w:val="18"/>
                <w:szCs w:val="18"/>
              </w:rPr>
            </w:pPr>
            <w:r w:rsidRPr="00C034F4">
              <w:rPr>
                <w:rFonts w:ascii="Andes" w:hAnsi="Andes" w:cs="Arial"/>
                <w:bCs/>
                <w:color w:val="FFFFFF" w:themeColor="background1"/>
                <w:sz w:val="18"/>
                <w:szCs w:val="18"/>
              </w:rPr>
              <w:t>Internationale</w:t>
            </w:r>
          </w:p>
        </w:tc>
        <w:tc>
          <w:tcPr>
            <w:tcW w:w="513" w:type="pct"/>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C45911"/>
            <w:noWrap/>
            <w:vAlign w:val="center"/>
          </w:tcPr>
          <w:p w14:paraId="5662CE59" w14:textId="77777777" w:rsidR="00224493" w:rsidRPr="00C034F4" w:rsidRDefault="00224493" w:rsidP="00224493">
            <w:pPr>
              <w:spacing w:before="0" w:after="0" w:line="240" w:lineRule="auto"/>
              <w:ind w:left="-19"/>
              <w:jc w:val="center"/>
              <w:rPr>
                <w:rFonts w:ascii="Andes" w:hAnsi="Andes" w:cs="Arial"/>
                <w:bCs/>
                <w:color w:val="FFFFFF" w:themeColor="background1"/>
                <w:sz w:val="18"/>
                <w:szCs w:val="18"/>
              </w:rPr>
            </w:pPr>
            <w:r w:rsidRPr="00C034F4">
              <w:rPr>
                <w:rFonts w:ascii="Andes" w:hAnsi="Andes" w:cs="Arial"/>
                <w:bCs/>
                <w:color w:val="FFFFFF" w:themeColor="background1"/>
                <w:sz w:val="18"/>
                <w:szCs w:val="18"/>
              </w:rPr>
              <w:t>Nationale</w:t>
            </w:r>
          </w:p>
        </w:tc>
        <w:tc>
          <w:tcPr>
            <w:tcW w:w="577" w:type="pct"/>
            <w:tcBorders>
              <w:top w:val="single" w:sz="12" w:space="0" w:color="FFFFFF" w:themeColor="background1"/>
              <w:left w:val="single" w:sz="12" w:space="0" w:color="FFFFFF" w:themeColor="background1"/>
              <w:bottom w:val="single" w:sz="12" w:space="0" w:color="auto"/>
              <w:right w:val="single" w:sz="12" w:space="0" w:color="auto"/>
            </w:tcBorders>
            <w:shd w:val="clear" w:color="auto" w:fill="C45911"/>
            <w:vAlign w:val="center"/>
          </w:tcPr>
          <w:p w14:paraId="27930400" w14:textId="77777777" w:rsidR="00224493" w:rsidRPr="00C034F4" w:rsidRDefault="00224493" w:rsidP="00224493">
            <w:pPr>
              <w:spacing w:before="0" w:after="0" w:line="240" w:lineRule="auto"/>
              <w:ind w:left="-18" w:firstLine="18"/>
              <w:jc w:val="center"/>
              <w:rPr>
                <w:rFonts w:ascii="Andes" w:hAnsi="Andes" w:cs="Arial"/>
                <w:bCs/>
                <w:color w:val="FFFFFF" w:themeColor="background1"/>
                <w:sz w:val="18"/>
                <w:szCs w:val="18"/>
              </w:rPr>
            </w:pPr>
            <w:r w:rsidRPr="00C034F4">
              <w:rPr>
                <w:rFonts w:ascii="Andes" w:hAnsi="Andes" w:cs="Arial"/>
                <w:bCs/>
                <w:color w:val="FFFFFF" w:themeColor="background1"/>
                <w:sz w:val="18"/>
                <w:szCs w:val="18"/>
              </w:rPr>
              <w:t>Présélection</w:t>
            </w:r>
          </w:p>
        </w:tc>
      </w:tr>
      <w:tr w:rsidR="00224493" w:rsidRPr="000F54B7" w14:paraId="3F7DA494" w14:textId="77777777" w:rsidTr="00C034F4">
        <w:trPr>
          <w:trHeight w:val="144"/>
        </w:trPr>
        <w:tc>
          <w:tcPr>
            <w:tcW w:w="5000" w:type="pct"/>
            <w:gridSpan w:val="8"/>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bottom"/>
          </w:tcPr>
          <w:p w14:paraId="6CACE297" w14:textId="77777777" w:rsidR="00224493" w:rsidRPr="000F54B7" w:rsidRDefault="00224493" w:rsidP="00224493">
            <w:pPr>
              <w:spacing w:before="60" w:after="60" w:line="240" w:lineRule="auto"/>
              <w:ind w:left="720" w:hanging="720"/>
              <w:contextualSpacing w:val="0"/>
              <w:jc w:val="left"/>
              <w:rPr>
                <w:rFonts w:ascii="Andes" w:hAnsi="Andes" w:cs="Arial"/>
                <w:color w:val="000000"/>
                <w:szCs w:val="24"/>
              </w:rPr>
            </w:pPr>
            <w:r w:rsidRPr="000F54B7">
              <w:rPr>
                <w:rFonts w:ascii="Andes" w:hAnsi="Andes" w:cs="Arial"/>
                <w:b/>
                <w:bCs/>
                <w:color w:val="000000"/>
                <w:sz w:val="22"/>
                <w:szCs w:val="22"/>
              </w:rPr>
              <w:t>Méthodes de sélection</w:t>
            </w:r>
          </w:p>
        </w:tc>
      </w:tr>
      <w:tr w:rsidR="00224493" w:rsidRPr="000F54B7" w14:paraId="095B7270" w14:textId="77777777" w:rsidTr="00C034F4">
        <w:trPr>
          <w:gridAfter w:val="1"/>
          <w:wAfter w:w="6" w:type="pct"/>
          <w:trHeight w:val="315"/>
        </w:trPr>
        <w:tc>
          <w:tcPr>
            <w:tcW w:w="1713" w:type="pct"/>
            <w:tcBorders>
              <w:top w:val="single" w:sz="12" w:space="0" w:color="auto"/>
              <w:left w:val="single" w:sz="12" w:space="0" w:color="auto"/>
              <w:bottom w:val="single" w:sz="8" w:space="0" w:color="FFFFFF" w:themeColor="background1"/>
              <w:right w:val="single" w:sz="4" w:space="0" w:color="auto"/>
            </w:tcBorders>
            <w:shd w:val="clear" w:color="auto" w:fill="C45911"/>
            <w:noWrap/>
            <w:vAlign w:val="bottom"/>
          </w:tcPr>
          <w:p w14:paraId="521FA6FE" w14:textId="77777777" w:rsidR="00224493" w:rsidRPr="000F54B7" w:rsidRDefault="00224493" w:rsidP="00224493">
            <w:pPr>
              <w:spacing w:before="40" w:after="40" w:line="240" w:lineRule="auto"/>
              <w:contextualSpacing w:val="0"/>
              <w:jc w:val="left"/>
              <w:rPr>
                <w:rFonts w:ascii="Andes" w:hAnsi="Andes" w:cs="Arial"/>
                <w:color w:val="FFFFFF" w:themeColor="background1"/>
                <w:szCs w:val="22"/>
              </w:rPr>
            </w:pPr>
            <w:r w:rsidRPr="000F54B7">
              <w:rPr>
                <w:rFonts w:ascii="Andes" w:hAnsi="Andes" w:cs="Arial"/>
                <w:color w:val="FFFFFF" w:themeColor="background1"/>
                <w:sz w:val="22"/>
                <w:szCs w:val="22"/>
              </w:rPr>
              <w:t>Sélection Fondée sur la Qualité et sur le Coût</w:t>
            </w:r>
          </w:p>
        </w:tc>
        <w:tc>
          <w:tcPr>
            <w:tcW w:w="567" w:type="pct"/>
            <w:tcBorders>
              <w:top w:val="single" w:sz="12" w:space="0" w:color="auto"/>
              <w:left w:val="single" w:sz="4" w:space="0" w:color="auto"/>
              <w:bottom w:val="single" w:sz="4" w:space="0" w:color="auto"/>
              <w:right w:val="single" w:sz="4" w:space="0" w:color="auto"/>
            </w:tcBorders>
            <w:shd w:val="clear" w:color="auto" w:fill="auto"/>
            <w:noWrap/>
            <w:vAlign w:val="center"/>
          </w:tcPr>
          <w:p w14:paraId="23564753" w14:textId="77777777" w:rsidR="00224493" w:rsidRPr="000F54B7" w:rsidRDefault="00224493" w:rsidP="00224493">
            <w:pPr>
              <w:spacing w:before="0" w:after="0" w:line="240" w:lineRule="auto"/>
              <w:ind w:left="-61" w:firstLine="55"/>
              <w:jc w:val="center"/>
              <w:rPr>
                <w:rFonts w:ascii="Andes" w:hAnsi="Andes" w:cs="Arial"/>
                <w:color w:val="000000"/>
                <w:szCs w:val="22"/>
              </w:rPr>
            </w:pPr>
            <w:r w:rsidRPr="000F54B7">
              <w:rPr>
                <w:rFonts w:ascii="Andes" w:hAnsi="Andes" w:cs="Arial"/>
                <w:b/>
                <w:bCs/>
                <w:color w:val="000000"/>
                <w:sz w:val="20"/>
              </w:rPr>
              <w:sym w:font="Wingdings 2" w:char="F050"/>
            </w:r>
          </w:p>
        </w:tc>
        <w:tc>
          <w:tcPr>
            <w:tcW w:w="526" w:type="pct"/>
            <w:tcBorders>
              <w:top w:val="single" w:sz="12" w:space="0" w:color="auto"/>
              <w:left w:val="single" w:sz="4" w:space="0" w:color="auto"/>
              <w:bottom w:val="single" w:sz="4" w:space="0" w:color="auto"/>
              <w:right w:val="single" w:sz="4" w:space="0" w:color="auto"/>
            </w:tcBorders>
            <w:shd w:val="clear" w:color="auto" w:fill="auto"/>
            <w:noWrap/>
            <w:vAlign w:val="center"/>
          </w:tcPr>
          <w:p w14:paraId="3FFB07F4" w14:textId="77777777" w:rsidR="00224493" w:rsidRPr="000F54B7" w:rsidRDefault="00224493" w:rsidP="00224493">
            <w:pPr>
              <w:spacing w:before="0" w:after="0" w:line="240" w:lineRule="auto"/>
              <w:ind w:left="-119" w:firstLine="11"/>
              <w:jc w:val="center"/>
              <w:rPr>
                <w:rFonts w:ascii="Andes" w:hAnsi="Andes" w:cs="Arial"/>
                <w:color w:val="000000"/>
                <w:szCs w:val="22"/>
              </w:rPr>
            </w:pPr>
            <w:r w:rsidRPr="000F54B7">
              <w:rPr>
                <w:rFonts w:ascii="Andes" w:hAnsi="Andes" w:cs="Arial"/>
                <w:b/>
                <w:bCs/>
                <w:color w:val="000000"/>
                <w:sz w:val="20"/>
              </w:rPr>
              <w:t>x</w:t>
            </w:r>
          </w:p>
        </w:tc>
        <w:tc>
          <w:tcPr>
            <w:tcW w:w="441" w:type="pct"/>
            <w:tcBorders>
              <w:top w:val="single" w:sz="12" w:space="0" w:color="auto"/>
              <w:left w:val="single" w:sz="4" w:space="0" w:color="auto"/>
              <w:bottom w:val="single" w:sz="4" w:space="0" w:color="auto"/>
              <w:right w:val="single" w:sz="4" w:space="0" w:color="auto"/>
            </w:tcBorders>
            <w:shd w:val="clear" w:color="auto" w:fill="auto"/>
            <w:noWrap/>
            <w:vAlign w:val="center"/>
          </w:tcPr>
          <w:p w14:paraId="1C6CFC73" w14:textId="77777777" w:rsidR="00224493" w:rsidRPr="000F54B7" w:rsidRDefault="00224493" w:rsidP="00224493">
            <w:pPr>
              <w:spacing w:before="0" w:after="0" w:line="240" w:lineRule="auto"/>
              <w:ind w:left="16"/>
              <w:jc w:val="center"/>
              <w:rPr>
                <w:rFonts w:ascii="Andes" w:hAnsi="Andes" w:cs="Arial"/>
                <w:color w:val="000000"/>
                <w:szCs w:val="22"/>
              </w:rPr>
            </w:pPr>
            <w:r w:rsidRPr="000F54B7">
              <w:rPr>
                <w:rFonts w:ascii="Andes" w:hAnsi="Andes" w:cs="Arial"/>
                <w:b/>
                <w:bCs/>
                <w:color w:val="000000"/>
                <w:sz w:val="20"/>
              </w:rPr>
              <w:t>x</w:t>
            </w:r>
          </w:p>
        </w:tc>
        <w:tc>
          <w:tcPr>
            <w:tcW w:w="657" w:type="pct"/>
            <w:tcBorders>
              <w:top w:val="single" w:sz="12" w:space="0" w:color="auto"/>
              <w:left w:val="single" w:sz="4" w:space="0" w:color="auto"/>
              <w:bottom w:val="single" w:sz="4" w:space="0" w:color="auto"/>
              <w:right w:val="single" w:sz="4" w:space="0" w:color="auto"/>
            </w:tcBorders>
            <w:shd w:val="clear" w:color="auto" w:fill="auto"/>
            <w:noWrap/>
            <w:vAlign w:val="center"/>
          </w:tcPr>
          <w:p w14:paraId="1C1D9555" w14:textId="77777777" w:rsidR="00224493" w:rsidRPr="000F54B7" w:rsidRDefault="00224493" w:rsidP="00224493">
            <w:pPr>
              <w:spacing w:before="0" w:after="0" w:line="240" w:lineRule="auto"/>
              <w:ind w:left="36"/>
              <w:jc w:val="center"/>
              <w:rPr>
                <w:rFonts w:ascii="Andes" w:hAnsi="Andes" w:cs="Arial"/>
                <w:color w:val="000000"/>
                <w:szCs w:val="22"/>
              </w:rPr>
            </w:pPr>
            <w:r w:rsidRPr="000F54B7">
              <w:rPr>
                <w:rFonts w:ascii="Andes" w:hAnsi="Andes" w:cs="Arial"/>
                <w:b/>
                <w:bCs/>
                <w:color w:val="000000"/>
                <w:sz w:val="20"/>
              </w:rPr>
              <w:sym w:font="Wingdings 2" w:char="F050"/>
            </w:r>
          </w:p>
        </w:tc>
        <w:tc>
          <w:tcPr>
            <w:tcW w:w="513" w:type="pct"/>
            <w:tcBorders>
              <w:top w:val="single" w:sz="12" w:space="0" w:color="auto"/>
              <w:left w:val="single" w:sz="4" w:space="0" w:color="auto"/>
              <w:bottom w:val="single" w:sz="4" w:space="0" w:color="auto"/>
              <w:right w:val="single" w:sz="4" w:space="0" w:color="auto"/>
            </w:tcBorders>
            <w:shd w:val="clear" w:color="auto" w:fill="auto"/>
            <w:noWrap/>
            <w:vAlign w:val="center"/>
          </w:tcPr>
          <w:p w14:paraId="35F69148" w14:textId="77777777" w:rsidR="00224493" w:rsidRPr="000F54B7" w:rsidRDefault="00224493" w:rsidP="00224493">
            <w:pPr>
              <w:spacing w:before="0" w:after="0" w:line="240" w:lineRule="auto"/>
              <w:ind w:hanging="18"/>
              <w:jc w:val="center"/>
              <w:rPr>
                <w:rFonts w:ascii="Andes" w:hAnsi="Andes" w:cs="Arial"/>
                <w:color w:val="000000"/>
                <w:szCs w:val="22"/>
              </w:rPr>
            </w:pPr>
            <w:r w:rsidRPr="000F54B7">
              <w:rPr>
                <w:rFonts w:ascii="Andes" w:hAnsi="Andes" w:cs="Arial"/>
                <w:b/>
                <w:bCs/>
                <w:color w:val="000000"/>
                <w:sz w:val="20"/>
              </w:rPr>
              <w:sym w:font="Wingdings 2" w:char="F050"/>
            </w:r>
          </w:p>
        </w:tc>
        <w:tc>
          <w:tcPr>
            <w:tcW w:w="577" w:type="pct"/>
            <w:tcBorders>
              <w:top w:val="single" w:sz="12" w:space="0" w:color="auto"/>
              <w:left w:val="single" w:sz="4" w:space="0" w:color="auto"/>
              <w:bottom w:val="single" w:sz="4" w:space="0" w:color="auto"/>
              <w:right w:val="single" w:sz="12" w:space="0" w:color="auto"/>
            </w:tcBorders>
            <w:shd w:val="clear" w:color="auto" w:fill="auto"/>
            <w:noWrap/>
            <w:vAlign w:val="center"/>
          </w:tcPr>
          <w:p w14:paraId="4F3041DC" w14:textId="77777777" w:rsidR="00224493" w:rsidRPr="000F54B7" w:rsidRDefault="00224493" w:rsidP="00224493">
            <w:pPr>
              <w:spacing w:before="0" w:after="0" w:line="240" w:lineRule="auto"/>
              <w:ind w:left="14"/>
              <w:jc w:val="center"/>
              <w:rPr>
                <w:rFonts w:ascii="Andes" w:hAnsi="Andes" w:cs="Arial"/>
                <w:color w:val="000000"/>
                <w:szCs w:val="22"/>
              </w:rPr>
            </w:pPr>
            <w:r w:rsidRPr="000F54B7">
              <w:rPr>
                <w:rFonts w:ascii="Andes" w:hAnsi="Andes" w:cs="Arial"/>
                <w:b/>
                <w:bCs/>
                <w:color w:val="000000"/>
                <w:sz w:val="20"/>
              </w:rPr>
              <w:sym w:font="Wingdings 2" w:char="F050"/>
            </w:r>
          </w:p>
        </w:tc>
      </w:tr>
      <w:tr w:rsidR="00224493" w:rsidRPr="000F54B7" w14:paraId="3E92F128" w14:textId="77777777" w:rsidTr="00C034F4">
        <w:trPr>
          <w:gridAfter w:val="1"/>
          <w:wAfter w:w="6" w:type="pct"/>
          <w:trHeight w:val="315"/>
        </w:trPr>
        <w:tc>
          <w:tcPr>
            <w:tcW w:w="1713" w:type="pct"/>
            <w:tcBorders>
              <w:top w:val="single" w:sz="8" w:space="0" w:color="FFFFFF" w:themeColor="background1"/>
              <w:left w:val="single" w:sz="12" w:space="0" w:color="auto"/>
              <w:bottom w:val="single" w:sz="8" w:space="0" w:color="FFFFFF" w:themeColor="background1"/>
              <w:right w:val="single" w:sz="4" w:space="0" w:color="auto"/>
            </w:tcBorders>
            <w:shd w:val="clear" w:color="auto" w:fill="C45911"/>
            <w:noWrap/>
            <w:vAlign w:val="bottom"/>
          </w:tcPr>
          <w:p w14:paraId="1441DA2D" w14:textId="77777777" w:rsidR="00224493" w:rsidRPr="000F54B7" w:rsidRDefault="00224493" w:rsidP="00224493">
            <w:pPr>
              <w:spacing w:before="40" w:after="40" w:line="240" w:lineRule="auto"/>
              <w:contextualSpacing w:val="0"/>
              <w:jc w:val="left"/>
              <w:rPr>
                <w:rFonts w:ascii="Andes" w:hAnsi="Andes" w:cs="Arial"/>
                <w:b/>
                <w:bCs/>
                <w:color w:val="FFFFFF" w:themeColor="background1"/>
                <w:szCs w:val="22"/>
              </w:rPr>
            </w:pPr>
            <w:r w:rsidRPr="000F54B7">
              <w:rPr>
                <w:rFonts w:ascii="Andes" w:hAnsi="Andes" w:cs="Arial"/>
                <w:color w:val="FFFFFF" w:themeColor="background1"/>
                <w:sz w:val="22"/>
                <w:szCs w:val="22"/>
              </w:rPr>
              <w:t>Sélection dans le Cadre d’un Budget Déterminé</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5BBF9F" w14:textId="77777777" w:rsidR="00224493" w:rsidRPr="000F54B7" w:rsidRDefault="00224493" w:rsidP="00224493">
            <w:pPr>
              <w:spacing w:before="0" w:after="0" w:line="240" w:lineRule="auto"/>
              <w:ind w:left="-61" w:firstLine="55"/>
              <w:jc w:val="center"/>
              <w:rPr>
                <w:rFonts w:ascii="Andes" w:hAnsi="Andes" w:cs="Arial"/>
                <w:color w:val="000000"/>
                <w:szCs w:val="22"/>
              </w:rPr>
            </w:pPr>
            <w:r w:rsidRPr="000F54B7">
              <w:rPr>
                <w:rFonts w:ascii="Andes" w:hAnsi="Andes" w:cs="Arial"/>
                <w:b/>
                <w:bCs/>
                <w:color w:val="000000"/>
                <w:sz w:val="20"/>
              </w:rPr>
              <w:sym w:font="Wingdings 2" w:char="F050"/>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D31759" w14:textId="77777777" w:rsidR="00224493" w:rsidRPr="000F54B7" w:rsidRDefault="00224493" w:rsidP="00224493">
            <w:pPr>
              <w:spacing w:before="0" w:after="0" w:line="240" w:lineRule="auto"/>
              <w:ind w:left="-119" w:firstLine="11"/>
              <w:jc w:val="center"/>
              <w:rPr>
                <w:rFonts w:ascii="Andes" w:hAnsi="Andes" w:cs="Arial"/>
                <w:color w:val="000000"/>
                <w:szCs w:val="22"/>
              </w:rPr>
            </w:pPr>
            <w:r w:rsidRPr="000F54B7">
              <w:rPr>
                <w:rFonts w:ascii="Andes" w:hAnsi="Andes" w:cs="Arial"/>
                <w:b/>
                <w:bCs/>
                <w:color w:val="000000"/>
                <w:sz w:val="20"/>
              </w:rPr>
              <w:t>x</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3369FA" w14:textId="77777777" w:rsidR="00224493" w:rsidRPr="000F54B7" w:rsidRDefault="00224493" w:rsidP="00224493">
            <w:pPr>
              <w:spacing w:before="0" w:after="0" w:line="240" w:lineRule="auto"/>
              <w:ind w:left="16"/>
              <w:jc w:val="center"/>
              <w:rPr>
                <w:rFonts w:ascii="Andes" w:hAnsi="Andes" w:cs="Arial"/>
                <w:color w:val="000000"/>
                <w:szCs w:val="22"/>
              </w:rPr>
            </w:pPr>
            <w:r w:rsidRPr="000F54B7">
              <w:rPr>
                <w:rFonts w:ascii="Andes" w:hAnsi="Andes" w:cs="Arial"/>
                <w:b/>
                <w:bCs/>
                <w:color w:val="000000"/>
                <w:sz w:val="20"/>
              </w:rPr>
              <w:t>x</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7581F2" w14:textId="77777777" w:rsidR="00224493" w:rsidRPr="000F54B7" w:rsidRDefault="00224493" w:rsidP="00224493">
            <w:pPr>
              <w:spacing w:before="0" w:after="0" w:line="240" w:lineRule="auto"/>
              <w:ind w:left="36"/>
              <w:jc w:val="center"/>
              <w:rPr>
                <w:rFonts w:ascii="Andes" w:hAnsi="Andes" w:cs="Arial"/>
                <w:color w:val="000000"/>
                <w:szCs w:val="22"/>
              </w:rPr>
            </w:pPr>
            <w:r w:rsidRPr="000F54B7">
              <w:rPr>
                <w:rFonts w:ascii="Andes" w:hAnsi="Andes" w:cs="Arial"/>
                <w:b/>
                <w:bCs/>
                <w:color w:val="000000"/>
                <w:sz w:val="20"/>
              </w:rPr>
              <w:sym w:font="Wingdings 2" w:char="F050"/>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0710DB" w14:textId="77777777" w:rsidR="00224493" w:rsidRPr="000F54B7" w:rsidRDefault="00224493" w:rsidP="00224493">
            <w:pPr>
              <w:spacing w:before="0" w:after="0" w:line="240" w:lineRule="auto"/>
              <w:ind w:hanging="18"/>
              <w:jc w:val="center"/>
              <w:rPr>
                <w:rFonts w:ascii="Andes" w:hAnsi="Andes" w:cs="Arial"/>
                <w:color w:val="000000"/>
                <w:szCs w:val="22"/>
              </w:rPr>
            </w:pPr>
            <w:r w:rsidRPr="000F54B7">
              <w:rPr>
                <w:rFonts w:ascii="Andes" w:hAnsi="Andes" w:cs="Arial"/>
                <w:b/>
                <w:bCs/>
                <w:color w:val="000000"/>
                <w:sz w:val="20"/>
              </w:rPr>
              <w:sym w:font="Wingdings 2" w:char="F050"/>
            </w:r>
          </w:p>
        </w:tc>
        <w:tc>
          <w:tcPr>
            <w:tcW w:w="57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501E89A2" w14:textId="77777777" w:rsidR="00224493" w:rsidRPr="000F54B7" w:rsidRDefault="00224493" w:rsidP="00224493">
            <w:pPr>
              <w:spacing w:before="0" w:after="0" w:line="240" w:lineRule="auto"/>
              <w:ind w:left="14"/>
              <w:jc w:val="center"/>
              <w:rPr>
                <w:rFonts w:ascii="Andes" w:hAnsi="Andes" w:cs="Arial"/>
                <w:color w:val="000000"/>
                <w:szCs w:val="22"/>
              </w:rPr>
            </w:pPr>
            <w:r w:rsidRPr="000F54B7">
              <w:rPr>
                <w:rFonts w:ascii="Andes" w:hAnsi="Andes" w:cs="Arial"/>
                <w:b/>
                <w:bCs/>
                <w:color w:val="000000"/>
                <w:sz w:val="20"/>
              </w:rPr>
              <w:sym w:font="Wingdings 2" w:char="F050"/>
            </w:r>
          </w:p>
        </w:tc>
      </w:tr>
      <w:tr w:rsidR="00224493" w:rsidRPr="000F54B7" w14:paraId="018F5D34" w14:textId="77777777" w:rsidTr="00C034F4">
        <w:trPr>
          <w:gridAfter w:val="1"/>
          <w:wAfter w:w="6" w:type="pct"/>
          <w:trHeight w:val="315"/>
        </w:trPr>
        <w:tc>
          <w:tcPr>
            <w:tcW w:w="1713" w:type="pct"/>
            <w:tcBorders>
              <w:top w:val="single" w:sz="8" w:space="0" w:color="FFFFFF" w:themeColor="background1"/>
              <w:left w:val="single" w:sz="12" w:space="0" w:color="auto"/>
              <w:bottom w:val="single" w:sz="8" w:space="0" w:color="FFFFFF" w:themeColor="background1"/>
              <w:right w:val="single" w:sz="4" w:space="0" w:color="auto"/>
            </w:tcBorders>
            <w:shd w:val="clear" w:color="auto" w:fill="C45911"/>
            <w:noWrap/>
            <w:vAlign w:val="bottom"/>
          </w:tcPr>
          <w:p w14:paraId="263A5530" w14:textId="77777777" w:rsidR="00224493" w:rsidRPr="000F54B7" w:rsidRDefault="00224493" w:rsidP="00224493">
            <w:pPr>
              <w:spacing w:before="40" w:after="40" w:line="240" w:lineRule="auto"/>
              <w:contextualSpacing w:val="0"/>
              <w:jc w:val="left"/>
              <w:rPr>
                <w:rFonts w:ascii="Andes" w:hAnsi="Andes" w:cs="Arial"/>
                <w:color w:val="FFFFFF" w:themeColor="background1"/>
                <w:szCs w:val="22"/>
              </w:rPr>
            </w:pPr>
            <w:r w:rsidRPr="000F54B7">
              <w:rPr>
                <w:rFonts w:ascii="Andes" w:hAnsi="Andes" w:cs="Arial"/>
                <w:color w:val="FFFFFF" w:themeColor="background1"/>
                <w:sz w:val="22"/>
                <w:szCs w:val="22"/>
              </w:rPr>
              <w:t>Sélecti</w:t>
            </w:r>
            <w:r>
              <w:rPr>
                <w:rFonts w:ascii="Andes" w:hAnsi="Andes" w:cs="Arial"/>
                <w:color w:val="FFFFFF" w:themeColor="background1"/>
                <w:sz w:val="22"/>
                <w:szCs w:val="22"/>
              </w:rPr>
              <w:t>on au M</w:t>
            </w:r>
            <w:r w:rsidRPr="000F54B7">
              <w:rPr>
                <w:rFonts w:ascii="Andes" w:hAnsi="Andes" w:cs="Arial"/>
                <w:color w:val="FFFFFF" w:themeColor="background1"/>
                <w:sz w:val="22"/>
                <w:szCs w:val="22"/>
              </w:rPr>
              <w:t xml:space="preserve">oindre </w:t>
            </w:r>
            <w:r>
              <w:rPr>
                <w:rFonts w:ascii="Andes" w:hAnsi="Andes" w:cs="Arial"/>
                <w:color w:val="FFFFFF" w:themeColor="background1"/>
                <w:sz w:val="22"/>
                <w:szCs w:val="22"/>
              </w:rPr>
              <w:t>C</w:t>
            </w:r>
            <w:r w:rsidRPr="000F54B7">
              <w:rPr>
                <w:rFonts w:ascii="Andes" w:hAnsi="Andes" w:cs="Arial"/>
                <w:color w:val="FFFFFF" w:themeColor="background1"/>
                <w:sz w:val="22"/>
                <w:szCs w:val="22"/>
              </w:rPr>
              <w:t xml:space="preserve">oût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E2DB1F" w14:textId="77777777" w:rsidR="00224493" w:rsidRPr="000F54B7" w:rsidRDefault="00224493" w:rsidP="00224493">
            <w:pPr>
              <w:spacing w:before="0" w:after="0" w:line="240" w:lineRule="auto"/>
              <w:ind w:left="-61" w:firstLine="55"/>
              <w:jc w:val="center"/>
              <w:rPr>
                <w:rFonts w:ascii="Andes" w:hAnsi="Andes" w:cs="Arial"/>
                <w:color w:val="000000"/>
                <w:szCs w:val="22"/>
              </w:rPr>
            </w:pPr>
            <w:r w:rsidRPr="000F54B7">
              <w:rPr>
                <w:rFonts w:ascii="Andes" w:hAnsi="Andes" w:cs="Arial"/>
                <w:b/>
                <w:bCs/>
                <w:color w:val="000000"/>
                <w:sz w:val="20"/>
              </w:rPr>
              <w:sym w:font="Wingdings 2" w:char="F050"/>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FCEF14" w14:textId="77777777" w:rsidR="00224493" w:rsidRPr="000F54B7" w:rsidRDefault="00224493" w:rsidP="00224493">
            <w:pPr>
              <w:spacing w:before="0" w:after="0" w:line="240" w:lineRule="auto"/>
              <w:ind w:left="-119" w:firstLine="11"/>
              <w:jc w:val="center"/>
              <w:rPr>
                <w:rFonts w:ascii="Andes" w:hAnsi="Andes" w:cs="Arial"/>
                <w:color w:val="000000"/>
                <w:szCs w:val="22"/>
              </w:rPr>
            </w:pPr>
            <w:r w:rsidRPr="000F54B7">
              <w:rPr>
                <w:rFonts w:ascii="Andes" w:hAnsi="Andes" w:cs="Arial"/>
                <w:b/>
                <w:bCs/>
                <w:color w:val="000000"/>
                <w:sz w:val="20"/>
              </w:rPr>
              <w:t>x</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6CC2A8" w14:textId="77777777" w:rsidR="00224493" w:rsidRPr="000F54B7" w:rsidRDefault="00224493" w:rsidP="00224493">
            <w:pPr>
              <w:spacing w:before="0" w:after="0" w:line="240" w:lineRule="auto"/>
              <w:ind w:left="16"/>
              <w:jc w:val="center"/>
              <w:rPr>
                <w:rFonts w:ascii="Andes" w:hAnsi="Andes" w:cs="Arial"/>
                <w:color w:val="000000"/>
                <w:szCs w:val="22"/>
              </w:rPr>
            </w:pPr>
            <w:r w:rsidRPr="000F54B7">
              <w:rPr>
                <w:rFonts w:ascii="Andes" w:hAnsi="Andes" w:cs="Arial"/>
                <w:b/>
                <w:bCs/>
                <w:color w:val="000000"/>
                <w:sz w:val="20"/>
              </w:rPr>
              <w:t>x</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74928F" w14:textId="77777777" w:rsidR="00224493" w:rsidRPr="000F54B7" w:rsidRDefault="00224493" w:rsidP="00224493">
            <w:pPr>
              <w:spacing w:before="0" w:after="0" w:line="240" w:lineRule="auto"/>
              <w:ind w:left="36"/>
              <w:jc w:val="center"/>
              <w:rPr>
                <w:rFonts w:ascii="Andes" w:hAnsi="Andes" w:cs="Arial"/>
                <w:color w:val="000000"/>
                <w:szCs w:val="22"/>
              </w:rPr>
            </w:pPr>
            <w:r w:rsidRPr="000F54B7">
              <w:rPr>
                <w:rFonts w:ascii="Andes" w:hAnsi="Andes" w:cs="Arial"/>
                <w:b/>
                <w:bCs/>
                <w:color w:val="000000"/>
                <w:sz w:val="20"/>
              </w:rPr>
              <w:sym w:font="Wingdings 2" w:char="F050"/>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271E3E" w14:textId="77777777" w:rsidR="00224493" w:rsidRPr="000F54B7" w:rsidRDefault="00224493" w:rsidP="00224493">
            <w:pPr>
              <w:spacing w:before="0" w:after="0" w:line="240" w:lineRule="auto"/>
              <w:ind w:hanging="18"/>
              <w:jc w:val="center"/>
              <w:rPr>
                <w:rFonts w:ascii="Andes" w:hAnsi="Andes" w:cs="Arial"/>
                <w:color w:val="000000"/>
                <w:szCs w:val="22"/>
              </w:rPr>
            </w:pPr>
            <w:r w:rsidRPr="000F54B7">
              <w:rPr>
                <w:rFonts w:ascii="Andes" w:hAnsi="Andes" w:cs="Arial"/>
                <w:b/>
                <w:bCs/>
                <w:color w:val="000000"/>
                <w:sz w:val="20"/>
              </w:rPr>
              <w:sym w:font="Wingdings 2" w:char="F050"/>
            </w:r>
          </w:p>
        </w:tc>
        <w:tc>
          <w:tcPr>
            <w:tcW w:w="57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5EBFDD08" w14:textId="77777777" w:rsidR="00224493" w:rsidRPr="000F54B7" w:rsidRDefault="00224493" w:rsidP="00224493">
            <w:pPr>
              <w:spacing w:before="0" w:after="0" w:line="240" w:lineRule="auto"/>
              <w:ind w:left="14"/>
              <w:jc w:val="center"/>
              <w:rPr>
                <w:rFonts w:ascii="Andes" w:hAnsi="Andes" w:cs="Arial"/>
                <w:color w:val="000000"/>
                <w:szCs w:val="22"/>
              </w:rPr>
            </w:pPr>
            <w:r w:rsidRPr="000F54B7">
              <w:rPr>
                <w:rFonts w:ascii="Andes" w:hAnsi="Andes" w:cs="Arial"/>
                <w:b/>
                <w:bCs/>
                <w:color w:val="000000"/>
                <w:sz w:val="20"/>
              </w:rPr>
              <w:sym w:font="Wingdings 2" w:char="F050"/>
            </w:r>
          </w:p>
        </w:tc>
      </w:tr>
      <w:tr w:rsidR="00224493" w:rsidRPr="000F54B7" w14:paraId="041E5AE9" w14:textId="77777777" w:rsidTr="00C034F4">
        <w:trPr>
          <w:gridAfter w:val="1"/>
          <w:wAfter w:w="6" w:type="pct"/>
          <w:trHeight w:val="315"/>
        </w:trPr>
        <w:tc>
          <w:tcPr>
            <w:tcW w:w="1713" w:type="pct"/>
            <w:tcBorders>
              <w:top w:val="single" w:sz="8" w:space="0" w:color="FFFFFF" w:themeColor="background1"/>
              <w:left w:val="single" w:sz="12" w:space="0" w:color="auto"/>
              <w:bottom w:val="single" w:sz="8" w:space="0" w:color="FFFFFF" w:themeColor="background1"/>
              <w:right w:val="single" w:sz="4" w:space="0" w:color="auto"/>
            </w:tcBorders>
            <w:shd w:val="clear" w:color="auto" w:fill="C45911"/>
            <w:noWrap/>
            <w:vAlign w:val="bottom"/>
          </w:tcPr>
          <w:p w14:paraId="73F7553A" w14:textId="77777777" w:rsidR="00224493" w:rsidRPr="000F54B7" w:rsidRDefault="00224493" w:rsidP="00224493">
            <w:pPr>
              <w:spacing w:before="40" w:after="40" w:line="240" w:lineRule="auto"/>
              <w:contextualSpacing w:val="0"/>
              <w:jc w:val="left"/>
              <w:rPr>
                <w:rFonts w:ascii="Andes" w:hAnsi="Andes" w:cs="Arial"/>
                <w:color w:val="FFFFFF" w:themeColor="background1"/>
                <w:szCs w:val="22"/>
              </w:rPr>
            </w:pPr>
            <w:r w:rsidRPr="000F54B7">
              <w:rPr>
                <w:rFonts w:ascii="Andes" w:hAnsi="Andes" w:cs="Arial"/>
                <w:color w:val="FFFFFF" w:themeColor="background1"/>
                <w:sz w:val="22"/>
                <w:szCs w:val="22"/>
              </w:rPr>
              <w:t xml:space="preserve">Sélection Fondée sur la Qualité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8D7AE5" w14:textId="77777777" w:rsidR="00224493" w:rsidRPr="000F54B7" w:rsidRDefault="00224493" w:rsidP="00224493">
            <w:pPr>
              <w:spacing w:before="0" w:after="0" w:line="240" w:lineRule="auto"/>
              <w:ind w:left="-61" w:firstLine="55"/>
              <w:jc w:val="center"/>
              <w:rPr>
                <w:rFonts w:ascii="Andes" w:hAnsi="Andes" w:cs="Arial"/>
                <w:color w:val="000000"/>
                <w:szCs w:val="22"/>
              </w:rPr>
            </w:pPr>
            <w:r w:rsidRPr="000F54B7">
              <w:rPr>
                <w:rFonts w:ascii="Andes" w:hAnsi="Andes" w:cs="Arial"/>
                <w:b/>
                <w:bCs/>
                <w:color w:val="000000"/>
                <w:sz w:val="20"/>
              </w:rPr>
              <w:sym w:font="Wingdings 2" w:char="F050"/>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B08D11" w14:textId="77777777" w:rsidR="00224493" w:rsidRPr="000F54B7" w:rsidRDefault="00224493" w:rsidP="00224493">
            <w:pPr>
              <w:spacing w:before="0" w:after="0" w:line="240" w:lineRule="auto"/>
              <w:ind w:left="-119" w:firstLine="11"/>
              <w:jc w:val="center"/>
              <w:rPr>
                <w:rFonts w:ascii="Andes" w:hAnsi="Andes" w:cs="Arial"/>
                <w:color w:val="000000"/>
                <w:szCs w:val="22"/>
              </w:rPr>
            </w:pPr>
            <w:r w:rsidRPr="000F54B7">
              <w:rPr>
                <w:rFonts w:ascii="Andes" w:hAnsi="Andes" w:cs="Arial"/>
                <w:b/>
                <w:bCs/>
                <w:color w:val="000000"/>
                <w:sz w:val="20"/>
              </w:rPr>
              <w:t>x</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2091FA" w14:textId="77777777" w:rsidR="00224493" w:rsidRPr="000F54B7" w:rsidRDefault="00224493" w:rsidP="00224493">
            <w:pPr>
              <w:spacing w:before="0" w:after="0" w:line="240" w:lineRule="auto"/>
              <w:ind w:left="16"/>
              <w:jc w:val="center"/>
              <w:rPr>
                <w:rFonts w:ascii="Andes" w:hAnsi="Andes" w:cs="Arial"/>
                <w:color w:val="000000"/>
                <w:szCs w:val="22"/>
              </w:rPr>
            </w:pPr>
            <w:r w:rsidRPr="000F54B7">
              <w:rPr>
                <w:rFonts w:ascii="Andes" w:hAnsi="Andes" w:cs="Arial"/>
                <w:b/>
                <w:bCs/>
                <w:color w:val="000000"/>
                <w:sz w:val="20"/>
              </w:rPr>
              <w:t>x</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8D04A1" w14:textId="77777777" w:rsidR="00224493" w:rsidRPr="000F54B7" w:rsidRDefault="00224493" w:rsidP="00224493">
            <w:pPr>
              <w:spacing w:before="0" w:after="0" w:line="240" w:lineRule="auto"/>
              <w:ind w:left="36"/>
              <w:jc w:val="center"/>
              <w:rPr>
                <w:rFonts w:ascii="Andes" w:hAnsi="Andes" w:cs="Arial"/>
                <w:color w:val="000000"/>
                <w:szCs w:val="22"/>
              </w:rPr>
            </w:pPr>
            <w:r w:rsidRPr="000F54B7">
              <w:rPr>
                <w:rFonts w:ascii="Andes" w:hAnsi="Andes" w:cs="Arial"/>
                <w:b/>
                <w:bCs/>
                <w:color w:val="000000"/>
                <w:sz w:val="20"/>
              </w:rPr>
              <w:sym w:font="Wingdings 2" w:char="F050"/>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F76209" w14:textId="77777777" w:rsidR="00224493" w:rsidRPr="000F54B7" w:rsidRDefault="00224493" w:rsidP="00224493">
            <w:pPr>
              <w:spacing w:before="0" w:after="0" w:line="240" w:lineRule="auto"/>
              <w:ind w:hanging="18"/>
              <w:jc w:val="center"/>
              <w:rPr>
                <w:rFonts w:ascii="Andes" w:hAnsi="Andes" w:cs="Arial"/>
                <w:color w:val="000000"/>
                <w:szCs w:val="22"/>
              </w:rPr>
            </w:pPr>
            <w:r w:rsidRPr="000F54B7">
              <w:rPr>
                <w:rFonts w:ascii="Andes" w:hAnsi="Andes" w:cs="Arial"/>
                <w:b/>
                <w:bCs/>
                <w:color w:val="000000"/>
                <w:sz w:val="20"/>
              </w:rPr>
              <w:sym w:font="Wingdings 2" w:char="F050"/>
            </w:r>
          </w:p>
        </w:tc>
        <w:tc>
          <w:tcPr>
            <w:tcW w:w="57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5D78F365" w14:textId="77777777" w:rsidR="00224493" w:rsidRPr="000F54B7" w:rsidRDefault="00224493" w:rsidP="00224493">
            <w:pPr>
              <w:spacing w:before="0" w:after="0" w:line="240" w:lineRule="auto"/>
              <w:ind w:left="14"/>
              <w:jc w:val="center"/>
              <w:rPr>
                <w:rFonts w:ascii="Andes" w:hAnsi="Andes" w:cs="Arial"/>
                <w:color w:val="000000"/>
                <w:szCs w:val="22"/>
              </w:rPr>
            </w:pPr>
            <w:r w:rsidRPr="000F54B7">
              <w:rPr>
                <w:rFonts w:ascii="Andes" w:hAnsi="Andes" w:cs="Arial"/>
                <w:b/>
                <w:bCs/>
                <w:color w:val="000000"/>
                <w:sz w:val="20"/>
              </w:rPr>
              <w:sym w:font="Wingdings 2" w:char="F050"/>
            </w:r>
          </w:p>
        </w:tc>
      </w:tr>
      <w:tr w:rsidR="00224493" w:rsidRPr="000F54B7" w14:paraId="318E0DE1" w14:textId="77777777" w:rsidTr="00C034F4">
        <w:trPr>
          <w:gridAfter w:val="1"/>
          <w:wAfter w:w="6" w:type="pct"/>
          <w:trHeight w:val="315"/>
        </w:trPr>
        <w:tc>
          <w:tcPr>
            <w:tcW w:w="1713" w:type="pct"/>
            <w:tcBorders>
              <w:top w:val="single" w:sz="8" w:space="0" w:color="FFFFFF" w:themeColor="background1"/>
              <w:left w:val="single" w:sz="12" w:space="0" w:color="auto"/>
              <w:bottom w:val="single" w:sz="8" w:space="0" w:color="FFFFFF" w:themeColor="background1"/>
              <w:right w:val="single" w:sz="4" w:space="0" w:color="auto"/>
            </w:tcBorders>
            <w:shd w:val="clear" w:color="auto" w:fill="C45911"/>
            <w:noWrap/>
            <w:vAlign w:val="bottom"/>
          </w:tcPr>
          <w:p w14:paraId="1B9261BB" w14:textId="77777777" w:rsidR="00224493" w:rsidRPr="000F54B7" w:rsidRDefault="00224493" w:rsidP="00224493">
            <w:pPr>
              <w:spacing w:before="40" w:after="40" w:line="240" w:lineRule="auto"/>
              <w:contextualSpacing w:val="0"/>
              <w:jc w:val="left"/>
              <w:rPr>
                <w:rFonts w:ascii="Andes" w:hAnsi="Andes" w:cs="Arial"/>
                <w:color w:val="FFFFFF" w:themeColor="background1"/>
                <w:szCs w:val="22"/>
              </w:rPr>
            </w:pPr>
            <w:r w:rsidRPr="000F54B7">
              <w:rPr>
                <w:rFonts w:ascii="Andes" w:hAnsi="Andes" w:cs="Arial"/>
                <w:color w:val="FFFFFF" w:themeColor="background1"/>
                <w:sz w:val="22"/>
                <w:szCs w:val="22"/>
              </w:rPr>
              <w:t>Sélection fondée sur les qualifications du Consultant</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BC088A" w14:textId="77777777" w:rsidR="00224493" w:rsidRPr="000F54B7" w:rsidRDefault="00224493" w:rsidP="00224493">
            <w:pPr>
              <w:spacing w:before="0" w:after="0" w:line="240" w:lineRule="auto"/>
              <w:ind w:left="-61" w:firstLine="55"/>
              <w:jc w:val="center"/>
              <w:rPr>
                <w:rFonts w:ascii="Andes" w:hAnsi="Andes" w:cs="Arial"/>
                <w:color w:val="000000"/>
                <w:szCs w:val="22"/>
              </w:rPr>
            </w:pPr>
            <w:r w:rsidRPr="000F54B7">
              <w:rPr>
                <w:rFonts w:ascii="Andes" w:hAnsi="Andes" w:cs="Arial"/>
                <w:b/>
                <w:bCs/>
                <w:color w:val="000000"/>
                <w:sz w:val="20"/>
              </w:rPr>
              <w:sym w:font="Wingdings 2" w:char="F050"/>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A08C86" w14:textId="77777777" w:rsidR="00224493" w:rsidRPr="000F54B7" w:rsidRDefault="00224493" w:rsidP="00224493">
            <w:pPr>
              <w:spacing w:before="0" w:after="0" w:line="240" w:lineRule="auto"/>
              <w:ind w:left="-119" w:firstLine="11"/>
              <w:jc w:val="center"/>
              <w:rPr>
                <w:rFonts w:ascii="Andes" w:hAnsi="Andes" w:cs="Arial"/>
                <w:color w:val="000000"/>
                <w:szCs w:val="22"/>
              </w:rPr>
            </w:pPr>
            <w:r w:rsidRPr="000F54B7">
              <w:rPr>
                <w:rFonts w:ascii="Andes" w:hAnsi="Andes" w:cs="Arial"/>
                <w:b/>
                <w:bCs/>
                <w:color w:val="000000"/>
                <w:sz w:val="20"/>
              </w:rPr>
              <w:sym w:font="Wingdings 2" w:char="F050"/>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3BA3DB" w14:textId="77777777" w:rsidR="00224493" w:rsidRPr="000F54B7" w:rsidRDefault="00224493" w:rsidP="00224493">
            <w:pPr>
              <w:spacing w:before="0" w:after="0" w:line="240" w:lineRule="auto"/>
              <w:ind w:left="16"/>
              <w:jc w:val="center"/>
              <w:rPr>
                <w:rFonts w:ascii="Andes" w:hAnsi="Andes" w:cs="Arial"/>
                <w:color w:val="000000"/>
                <w:szCs w:val="22"/>
              </w:rPr>
            </w:pPr>
            <w:r w:rsidRPr="000F54B7">
              <w:rPr>
                <w:rFonts w:ascii="Andes" w:hAnsi="Andes" w:cs="Arial"/>
                <w:b/>
                <w:bCs/>
                <w:color w:val="000000"/>
                <w:sz w:val="20"/>
              </w:rPr>
              <w:t>x</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09E4B9" w14:textId="77777777" w:rsidR="00224493" w:rsidRPr="000F54B7" w:rsidRDefault="00224493" w:rsidP="00224493">
            <w:pPr>
              <w:spacing w:before="0" w:after="0" w:line="240" w:lineRule="auto"/>
              <w:ind w:left="36"/>
              <w:jc w:val="center"/>
              <w:rPr>
                <w:rFonts w:ascii="Andes" w:hAnsi="Andes" w:cs="Arial"/>
                <w:color w:val="000000"/>
                <w:szCs w:val="22"/>
              </w:rPr>
            </w:pPr>
            <w:r w:rsidRPr="000F54B7">
              <w:rPr>
                <w:rFonts w:ascii="Andes" w:hAnsi="Andes" w:cs="Arial"/>
                <w:b/>
                <w:bCs/>
                <w:color w:val="000000"/>
                <w:sz w:val="20"/>
              </w:rPr>
              <w:sym w:font="Wingdings 2" w:char="F050"/>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9850B8" w14:textId="77777777" w:rsidR="00224493" w:rsidRPr="000F54B7" w:rsidRDefault="00224493" w:rsidP="00224493">
            <w:pPr>
              <w:spacing w:before="0" w:after="0" w:line="240" w:lineRule="auto"/>
              <w:ind w:hanging="18"/>
              <w:jc w:val="center"/>
              <w:rPr>
                <w:rFonts w:ascii="Andes" w:hAnsi="Andes" w:cs="Arial"/>
                <w:color w:val="000000"/>
                <w:szCs w:val="22"/>
              </w:rPr>
            </w:pPr>
            <w:r w:rsidRPr="000F54B7">
              <w:rPr>
                <w:rFonts w:ascii="Andes" w:hAnsi="Andes" w:cs="Arial"/>
                <w:b/>
                <w:bCs/>
                <w:color w:val="000000"/>
                <w:sz w:val="20"/>
              </w:rPr>
              <w:sym w:font="Wingdings 2" w:char="F050"/>
            </w:r>
          </w:p>
        </w:tc>
        <w:tc>
          <w:tcPr>
            <w:tcW w:w="57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0E5D6F93" w14:textId="77777777" w:rsidR="00224493" w:rsidRPr="000F54B7" w:rsidRDefault="00224493" w:rsidP="00224493">
            <w:pPr>
              <w:spacing w:before="0" w:after="0" w:line="240" w:lineRule="auto"/>
              <w:ind w:left="14"/>
              <w:jc w:val="center"/>
              <w:rPr>
                <w:rFonts w:ascii="Andes" w:hAnsi="Andes" w:cs="Arial"/>
                <w:color w:val="000000"/>
                <w:szCs w:val="22"/>
              </w:rPr>
            </w:pPr>
            <w:r w:rsidRPr="000F54B7">
              <w:rPr>
                <w:rFonts w:ascii="Andes" w:hAnsi="Andes" w:cs="Arial"/>
                <w:b/>
                <w:bCs/>
                <w:color w:val="000000"/>
                <w:sz w:val="20"/>
              </w:rPr>
              <w:t>x</w:t>
            </w:r>
          </w:p>
        </w:tc>
      </w:tr>
      <w:tr w:rsidR="00224493" w:rsidRPr="000F54B7" w14:paraId="0809931E" w14:textId="77777777" w:rsidTr="00C034F4">
        <w:trPr>
          <w:gridAfter w:val="1"/>
          <w:wAfter w:w="6" w:type="pct"/>
          <w:trHeight w:val="315"/>
        </w:trPr>
        <w:tc>
          <w:tcPr>
            <w:tcW w:w="1713" w:type="pct"/>
            <w:tcBorders>
              <w:top w:val="single" w:sz="8" w:space="0" w:color="FFFFFF" w:themeColor="background1"/>
              <w:left w:val="single" w:sz="12" w:space="0" w:color="auto"/>
              <w:bottom w:val="single" w:sz="12" w:space="0" w:color="auto"/>
              <w:right w:val="single" w:sz="4" w:space="0" w:color="auto"/>
            </w:tcBorders>
            <w:shd w:val="clear" w:color="auto" w:fill="C45911"/>
            <w:noWrap/>
            <w:vAlign w:val="bottom"/>
          </w:tcPr>
          <w:p w14:paraId="31B74269" w14:textId="77777777" w:rsidR="00224493" w:rsidRPr="000F54B7" w:rsidRDefault="00224493" w:rsidP="00224493">
            <w:pPr>
              <w:spacing w:before="40" w:after="40" w:line="240" w:lineRule="auto"/>
              <w:contextualSpacing w:val="0"/>
              <w:jc w:val="left"/>
              <w:rPr>
                <w:rFonts w:ascii="Andes" w:hAnsi="Andes" w:cs="Arial"/>
                <w:color w:val="FFFFFF" w:themeColor="background1"/>
                <w:szCs w:val="22"/>
              </w:rPr>
            </w:pPr>
            <w:r w:rsidRPr="000F54B7">
              <w:rPr>
                <w:rFonts w:ascii="Andes" w:hAnsi="Andes" w:cs="Arial"/>
                <w:color w:val="FFFFFF" w:themeColor="background1"/>
                <w:sz w:val="22"/>
                <w:szCs w:val="22"/>
              </w:rPr>
              <w:t>Sélection directe</w:t>
            </w:r>
          </w:p>
        </w:tc>
        <w:tc>
          <w:tcPr>
            <w:tcW w:w="567" w:type="pct"/>
            <w:tcBorders>
              <w:top w:val="single" w:sz="4" w:space="0" w:color="auto"/>
              <w:left w:val="single" w:sz="4" w:space="0" w:color="auto"/>
              <w:bottom w:val="single" w:sz="12" w:space="0" w:color="auto"/>
              <w:right w:val="single" w:sz="4" w:space="0" w:color="auto"/>
            </w:tcBorders>
            <w:shd w:val="clear" w:color="auto" w:fill="auto"/>
            <w:noWrap/>
            <w:vAlign w:val="center"/>
          </w:tcPr>
          <w:p w14:paraId="5E7B8F88" w14:textId="77777777" w:rsidR="00224493" w:rsidRPr="000F54B7" w:rsidRDefault="00224493" w:rsidP="00224493">
            <w:pPr>
              <w:spacing w:before="0" w:after="0" w:line="240" w:lineRule="auto"/>
              <w:ind w:left="-61" w:firstLine="55"/>
              <w:jc w:val="center"/>
              <w:rPr>
                <w:rFonts w:ascii="Andes" w:hAnsi="Andes" w:cs="Arial"/>
                <w:color w:val="000000"/>
                <w:szCs w:val="22"/>
              </w:rPr>
            </w:pPr>
            <w:r w:rsidRPr="000F54B7">
              <w:rPr>
                <w:rFonts w:ascii="Andes" w:hAnsi="Andes" w:cs="Arial"/>
                <w:b/>
                <w:bCs/>
                <w:color w:val="000000"/>
                <w:sz w:val="20"/>
              </w:rPr>
              <w:t>x</w:t>
            </w:r>
          </w:p>
        </w:tc>
        <w:tc>
          <w:tcPr>
            <w:tcW w:w="526" w:type="pct"/>
            <w:tcBorders>
              <w:top w:val="single" w:sz="4" w:space="0" w:color="auto"/>
              <w:left w:val="single" w:sz="4" w:space="0" w:color="auto"/>
              <w:bottom w:val="single" w:sz="12" w:space="0" w:color="auto"/>
              <w:right w:val="single" w:sz="4" w:space="0" w:color="auto"/>
            </w:tcBorders>
            <w:shd w:val="clear" w:color="auto" w:fill="auto"/>
            <w:noWrap/>
            <w:vAlign w:val="center"/>
          </w:tcPr>
          <w:p w14:paraId="453E48FF" w14:textId="77777777" w:rsidR="00224493" w:rsidRPr="000F54B7" w:rsidRDefault="00224493" w:rsidP="00224493">
            <w:pPr>
              <w:spacing w:before="0" w:after="0" w:line="240" w:lineRule="auto"/>
              <w:ind w:left="-119" w:firstLine="11"/>
              <w:jc w:val="center"/>
              <w:rPr>
                <w:rFonts w:ascii="Andes" w:hAnsi="Andes" w:cs="Arial"/>
                <w:color w:val="000000"/>
                <w:szCs w:val="22"/>
              </w:rPr>
            </w:pPr>
            <w:r w:rsidRPr="000F54B7">
              <w:rPr>
                <w:rFonts w:ascii="Andes" w:hAnsi="Andes" w:cs="Arial"/>
                <w:b/>
                <w:bCs/>
                <w:color w:val="000000"/>
                <w:sz w:val="20"/>
              </w:rPr>
              <w:t>x</w:t>
            </w:r>
          </w:p>
        </w:tc>
        <w:tc>
          <w:tcPr>
            <w:tcW w:w="441" w:type="pct"/>
            <w:tcBorders>
              <w:top w:val="single" w:sz="4" w:space="0" w:color="auto"/>
              <w:left w:val="single" w:sz="4" w:space="0" w:color="auto"/>
              <w:bottom w:val="single" w:sz="12" w:space="0" w:color="auto"/>
              <w:right w:val="single" w:sz="4" w:space="0" w:color="auto"/>
            </w:tcBorders>
            <w:shd w:val="clear" w:color="auto" w:fill="auto"/>
            <w:noWrap/>
            <w:vAlign w:val="center"/>
          </w:tcPr>
          <w:p w14:paraId="01832A65" w14:textId="77777777" w:rsidR="00224493" w:rsidRPr="000F54B7" w:rsidRDefault="00224493" w:rsidP="00224493">
            <w:pPr>
              <w:spacing w:before="0" w:after="0" w:line="240" w:lineRule="auto"/>
              <w:ind w:left="16"/>
              <w:jc w:val="center"/>
              <w:rPr>
                <w:rFonts w:ascii="Andes" w:hAnsi="Andes" w:cs="Arial"/>
                <w:color w:val="000000"/>
                <w:szCs w:val="22"/>
              </w:rPr>
            </w:pPr>
            <w:r w:rsidRPr="000F54B7">
              <w:rPr>
                <w:rFonts w:ascii="Andes" w:hAnsi="Andes" w:cs="Arial"/>
                <w:b/>
                <w:bCs/>
                <w:color w:val="000000"/>
                <w:sz w:val="20"/>
              </w:rPr>
              <w:sym w:font="Wingdings 2" w:char="F050"/>
            </w:r>
          </w:p>
        </w:tc>
        <w:tc>
          <w:tcPr>
            <w:tcW w:w="657" w:type="pct"/>
            <w:tcBorders>
              <w:top w:val="single" w:sz="4" w:space="0" w:color="auto"/>
              <w:left w:val="single" w:sz="4" w:space="0" w:color="auto"/>
              <w:bottom w:val="single" w:sz="12" w:space="0" w:color="auto"/>
              <w:right w:val="single" w:sz="4" w:space="0" w:color="auto"/>
            </w:tcBorders>
            <w:shd w:val="clear" w:color="auto" w:fill="auto"/>
            <w:noWrap/>
            <w:vAlign w:val="center"/>
          </w:tcPr>
          <w:p w14:paraId="1FFE0A4F" w14:textId="77777777" w:rsidR="00224493" w:rsidRPr="000F54B7" w:rsidRDefault="00224493" w:rsidP="00224493">
            <w:pPr>
              <w:spacing w:before="0" w:after="0" w:line="240" w:lineRule="auto"/>
              <w:ind w:left="36"/>
              <w:jc w:val="center"/>
              <w:rPr>
                <w:rFonts w:ascii="Andes" w:hAnsi="Andes" w:cs="Arial"/>
                <w:color w:val="000000"/>
                <w:szCs w:val="22"/>
              </w:rPr>
            </w:pPr>
            <w:r w:rsidRPr="000F54B7">
              <w:rPr>
                <w:rFonts w:ascii="Andes" w:hAnsi="Andes" w:cs="Arial"/>
                <w:b/>
                <w:bCs/>
                <w:color w:val="000000"/>
                <w:sz w:val="20"/>
              </w:rPr>
              <w:t>x</w:t>
            </w:r>
          </w:p>
        </w:tc>
        <w:tc>
          <w:tcPr>
            <w:tcW w:w="513" w:type="pct"/>
            <w:tcBorders>
              <w:top w:val="single" w:sz="4" w:space="0" w:color="auto"/>
              <w:left w:val="single" w:sz="4" w:space="0" w:color="auto"/>
              <w:bottom w:val="single" w:sz="12" w:space="0" w:color="auto"/>
              <w:right w:val="single" w:sz="4" w:space="0" w:color="auto"/>
            </w:tcBorders>
            <w:shd w:val="clear" w:color="auto" w:fill="auto"/>
            <w:noWrap/>
            <w:vAlign w:val="center"/>
          </w:tcPr>
          <w:p w14:paraId="6FDE3337" w14:textId="77777777" w:rsidR="00224493" w:rsidRPr="000F54B7" w:rsidRDefault="00224493" w:rsidP="00224493">
            <w:pPr>
              <w:spacing w:before="0" w:after="0" w:line="240" w:lineRule="auto"/>
              <w:ind w:hanging="18"/>
              <w:jc w:val="center"/>
              <w:rPr>
                <w:rFonts w:ascii="Andes" w:hAnsi="Andes" w:cs="Arial"/>
                <w:color w:val="000000"/>
                <w:szCs w:val="22"/>
              </w:rPr>
            </w:pPr>
            <w:r w:rsidRPr="000F54B7">
              <w:rPr>
                <w:rFonts w:ascii="Andes" w:hAnsi="Andes" w:cs="Arial"/>
                <w:b/>
                <w:bCs/>
                <w:color w:val="000000"/>
                <w:sz w:val="20"/>
              </w:rPr>
              <w:t>x</w:t>
            </w:r>
          </w:p>
        </w:tc>
        <w:tc>
          <w:tcPr>
            <w:tcW w:w="577" w:type="pct"/>
            <w:tcBorders>
              <w:top w:val="single" w:sz="4" w:space="0" w:color="auto"/>
              <w:left w:val="single" w:sz="4" w:space="0" w:color="auto"/>
              <w:bottom w:val="single" w:sz="12" w:space="0" w:color="auto"/>
              <w:right w:val="single" w:sz="12" w:space="0" w:color="auto"/>
            </w:tcBorders>
            <w:shd w:val="clear" w:color="auto" w:fill="auto"/>
            <w:noWrap/>
            <w:vAlign w:val="center"/>
          </w:tcPr>
          <w:p w14:paraId="3A5FCB5D" w14:textId="77777777" w:rsidR="00224493" w:rsidRPr="000F54B7" w:rsidRDefault="00224493" w:rsidP="00224493">
            <w:pPr>
              <w:spacing w:before="0" w:after="0" w:line="240" w:lineRule="auto"/>
              <w:ind w:left="14"/>
              <w:jc w:val="center"/>
              <w:rPr>
                <w:rFonts w:ascii="Andes" w:hAnsi="Andes" w:cs="Arial"/>
                <w:color w:val="000000"/>
                <w:szCs w:val="22"/>
              </w:rPr>
            </w:pPr>
            <w:r w:rsidRPr="000F54B7">
              <w:rPr>
                <w:rFonts w:ascii="Andes" w:hAnsi="Andes" w:cs="Arial"/>
                <w:b/>
                <w:bCs/>
                <w:color w:val="000000"/>
                <w:sz w:val="20"/>
              </w:rPr>
              <w:t>x</w:t>
            </w:r>
          </w:p>
        </w:tc>
      </w:tr>
      <w:tr w:rsidR="00224493" w:rsidRPr="000F54B7" w14:paraId="0D10DB32" w14:textId="77777777" w:rsidTr="00C034F4">
        <w:trPr>
          <w:trHeight w:val="315"/>
        </w:trPr>
        <w:tc>
          <w:tcPr>
            <w:tcW w:w="5000" w:type="pct"/>
            <w:gridSpan w:val="8"/>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bottom"/>
          </w:tcPr>
          <w:p w14:paraId="725DA1B0" w14:textId="77777777" w:rsidR="00224493" w:rsidRPr="000F54B7" w:rsidRDefault="00224493" w:rsidP="00224493">
            <w:pPr>
              <w:spacing w:before="60" w:after="60" w:line="240" w:lineRule="auto"/>
              <w:ind w:left="720" w:hanging="720"/>
              <w:contextualSpacing w:val="0"/>
              <w:jc w:val="left"/>
              <w:rPr>
                <w:rFonts w:ascii="Andes" w:hAnsi="Andes" w:cs="Arial"/>
                <w:color w:val="000000"/>
                <w:szCs w:val="24"/>
              </w:rPr>
            </w:pPr>
            <w:r>
              <w:rPr>
                <w:rFonts w:ascii="Andes" w:hAnsi="Andes" w:cs="Arial"/>
                <w:b/>
                <w:bCs/>
                <w:color w:val="000000"/>
                <w:sz w:val="22"/>
                <w:szCs w:val="22"/>
              </w:rPr>
              <w:t xml:space="preserve">Modalités </w:t>
            </w:r>
            <w:r w:rsidRPr="000F54B7">
              <w:rPr>
                <w:rFonts w:ascii="Andes" w:hAnsi="Andes" w:cs="Arial"/>
                <w:b/>
                <w:bCs/>
                <w:color w:val="000000"/>
                <w:sz w:val="22"/>
                <w:szCs w:val="22"/>
              </w:rPr>
              <w:t>de sélection</w:t>
            </w:r>
          </w:p>
        </w:tc>
      </w:tr>
      <w:tr w:rsidR="00224493" w:rsidRPr="00D672E8" w14:paraId="5177F1EC" w14:textId="77777777" w:rsidTr="00C034F4">
        <w:trPr>
          <w:trHeight w:val="315"/>
        </w:trPr>
        <w:tc>
          <w:tcPr>
            <w:tcW w:w="1713" w:type="pct"/>
            <w:tcBorders>
              <w:top w:val="single" w:sz="12" w:space="0" w:color="auto"/>
              <w:left w:val="single" w:sz="12" w:space="0" w:color="auto"/>
              <w:bottom w:val="single" w:sz="8" w:space="0" w:color="FFFFFF" w:themeColor="background1"/>
              <w:right w:val="single" w:sz="4" w:space="0" w:color="auto"/>
            </w:tcBorders>
            <w:shd w:val="clear" w:color="auto" w:fill="C45911"/>
            <w:noWrap/>
            <w:vAlign w:val="bottom"/>
          </w:tcPr>
          <w:p w14:paraId="5AB5C330" w14:textId="77777777" w:rsidR="00224493" w:rsidRPr="000F54B7" w:rsidRDefault="00224493" w:rsidP="00224493">
            <w:pPr>
              <w:spacing w:before="40" w:after="40" w:line="240" w:lineRule="auto"/>
              <w:contextualSpacing w:val="0"/>
              <w:jc w:val="left"/>
              <w:rPr>
                <w:rFonts w:ascii="Andes" w:hAnsi="Andes" w:cs="Arial"/>
                <w:color w:val="FFFFFF" w:themeColor="background1"/>
                <w:szCs w:val="22"/>
              </w:rPr>
            </w:pPr>
            <w:r w:rsidRPr="000F54B7">
              <w:rPr>
                <w:rFonts w:ascii="Andes" w:hAnsi="Andes" w:cs="Arial"/>
                <w:color w:val="FFFFFF" w:themeColor="background1"/>
                <w:sz w:val="22"/>
                <w:szCs w:val="22"/>
              </w:rPr>
              <w:t>Pratiques commerciales</w:t>
            </w:r>
          </w:p>
        </w:tc>
        <w:tc>
          <w:tcPr>
            <w:tcW w:w="3287" w:type="pct"/>
            <w:gridSpan w:val="7"/>
            <w:tcBorders>
              <w:top w:val="single" w:sz="12" w:space="0" w:color="auto"/>
              <w:left w:val="single" w:sz="4" w:space="0" w:color="auto"/>
              <w:bottom w:val="single" w:sz="4" w:space="0" w:color="auto"/>
              <w:right w:val="single" w:sz="12" w:space="0" w:color="auto"/>
            </w:tcBorders>
            <w:shd w:val="clear" w:color="auto" w:fill="auto"/>
            <w:noWrap/>
            <w:vAlign w:val="center"/>
          </w:tcPr>
          <w:p w14:paraId="0A0DE0DB" w14:textId="77777777" w:rsidR="00224493" w:rsidRPr="000F54B7" w:rsidRDefault="00224493" w:rsidP="00224493">
            <w:pPr>
              <w:spacing w:before="0" w:after="0" w:line="240" w:lineRule="auto"/>
              <w:ind w:left="-61" w:firstLine="55"/>
              <w:jc w:val="left"/>
              <w:rPr>
                <w:rFonts w:ascii="Andes" w:hAnsi="Andes" w:cs="Arial"/>
                <w:color w:val="000000"/>
                <w:sz w:val="20"/>
              </w:rPr>
            </w:pPr>
            <w:r>
              <w:rPr>
                <w:rFonts w:ascii="Andes" w:hAnsi="Andes" w:cs="Arial"/>
                <w:color w:val="000000"/>
                <w:sz w:val="20"/>
              </w:rPr>
              <w:t>Suivant des pratiques commerciales acceptables de passation des marchés</w:t>
            </w:r>
          </w:p>
        </w:tc>
      </w:tr>
      <w:tr w:rsidR="00224493" w:rsidRPr="00D672E8" w14:paraId="02249FA8" w14:textId="77777777" w:rsidTr="00C034F4">
        <w:trPr>
          <w:trHeight w:val="144"/>
        </w:trPr>
        <w:tc>
          <w:tcPr>
            <w:tcW w:w="1713" w:type="pct"/>
            <w:tcBorders>
              <w:top w:val="single" w:sz="8" w:space="0" w:color="FFFFFF" w:themeColor="background1"/>
              <w:left w:val="single" w:sz="12" w:space="0" w:color="auto"/>
              <w:bottom w:val="single" w:sz="8" w:space="0" w:color="FFFFFF" w:themeColor="background1"/>
              <w:right w:val="single" w:sz="4" w:space="0" w:color="auto"/>
            </w:tcBorders>
            <w:shd w:val="clear" w:color="auto" w:fill="C45911"/>
            <w:noWrap/>
            <w:vAlign w:val="center"/>
          </w:tcPr>
          <w:p w14:paraId="0188C5B4" w14:textId="77777777" w:rsidR="00224493" w:rsidRPr="000F54B7" w:rsidRDefault="00224493" w:rsidP="00224493">
            <w:pPr>
              <w:spacing w:before="40" w:after="40" w:line="240" w:lineRule="auto"/>
              <w:contextualSpacing w:val="0"/>
              <w:jc w:val="left"/>
              <w:rPr>
                <w:rFonts w:ascii="Andes" w:hAnsi="Andes" w:cs="Arial"/>
                <w:color w:val="FFFFFF" w:themeColor="background1"/>
                <w:szCs w:val="22"/>
              </w:rPr>
            </w:pPr>
            <w:r w:rsidRPr="000F54B7">
              <w:rPr>
                <w:rFonts w:ascii="Andes" w:hAnsi="Andes" w:cs="Arial"/>
                <w:color w:val="FFFFFF" w:themeColor="background1"/>
                <w:sz w:val="22"/>
                <w:szCs w:val="22"/>
              </w:rPr>
              <w:t>Institutions des Nations Unies</w:t>
            </w:r>
          </w:p>
        </w:tc>
        <w:tc>
          <w:tcPr>
            <w:tcW w:w="3287" w:type="pct"/>
            <w:gridSpan w:val="7"/>
            <w:tcBorders>
              <w:top w:val="single" w:sz="4" w:space="0" w:color="auto"/>
              <w:left w:val="single" w:sz="4" w:space="0" w:color="auto"/>
              <w:bottom w:val="single" w:sz="4" w:space="0" w:color="auto"/>
              <w:right w:val="single" w:sz="12" w:space="0" w:color="auto"/>
            </w:tcBorders>
            <w:shd w:val="clear" w:color="auto" w:fill="auto"/>
            <w:noWrap/>
            <w:vAlign w:val="center"/>
          </w:tcPr>
          <w:p w14:paraId="77152B22" w14:textId="5CD14B26" w:rsidR="00224493" w:rsidRPr="000F54B7" w:rsidRDefault="00224493" w:rsidP="00224493">
            <w:pPr>
              <w:spacing w:before="0" w:after="0" w:line="240" w:lineRule="auto"/>
              <w:ind w:left="-61" w:firstLine="55"/>
              <w:jc w:val="left"/>
              <w:rPr>
                <w:rFonts w:ascii="Andes" w:hAnsi="Andes" w:cs="Arial"/>
                <w:color w:val="000000"/>
                <w:sz w:val="20"/>
              </w:rPr>
            </w:pPr>
            <w:r>
              <w:rPr>
                <w:rFonts w:ascii="Andes" w:hAnsi="Andes" w:cs="Arial"/>
                <w:color w:val="000000"/>
                <w:sz w:val="20"/>
              </w:rPr>
              <w:t xml:space="preserve">Suivant les dispositions des </w:t>
            </w:r>
            <w:r w:rsidR="00367F47">
              <w:rPr>
                <w:rFonts w:ascii="Andes" w:hAnsi="Andes" w:cs="Arial"/>
                <w:color w:val="000000"/>
                <w:sz w:val="20"/>
              </w:rPr>
              <w:t>P</w:t>
            </w:r>
            <w:r>
              <w:rPr>
                <w:rFonts w:ascii="Andes" w:hAnsi="Andes" w:cs="Arial"/>
                <w:color w:val="000000"/>
                <w:sz w:val="20"/>
              </w:rPr>
              <w:t xml:space="preserve">aragraphes </w:t>
            </w:r>
            <w:r w:rsidRPr="000F54B7">
              <w:rPr>
                <w:rFonts w:ascii="Andes" w:hAnsi="Andes" w:cs="Arial"/>
                <w:color w:val="000000"/>
                <w:sz w:val="20"/>
              </w:rPr>
              <w:t xml:space="preserve">7.27 </w:t>
            </w:r>
            <w:r>
              <w:rPr>
                <w:rFonts w:ascii="Andes" w:hAnsi="Andes" w:cs="Arial"/>
                <w:color w:val="000000"/>
                <w:sz w:val="20"/>
              </w:rPr>
              <w:t xml:space="preserve">et </w:t>
            </w:r>
            <w:r w:rsidRPr="000F54B7">
              <w:rPr>
                <w:rFonts w:ascii="Andes" w:hAnsi="Andes" w:cs="Arial"/>
                <w:color w:val="000000"/>
                <w:sz w:val="20"/>
              </w:rPr>
              <w:t>7.28</w:t>
            </w:r>
          </w:p>
        </w:tc>
      </w:tr>
      <w:tr w:rsidR="00224493" w:rsidRPr="000F54B7" w14:paraId="4C7C702D" w14:textId="77777777" w:rsidTr="00C034F4">
        <w:trPr>
          <w:gridAfter w:val="1"/>
          <w:wAfter w:w="6" w:type="pct"/>
          <w:trHeight w:val="243"/>
        </w:trPr>
        <w:tc>
          <w:tcPr>
            <w:tcW w:w="1713" w:type="pct"/>
            <w:tcBorders>
              <w:top w:val="single" w:sz="8" w:space="0" w:color="FFFFFF" w:themeColor="background1"/>
              <w:left w:val="single" w:sz="12" w:space="0" w:color="auto"/>
              <w:bottom w:val="single" w:sz="8" w:space="0" w:color="FFFFFF" w:themeColor="background1"/>
              <w:right w:val="single" w:sz="4" w:space="0" w:color="auto"/>
            </w:tcBorders>
            <w:shd w:val="clear" w:color="auto" w:fill="C45911"/>
            <w:noWrap/>
            <w:vAlign w:val="center"/>
          </w:tcPr>
          <w:p w14:paraId="520DA90D" w14:textId="77777777" w:rsidR="00224493" w:rsidRPr="000F54B7" w:rsidRDefault="00224493" w:rsidP="00224493">
            <w:pPr>
              <w:spacing w:before="40" w:after="40" w:line="240" w:lineRule="auto"/>
              <w:contextualSpacing w:val="0"/>
              <w:jc w:val="left"/>
              <w:rPr>
                <w:rFonts w:ascii="Andes" w:hAnsi="Andes" w:cs="Arial"/>
                <w:color w:val="FFFFFF" w:themeColor="background1"/>
                <w:szCs w:val="22"/>
              </w:rPr>
            </w:pPr>
            <w:r w:rsidRPr="000F54B7">
              <w:rPr>
                <w:rFonts w:ascii="Andes" w:hAnsi="Andes" w:cs="Arial"/>
                <w:color w:val="FFFFFF" w:themeColor="background1"/>
                <w:sz w:val="22"/>
                <w:szCs w:val="22"/>
              </w:rPr>
              <w:t>Organismes à but non lucratif (tels que ONG)</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1B3A54" w14:textId="77777777" w:rsidR="00224493" w:rsidRPr="000F54B7" w:rsidRDefault="00224493" w:rsidP="00224493">
            <w:pPr>
              <w:spacing w:before="0" w:after="0" w:line="240" w:lineRule="auto"/>
              <w:ind w:hanging="6"/>
              <w:jc w:val="center"/>
              <w:rPr>
                <w:rFonts w:ascii="Andes" w:hAnsi="Andes" w:cs="Arial"/>
                <w:color w:val="000000"/>
                <w:szCs w:val="22"/>
              </w:rPr>
            </w:pPr>
            <w:r w:rsidRPr="000F54B7">
              <w:rPr>
                <w:rFonts w:ascii="Andes" w:hAnsi="Andes" w:cs="Arial"/>
                <w:b/>
                <w:bCs/>
                <w:color w:val="000000"/>
                <w:sz w:val="20"/>
              </w:rPr>
              <w:sym w:font="Wingdings 2" w:char="F050"/>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999ADB" w14:textId="77777777" w:rsidR="00224493" w:rsidRPr="000F54B7" w:rsidRDefault="00224493" w:rsidP="00224493">
            <w:pPr>
              <w:spacing w:before="0" w:after="0" w:line="240" w:lineRule="auto"/>
              <w:jc w:val="center"/>
              <w:rPr>
                <w:rFonts w:ascii="Andes" w:hAnsi="Andes" w:cs="Arial"/>
                <w:color w:val="000000"/>
                <w:szCs w:val="22"/>
              </w:rPr>
            </w:pPr>
            <w:r w:rsidRPr="000F54B7">
              <w:rPr>
                <w:rFonts w:ascii="Andes" w:hAnsi="Andes" w:cs="Arial"/>
                <w:b/>
                <w:bCs/>
                <w:color w:val="000000"/>
                <w:sz w:val="20"/>
              </w:rPr>
              <w:sym w:font="Wingdings 2" w:char="F050"/>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D6A497" w14:textId="77777777" w:rsidR="00224493" w:rsidRPr="000F54B7" w:rsidRDefault="00224493" w:rsidP="00224493">
            <w:pPr>
              <w:spacing w:before="0" w:after="0" w:line="240" w:lineRule="auto"/>
              <w:ind w:left="16" w:hanging="16"/>
              <w:jc w:val="center"/>
              <w:rPr>
                <w:rFonts w:ascii="Andes" w:hAnsi="Andes" w:cs="Arial"/>
                <w:color w:val="000000"/>
                <w:szCs w:val="22"/>
              </w:rPr>
            </w:pPr>
            <w:r w:rsidRPr="000F54B7">
              <w:rPr>
                <w:rFonts w:ascii="Andes" w:hAnsi="Andes" w:cs="Arial"/>
                <w:bCs/>
                <w:color w:val="000000"/>
                <w:sz w:val="20"/>
              </w:rPr>
              <w:sym w:font="Wingdings 2" w:char="F050"/>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751750" w14:textId="77777777" w:rsidR="00224493" w:rsidRPr="000F54B7" w:rsidRDefault="00224493" w:rsidP="00224493">
            <w:pPr>
              <w:spacing w:before="0" w:after="0" w:line="240" w:lineRule="auto"/>
              <w:jc w:val="center"/>
              <w:rPr>
                <w:rFonts w:ascii="Andes" w:hAnsi="Andes" w:cs="Arial"/>
                <w:color w:val="000000"/>
                <w:szCs w:val="22"/>
              </w:rPr>
            </w:pPr>
            <w:r w:rsidRPr="000F54B7">
              <w:rPr>
                <w:rFonts w:ascii="Andes" w:hAnsi="Andes" w:cs="Arial"/>
                <w:b/>
                <w:bCs/>
                <w:color w:val="000000"/>
                <w:sz w:val="20"/>
              </w:rPr>
              <w:sym w:font="Wingdings 2" w:char="F050"/>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0C259D" w14:textId="77777777" w:rsidR="00224493" w:rsidRPr="000F54B7" w:rsidRDefault="00224493" w:rsidP="00224493">
            <w:pPr>
              <w:spacing w:before="0" w:after="0" w:line="240" w:lineRule="auto"/>
              <w:ind w:left="-18"/>
              <w:jc w:val="center"/>
              <w:rPr>
                <w:rFonts w:ascii="Andes" w:hAnsi="Andes" w:cs="Arial"/>
                <w:color w:val="000000"/>
                <w:szCs w:val="22"/>
              </w:rPr>
            </w:pPr>
            <w:r w:rsidRPr="000F54B7">
              <w:rPr>
                <w:rFonts w:ascii="Andes" w:hAnsi="Andes" w:cs="Arial"/>
                <w:b/>
                <w:bCs/>
                <w:color w:val="000000"/>
                <w:sz w:val="20"/>
              </w:rPr>
              <w:sym w:font="Wingdings 2" w:char="F050"/>
            </w:r>
          </w:p>
        </w:tc>
        <w:tc>
          <w:tcPr>
            <w:tcW w:w="57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5C0BD1CC" w14:textId="77777777" w:rsidR="00224493" w:rsidRPr="000F54B7" w:rsidRDefault="00224493" w:rsidP="00224493">
            <w:pPr>
              <w:spacing w:before="0" w:after="0" w:line="240" w:lineRule="auto"/>
              <w:jc w:val="center"/>
              <w:rPr>
                <w:rFonts w:ascii="Andes" w:hAnsi="Andes" w:cs="Arial"/>
                <w:color w:val="000000"/>
                <w:szCs w:val="22"/>
              </w:rPr>
            </w:pPr>
            <w:r w:rsidRPr="000F54B7">
              <w:rPr>
                <w:rFonts w:ascii="Andes" w:hAnsi="Andes" w:cs="Arial"/>
                <w:b/>
                <w:bCs/>
                <w:color w:val="000000"/>
                <w:sz w:val="20"/>
              </w:rPr>
              <w:sym w:font="Wingdings 2" w:char="F050"/>
            </w:r>
          </w:p>
        </w:tc>
      </w:tr>
      <w:tr w:rsidR="00224493" w:rsidRPr="000F54B7" w14:paraId="4F6CE9BF" w14:textId="77777777" w:rsidTr="00C034F4">
        <w:trPr>
          <w:gridAfter w:val="1"/>
          <w:wAfter w:w="6" w:type="pct"/>
          <w:trHeight w:val="243"/>
        </w:trPr>
        <w:tc>
          <w:tcPr>
            <w:tcW w:w="1713" w:type="pct"/>
            <w:tcBorders>
              <w:top w:val="single" w:sz="8" w:space="0" w:color="FFFFFF" w:themeColor="background1"/>
              <w:left w:val="single" w:sz="12" w:space="0" w:color="auto"/>
              <w:bottom w:val="single" w:sz="8" w:space="0" w:color="FFFFFF" w:themeColor="background1"/>
              <w:right w:val="single" w:sz="4" w:space="0" w:color="auto"/>
            </w:tcBorders>
            <w:shd w:val="clear" w:color="auto" w:fill="C45911"/>
            <w:noWrap/>
            <w:vAlign w:val="bottom"/>
          </w:tcPr>
          <w:p w14:paraId="5CE84BDB" w14:textId="77777777" w:rsidR="00224493" w:rsidRPr="000F54B7" w:rsidRDefault="00224493" w:rsidP="00224493">
            <w:pPr>
              <w:spacing w:before="40" w:after="40" w:line="240" w:lineRule="auto"/>
              <w:contextualSpacing w:val="0"/>
              <w:jc w:val="left"/>
              <w:rPr>
                <w:rFonts w:ascii="Andes" w:hAnsi="Andes" w:cs="Arial"/>
                <w:color w:val="FFFFFF" w:themeColor="background1"/>
                <w:szCs w:val="22"/>
              </w:rPr>
            </w:pPr>
            <w:r w:rsidRPr="000F54B7">
              <w:rPr>
                <w:rFonts w:ascii="Andes" w:hAnsi="Andes" w:cs="Arial"/>
                <w:color w:val="FFFFFF" w:themeColor="background1"/>
                <w:sz w:val="22"/>
                <w:szCs w:val="22"/>
              </w:rPr>
              <w:t>Banques</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B304C5" w14:textId="77777777" w:rsidR="00224493" w:rsidRPr="000F54B7" w:rsidRDefault="00224493" w:rsidP="00224493">
            <w:pPr>
              <w:spacing w:before="0" w:after="0" w:line="240" w:lineRule="auto"/>
              <w:ind w:hanging="6"/>
              <w:jc w:val="center"/>
              <w:rPr>
                <w:rFonts w:ascii="Andes" w:hAnsi="Andes" w:cs="Arial"/>
                <w:color w:val="000000"/>
                <w:szCs w:val="22"/>
              </w:rPr>
            </w:pPr>
            <w:r w:rsidRPr="000F54B7">
              <w:rPr>
                <w:rFonts w:ascii="Andes" w:hAnsi="Andes" w:cs="Arial"/>
                <w:b/>
                <w:bCs/>
                <w:color w:val="000000"/>
                <w:sz w:val="20"/>
              </w:rPr>
              <w:sym w:font="Wingdings 2" w:char="F050"/>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CAEF35" w14:textId="77777777" w:rsidR="00224493" w:rsidRPr="000F54B7" w:rsidRDefault="00224493" w:rsidP="00224493">
            <w:pPr>
              <w:spacing w:before="0" w:after="0" w:line="240" w:lineRule="auto"/>
              <w:jc w:val="center"/>
              <w:rPr>
                <w:rFonts w:ascii="Andes" w:hAnsi="Andes" w:cs="Arial"/>
                <w:color w:val="000000"/>
                <w:szCs w:val="22"/>
              </w:rPr>
            </w:pPr>
            <w:r w:rsidRPr="000F54B7">
              <w:rPr>
                <w:rFonts w:ascii="Andes" w:hAnsi="Andes" w:cs="Arial"/>
                <w:b/>
                <w:bCs/>
                <w:color w:val="000000"/>
                <w:sz w:val="20"/>
              </w:rPr>
              <w:sym w:font="Wingdings 2" w:char="F050"/>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477E7A" w14:textId="77777777" w:rsidR="00224493" w:rsidRPr="000F54B7" w:rsidRDefault="00224493" w:rsidP="00224493">
            <w:pPr>
              <w:spacing w:before="0" w:after="0" w:line="240" w:lineRule="auto"/>
              <w:ind w:left="16" w:hanging="16"/>
              <w:jc w:val="center"/>
              <w:rPr>
                <w:rFonts w:ascii="Andes" w:hAnsi="Andes" w:cs="Arial"/>
                <w:color w:val="000000"/>
                <w:szCs w:val="22"/>
              </w:rPr>
            </w:pPr>
            <w:r w:rsidRPr="000F54B7">
              <w:rPr>
                <w:rFonts w:ascii="Andes" w:hAnsi="Andes" w:cs="Arial"/>
                <w:bCs/>
                <w:color w:val="000000"/>
                <w:sz w:val="20"/>
              </w:rPr>
              <w:sym w:font="Wingdings 2" w:char="F050"/>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CBC6F7" w14:textId="77777777" w:rsidR="00224493" w:rsidRPr="000F54B7" w:rsidRDefault="00224493" w:rsidP="00224493">
            <w:pPr>
              <w:spacing w:before="0" w:after="0" w:line="240" w:lineRule="auto"/>
              <w:jc w:val="center"/>
              <w:rPr>
                <w:rFonts w:ascii="Andes" w:hAnsi="Andes" w:cs="Arial"/>
                <w:color w:val="000000"/>
                <w:szCs w:val="22"/>
              </w:rPr>
            </w:pPr>
            <w:r w:rsidRPr="000F54B7">
              <w:rPr>
                <w:rFonts w:ascii="Andes" w:hAnsi="Andes" w:cs="Arial"/>
                <w:b/>
                <w:bCs/>
                <w:color w:val="000000"/>
                <w:sz w:val="20"/>
              </w:rPr>
              <w:sym w:font="Wingdings 2" w:char="F050"/>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9CD7DD" w14:textId="77777777" w:rsidR="00224493" w:rsidRPr="000F54B7" w:rsidRDefault="00224493" w:rsidP="00224493">
            <w:pPr>
              <w:spacing w:before="0" w:after="0" w:line="240" w:lineRule="auto"/>
              <w:ind w:left="-18"/>
              <w:jc w:val="center"/>
              <w:rPr>
                <w:rFonts w:ascii="Andes" w:hAnsi="Andes" w:cs="Arial"/>
                <w:color w:val="000000"/>
                <w:szCs w:val="22"/>
              </w:rPr>
            </w:pPr>
            <w:r w:rsidRPr="000F54B7">
              <w:rPr>
                <w:rFonts w:ascii="Andes" w:hAnsi="Andes" w:cs="Arial"/>
                <w:b/>
                <w:bCs/>
                <w:color w:val="000000"/>
                <w:sz w:val="20"/>
              </w:rPr>
              <w:sym w:font="Wingdings 2" w:char="F050"/>
            </w:r>
          </w:p>
        </w:tc>
        <w:tc>
          <w:tcPr>
            <w:tcW w:w="57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4911EAE3" w14:textId="77777777" w:rsidR="00224493" w:rsidRPr="000F54B7" w:rsidRDefault="00224493" w:rsidP="00224493">
            <w:pPr>
              <w:spacing w:before="0" w:after="0" w:line="240" w:lineRule="auto"/>
              <w:jc w:val="center"/>
              <w:rPr>
                <w:rFonts w:ascii="Andes" w:hAnsi="Andes" w:cs="Arial"/>
                <w:color w:val="000000"/>
                <w:szCs w:val="22"/>
              </w:rPr>
            </w:pPr>
            <w:r w:rsidRPr="000F54B7">
              <w:rPr>
                <w:rFonts w:ascii="Andes" w:hAnsi="Andes" w:cs="Arial"/>
                <w:b/>
                <w:bCs/>
                <w:color w:val="000000"/>
                <w:sz w:val="20"/>
              </w:rPr>
              <w:sym w:font="Wingdings 2" w:char="F050"/>
            </w:r>
          </w:p>
        </w:tc>
      </w:tr>
      <w:tr w:rsidR="00224493" w:rsidRPr="000F54B7" w14:paraId="299CC002" w14:textId="77777777" w:rsidTr="00C034F4">
        <w:trPr>
          <w:gridAfter w:val="1"/>
          <w:wAfter w:w="6" w:type="pct"/>
          <w:trHeight w:val="243"/>
        </w:trPr>
        <w:tc>
          <w:tcPr>
            <w:tcW w:w="1713" w:type="pct"/>
            <w:tcBorders>
              <w:top w:val="single" w:sz="8" w:space="0" w:color="FFFFFF" w:themeColor="background1"/>
              <w:left w:val="single" w:sz="12" w:space="0" w:color="auto"/>
              <w:bottom w:val="single" w:sz="12" w:space="0" w:color="auto"/>
              <w:right w:val="single" w:sz="4" w:space="0" w:color="auto"/>
            </w:tcBorders>
            <w:shd w:val="clear" w:color="auto" w:fill="C45911"/>
            <w:noWrap/>
            <w:vAlign w:val="bottom"/>
          </w:tcPr>
          <w:p w14:paraId="205011B7" w14:textId="77777777" w:rsidR="00224493" w:rsidRPr="000F54B7" w:rsidRDefault="00224493" w:rsidP="00224493">
            <w:pPr>
              <w:spacing w:before="40" w:after="40" w:line="240" w:lineRule="auto"/>
              <w:contextualSpacing w:val="0"/>
              <w:jc w:val="left"/>
              <w:rPr>
                <w:rFonts w:ascii="Andes" w:hAnsi="Andes" w:cs="Arial"/>
                <w:color w:val="FFFFFF" w:themeColor="background1"/>
                <w:szCs w:val="22"/>
              </w:rPr>
            </w:pPr>
            <w:r>
              <w:rPr>
                <w:rFonts w:ascii="Andes" w:hAnsi="Andes" w:cs="Arial"/>
                <w:color w:val="FFFFFF" w:themeColor="background1"/>
                <w:sz w:val="22"/>
                <w:szCs w:val="22"/>
              </w:rPr>
              <w:t>Agents spécialisés</w:t>
            </w:r>
            <w:r w:rsidRPr="000F54B7">
              <w:rPr>
                <w:rFonts w:ascii="Andes" w:hAnsi="Andes" w:cs="Arial"/>
                <w:color w:val="FFFFFF" w:themeColor="background1"/>
                <w:sz w:val="22"/>
                <w:szCs w:val="22"/>
              </w:rPr>
              <w:t xml:space="preserve"> d</w:t>
            </w:r>
            <w:r>
              <w:rPr>
                <w:rFonts w:ascii="Andes" w:hAnsi="Andes" w:cs="Arial"/>
                <w:color w:val="FFFFFF" w:themeColor="background1"/>
                <w:sz w:val="22"/>
                <w:szCs w:val="22"/>
              </w:rPr>
              <w:t>ans</w:t>
            </w:r>
            <w:r w:rsidRPr="000F54B7">
              <w:rPr>
                <w:rFonts w:ascii="Andes" w:hAnsi="Andes" w:cs="Arial"/>
                <w:color w:val="FFFFFF" w:themeColor="background1"/>
                <w:sz w:val="22"/>
                <w:szCs w:val="22"/>
              </w:rPr>
              <w:t xml:space="preserve"> la passation de</w:t>
            </w:r>
            <w:r>
              <w:rPr>
                <w:rFonts w:ascii="Andes" w:hAnsi="Andes" w:cs="Arial"/>
                <w:color w:val="FFFFFF" w:themeColor="background1"/>
                <w:sz w:val="22"/>
                <w:szCs w:val="22"/>
              </w:rPr>
              <w:t>s</w:t>
            </w:r>
            <w:r w:rsidRPr="000F54B7">
              <w:rPr>
                <w:rFonts w:ascii="Andes" w:hAnsi="Andes" w:cs="Arial"/>
                <w:color w:val="FFFFFF" w:themeColor="background1"/>
                <w:sz w:val="22"/>
                <w:szCs w:val="22"/>
              </w:rPr>
              <w:t xml:space="preserve"> marchés</w:t>
            </w:r>
          </w:p>
        </w:tc>
        <w:tc>
          <w:tcPr>
            <w:tcW w:w="567" w:type="pct"/>
            <w:tcBorders>
              <w:top w:val="single" w:sz="4" w:space="0" w:color="auto"/>
              <w:left w:val="single" w:sz="4" w:space="0" w:color="auto"/>
              <w:bottom w:val="single" w:sz="12" w:space="0" w:color="auto"/>
              <w:right w:val="single" w:sz="4" w:space="0" w:color="auto"/>
            </w:tcBorders>
            <w:shd w:val="clear" w:color="auto" w:fill="auto"/>
            <w:noWrap/>
            <w:vAlign w:val="center"/>
          </w:tcPr>
          <w:p w14:paraId="3AC45E57" w14:textId="77777777" w:rsidR="00224493" w:rsidRPr="000F54B7" w:rsidRDefault="00224493" w:rsidP="00224493">
            <w:pPr>
              <w:spacing w:before="0" w:after="0" w:line="240" w:lineRule="auto"/>
              <w:ind w:hanging="6"/>
              <w:jc w:val="center"/>
              <w:rPr>
                <w:rFonts w:ascii="Andes" w:hAnsi="Andes" w:cs="Arial"/>
                <w:color w:val="000000"/>
                <w:szCs w:val="22"/>
              </w:rPr>
            </w:pPr>
            <w:r w:rsidRPr="000F54B7">
              <w:rPr>
                <w:rFonts w:ascii="Andes" w:hAnsi="Andes" w:cs="Arial"/>
                <w:b/>
                <w:bCs/>
                <w:color w:val="000000"/>
                <w:sz w:val="20"/>
              </w:rPr>
              <w:sym w:font="Wingdings 2" w:char="F050"/>
            </w:r>
          </w:p>
        </w:tc>
        <w:tc>
          <w:tcPr>
            <w:tcW w:w="526" w:type="pct"/>
            <w:tcBorders>
              <w:top w:val="single" w:sz="4" w:space="0" w:color="auto"/>
              <w:left w:val="single" w:sz="4" w:space="0" w:color="auto"/>
              <w:bottom w:val="single" w:sz="12" w:space="0" w:color="auto"/>
              <w:right w:val="single" w:sz="4" w:space="0" w:color="auto"/>
            </w:tcBorders>
            <w:shd w:val="clear" w:color="auto" w:fill="auto"/>
            <w:noWrap/>
            <w:vAlign w:val="center"/>
          </w:tcPr>
          <w:p w14:paraId="1A6406AD" w14:textId="77777777" w:rsidR="00224493" w:rsidRPr="000F54B7" w:rsidRDefault="00224493" w:rsidP="00224493">
            <w:pPr>
              <w:spacing w:before="0" w:after="0" w:line="240" w:lineRule="auto"/>
              <w:jc w:val="center"/>
              <w:rPr>
                <w:rFonts w:ascii="Andes" w:hAnsi="Andes" w:cs="Arial"/>
                <w:color w:val="000000"/>
                <w:szCs w:val="22"/>
              </w:rPr>
            </w:pPr>
            <w:r w:rsidRPr="000F54B7">
              <w:rPr>
                <w:rFonts w:ascii="Andes" w:hAnsi="Andes" w:cs="Arial"/>
                <w:b/>
                <w:bCs/>
                <w:color w:val="000000"/>
                <w:sz w:val="20"/>
              </w:rPr>
              <w:sym w:font="Wingdings 2" w:char="F050"/>
            </w:r>
          </w:p>
        </w:tc>
        <w:tc>
          <w:tcPr>
            <w:tcW w:w="441" w:type="pct"/>
            <w:tcBorders>
              <w:top w:val="single" w:sz="4" w:space="0" w:color="auto"/>
              <w:left w:val="single" w:sz="4" w:space="0" w:color="auto"/>
              <w:bottom w:val="single" w:sz="12" w:space="0" w:color="auto"/>
              <w:right w:val="single" w:sz="4" w:space="0" w:color="auto"/>
            </w:tcBorders>
            <w:shd w:val="clear" w:color="auto" w:fill="auto"/>
            <w:noWrap/>
            <w:vAlign w:val="center"/>
          </w:tcPr>
          <w:p w14:paraId="0A60D0E0" w14:textId="77777777" w:rsidR="00224493" w:rsidRPr="000F54B7" w:rsidRDefault="00224493" w:rsidP="00224493">
            <w:pPr>
              <w:spacing w:before="0" w:after="0" w:line="240" w:lineRule="auto"/>
              <w:ind w:left="16" w:hanging="16"/>
              <w:jc w:val="center"/>
              <w:rPr>
                <w:rFonts w:ascii="Andes" w:hAnsi="Andes" w:cs="Arial"/>
                <w:color w:val="000000"/>
                <w:szCs w:val="22"/>
              </w:rPr>
            </w:pPr>
            <w:r w:rsidRPr="000F54B7">
              <w:rPr>
                <w:rFonts w:ascii="Andes" w:hAnsi="Andes" w:cs="Arial"/>
                <w:bCs/>
                <w:color w:val="000000"/>
                <w:sz w:val="20"/>
              </w:rPr>
              <w:sym w:font="Wingdings 2" w:char="F050"/>
            </w:r>
          </w:p>
        </w:tc>
        <w:tc>
          <w:tcPr>
            <w:tcW w:w="657" w:type="pct"/>
            <w:tcBorders>
              <w:top w:val="single" w:sz="4" w:space="0" w:color="auto"/>
              <w:left w:val="single" w:sz="4" w:space="0" w:color="auto"/>
              <w:bottom w:val="single" w:sz="12" w:space="0" w:color="auto"/>
              <w:right w:val="single" w:sz="4" w:space="0" w:color="auto"/>
            </w:tcBorders>
            <w:shd w:val="clear" w:color="auto" w:fill="auto"/>
            <w:noWrap/>
            <w:vAlign w:val="center"/>
          </w:tcPr>
          <w:p w14:paraId="3F39D36D" w14:textId="77777777" w:rsidR="00224493" w:rsidRPr="000F54B7" w:rsidRDefault="00224493" w:rsidP="00224493">
            <w:pPr>
              <w:spacing w:before="0" w:after="0" w:line="240" w:lineRule="auto"/>
              <w:jc w:val="center"/>
              <w:rPr>
                <w:rFonts w:ascii="Andes" w:hAnsi="Andes" w:cs="Arial"/>
                <w:color w:val="000000"/>
                <w:szCs w:val="22"/>
              </w:rPr>
            </w:pPr>
            <w:r w:rsidRPr="000F54B7">
              <w:rPr>
                <w:rFonts w:ascii="Andes" w:hAnsi="Andes" w:cs="Arial"/>
                <w:b/>
                <w:bCs/>
                <w:color w:val="000000"/>
                <w:sz w:val="20"/>
              </w:rPr>
              <w:sym w:font="Wingdings 2" w:char="F050"/>
            </w:r>
          </w:p>
        </w:tc>
        <w:tc>
          <w:tcPr>
            <w:tcW w:w="513" w:type="pct"/>
            <w:tcBorders>
              <w:top w:val="single" w:sz="4" w:space="0" w:color="auto"/>
              <w:left w:val="single" w:sz="4" w:space="0" w:color="auto"/>
              <w:bottom w:val="single" w:sz="12" w:space="0" w:color="auto"/>
              <w:right w:val="single" w:sz="4" w:space="0" w:color="auto"/>
            </w:tcBorders>
            <w:shd w:val="clear" w:color="auto" w:fill="auto"/>
            <w:noWrap/>
            <w:vAlign w:val="center"/>
          </w:tcPr>
          <w:p w14:paraId="2870E353" w14:textId="77777777" w:rsidR="00224493" w:rsidRPr="000F54B7" w:rsidRDefault="00224493" w:rsidP="00224493">
            <w:pPr>
              <w:spacing w:before="0" w:after="0" w:line="240" w:lineRule="auto"/>
              <w:ind w:left="-18"/>
              <w:jc w:val="center"/>
              <w:rPr>
                <w:rFonts w:ascii="Andes" w:hAnsi="Andes" w:cs="Arial"/>
                <w:color w:val="000000"/>
                <w:szCs w:val="22"/>
              </w:rPr>
            </w:pPr>
            <w:r w:rsidRPr="000F54B7">
              <w:rPr>
                <w:rFonts w:ascii="Andes" w:hAnsi="Andes" w:cs="Arial"/>
                <w:b/>
                <w:bCs/>
                <w:color w:val="000000"/>
                <w:sz w:val="20"/>
              </w:rPr>
              <w:sym w:font="Wingdings 2" w:char="F050"/>
            </w:r>
          </w:p>
        </w:tc>
        <w:tc>
          <w:tcPr>
            <w:tcW w:w="577" w:type="pct"/>
            <w:tcBorders>
              <w:top w:val="single" w:sz="4" w:space="0" w:color="auto"/>
              <w:left w:val="single" w:sz="4" w:space="0" w:color="auto"/>
              <w:bottom w:val="single" w:sz="12" w:space="0" w:color="auto"/>
              <w:right w:val="single" w:sz="12" w:space="0" w:color="auto"/>
            </w:tcBorders>
            <w:shd w:val="clear" w:color="auto" w:fill="auto"/>
            <w:noWrap/>
            <w:vAlign w:val="center"/>
          </w:tcPr>
          <w:p w14:paraId="0DCDC21E" w14:textId="77777777" w:rsidR="00224493" w:rsidRPr="000F54B7" w:rsidRDefault="00224493" w:rsidP="00224493">
            <w:pPr>
              <w:spacing w:before="0" w:after="0" w:line="240" w:lineRule="auto"/>
              <w:jc w:val="center"/>
              <w:rPr>
                <w:rFonts w:ascii="Andes" w:hAnsi="Andes" w:cs="Arial"/>
                <w:color w:val="000000"/>
                <w:szCs w:val="22"/>
              </w:rPr>
            </w:pPr>
            <w:r w:rsidRPr="000F54B7">
              <w:rPr>
                <w:rFonts w:ascii="Andes" w:hAnsi="Andes" w:cs="Arial"/>
                <w:b/>
                <w:bCs/>
                <w:color w:val="000000"/>
                <w:sz w:val="20"/>
              </w:rPr>
              <w:sym w:font="Wingdings 2" w:char="F050"/>
            </w:r>
          </w:p>
        </w:tc>
      </w:tr>
      <w:tr w:rsidR="00224493" w:rsidRPr="00D672E8" w14:paraId="04CB239B" w14:textId="77777777" w:rsidTr="00C034F4">
        <w:trPr>
          <w:trHeight w:val="245"/>
        </w:trPr>
        <w:tc>
          <w:tcPr>
            <w:tcW w:w="5000" w:type="pct"/>
            <w:gridSpan w:val="8"/>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bottom"/>
          </w:tcPr>
          <w:p w14:paraId="7D7ECEA9" w14:textId="77777777" w:rsidR="00224493" w:rsidRPr="000F54B7" w:rsidRDefault="00224493" w:rsidP="00224493">
            <w:pPr>
              <w:spacing w:before="60" w:after="60" w:line="240" w:lineRule="auto"/>
              <w:ind w:left="720" w:hanging="720"/>
              <w:contextualSpacing w:val="0"/>
              <w:jc w:val="left"/>
              <w:rPr>
                <w:rFonts w:ascii="Andes" w:hAnsi="Andes" w:cs="Arial"/>
                <w:b/>
                <w:bCs/>
                <w:color w:val="000000"/>
                <w:szCs w:val="22"/>
              </w:rPr>
            </w:pPr>
            <w:r w:rsidRPr="000F54B7">
              <w:rPr>
                <w:rFonts w:ascii="Andes" w:hAnsi="Andes" w:cs="Arial"/>
                <w:b/>
                <w:bCs/>
                <w:color w:val="000000"/>
                <w:sz w:val="22"/>
                <w:szCs w:val="22"/>
              </w:rPr>
              <w:t>Méthodes de sélection pour des Consultants individuels</w:t>
            </w:r>
          </w:p>
        </w:tc>
      </w:tr>
      <w:tr w:rsidR="00F53718" w:rsidRPr="000F54B7" w14:paraId="3F346606" w14:textId="77777777" w:rsidTr="004967F3">
        <w:trPr>
          <w:gridAfter w:val="1"/>
          <w:wAfter w:w="6" w:type="pct"/>
          <w:trHeight w:val="50"/>
        </w:trPr>
        <w:tc>
          <w:tcPr>
            <w:tcW w:w="1713" w:type="pct"/>
            <w:tcBorders>
              <w:top w:val="single" w:sz="12" w:space="0" w:color="auto"/>
              <w:left w:val="single" w:sz="12" w:space="0" w:color="auto"/>
              <w:bottom w:val="single" w:sz="12" w:space="0" w:color="auto"/>
              <w:right w:val="single" w:sz="4" w:space="0" w:color="auto"/>
            </w:tcBorders>
            <w:shd w:val="clear" w:color="auto" w:fill="C45911"/>
            <w:vAlign w:val="center"/>
          </w:tcPr>
          <w:p w14:paraId="0021AEAE" w14:textId="77777777" w:rsidR="00F53718" w:rsidRPr="000F54B7" w:rsidRDefault="00F53718" w:rsidP="00F53718">
            <w:pPr>
              <w:spacing w:before="40" w:after="40" w:line="240" w:lineRule="auto"/>
              <w:contextualSpacing w:val="0"/>
              <w:jc w:val="left"/>
              <w:rPr>
                <w:rFonts w:ascii="Andes" w:hAnsi="Andes" w:cs="Arial"/>
                <w:color w:val="000000"/>
                <w:szCs w:val="22"/>
              </w:rPr>
            </w:pPr>
            <w:r w:rsidRPr="000F54B7">
              <w:rPr>
                <w:rFonts w:ascii="Andes" w:hAnsi="Andes" w:cs="Arial"/>
                <w:color w:val="FFFFFF" w:themeColor="background1"/>
                <w:sz w:val="22"/>
                <w:szCs w:val="22"/>
              </w:rPr>
              <w:t>Sélection de Consultants individuels</w:t>
            </w:r>
          </w:p>
        </w:tc>
        <w:tc>
          <w:tcPr>
            <w:tcW w:w="567" w:type="pct"/>
            <w:tcBorders>
              <w:top w:val="single" w:sz="12" w:space="0" w:color="auto"/>
              <w:left w:val="single" w:sz="4" w:space="0" w:color="auto"/>
              <w:bottom w:val="single" w:sz="12" w:space="0" w:color="auto"/>
              <w:right w:val="single" w:sz="4" w:space="0" w:color="auto"/>
            </w:tcBorders>
            <w:shd w:val="clear" w:color="auto" w:fill="auto"/>
            <w:noWrap/>
            <w:vAlign w:val="center"/>
          </w:tcPr>
          <w:p w14:paraId="2736F39F" w14:textId="77777777" w:rsidR="00F53718" w:rsidRPr="000F54B7" w:rsidRDefault="00F53718" w:rsidP="00F53718">
            <w:pPr>
              <w:spacing w:before="0" w:after="0" w:line="240" w:lineRule="auto"/>
              <w:ind w:left="-61" w:firstLine="55"/>
              <w:jc w:val="center"/>
              <w:rPr>
                <w:rFonts w:ascii="Andes" w:hAnsi="Andes" w:cs="Arial"/>
                <w:color w:val="000000"/>
                <w:szCs w:val="22"/>
              </w:rPr>
            </w:pPr>
            <w:r w:rsidRPr="000F54B7">
              <w:rPr>
                <w:rFonts w:ascii="Andes" w:hAnsi="Andes" w:cs="Arial"/>
                <w:b/>
                <w:bCs/>
                <w:color w:val="000000"/>
                <w:sz w:val="20"/>
              </w:rPr>
              <w:sym w:font="Wingdings 2" w:char="F050"/>
            </w:r>
          </w:p>
        </w:tc>
        <w:tc>
          <w:tcPr>
            <w:tcW w:w="526" w:type="pct"/>
            <w:tcBorders>
              <w:top w:val="single" w:sz="12" w:space="0" w:color="auto"/>
              <w:left w:val="single" w:sz="4" w:space="0" w:color="auto"/>
              <w:bottom w:val="single" w:sz="12" w:space="0" w:color="auto"/>
              <w:right w:val="single" w:sz="4" w:space="0" w:color="auto"/>
            </w:tcBorders>
            <w:shd w:val="clear" w:color="auto" w:fill="auto"/>
            <w:noWrap/>
            <w:vAlign w:val="center"/>
          </w:tcPr>
          <w:p w14:paraId="022CED43" w14:textId="77777777" w:rsidR="00F53718" w:rsidRPr="000F54B7" w:rsidRDefault="00F53718" w:rsidP="00F53718">
            <w:pPr>
              <w:spacing w:before="0" w:after="0" w:line="240" w:lineRule="auto"/>
              <w:ind w:left="720" w:hanging="648"/>
              <w:jc w:val="center"/>
              <w:rPr>
                <w:rFonts w:ascii="Andes" w:hAnsi="Andes" w:cs="Arial"/>
                <w:color w:val="000000"/>
                <w:szCs w:val="22"/>
              </w:rPr>
            </w:pPr>
            <w:r w:rsidRPr="000F54B7">
              <w:rPr>
                <w:rFonts w:ascii="Andes" w:hAnsi="Andes" w:cs="Arial"/>
                <w:b/>
                <w:bCs/>
                <w:color w:val="000000"/>
                <w:sz w:val="20"/>
              </w:rPr>
              <w:sym w:font="Wingdings 2" w:char="F050"/>
            </w:r>
          </w:p>
        </w:tc>
        <w:tc>
          <w:tcPr>
            <w:tcW w:w="441" w:type="pct"/>
            <w:tcBorders>
              <w:top w:val="single" w:sz="12" w:space="0" w:color="auto"/>
              <w:left w:val="single" w:sz="4" w:space="0" w:color="auto"/>
              <w:bottom w:val="single" w:sz="12" w:space="0" w:color="auto"/>
              <w:right w:val="single" w:sz="4" w:space="0" w:color="auto"/>
            </w:tcBorders>
            <w:shd w:val="clear" w:color="auto" w:fill="auto"/>
            <w:noWrap/>
            <w:vAlign w:val="center"/>
          </w:tcPr>
          <w:p w14:paraId="1096E4AE" w14:textId="77777777" w:rsidR="00F53718" w:rsidRPr="000F54B7" w:rsidRDefault="00F53718" w:rsidP="00F53718">
            <w:pPr>
              <w:spacing w:before="0" w:after="0" w:line="240" w:lineRule="auto"/>
              <w:ind w:left="16" w:hanging="16"/>
              <w:jc w:val="center"/>
              <w:rPr>
                <w:rFonts w:ascii="Andes" w:hAnsi="Andes" w:cs="Arial"/>
                <w:color w:val="000000"/>
                <w:szCs w:val="22"/>
              </w:rPr>
            </w:pPr>
            <w:r w:rsidRPr="000F54B7">
              <w:rPr>
                <w:rFonts w:ascii="Andes" w:hAnsi="Andes" w:cs="Arial"/>
                <w:b/>
                <w:bCs/>
                <w:color w:val="000000"/>
                <w:sz w:val="20"/>
              </w:rPr>
              <w:sym w:font="Wingdings 2" w:char="F050"/>
            </w:r>
          </w:p>
        </w:tc>
        <w:tc>
          <w:tcPr>
            <w:tcW w:w="657" w:type="pct"/>
            <w:tcBorders>
              <w:top w:val="single" w:sz="12" w:space="0" w:color="auto"/>
              <w:left w:val="single" w:sz="4" w:space="0" w:color="auto"/>
              <w:bottom w:val="single" w:sz="12" w:space="0" w:color="auto"/>
              <w:right w:val="single" w:sz="4" w:space="0" w:color="auto"/>
            </w:tcBorders>
            <w:shd w:val="clear" w:color="auto" w:fill="auto"/>
            <w:noWrap/>
          </w:tcPr>
          <w:p w14:paraId="07CFA9AE" w14:textId="79E8D6D5" w:rsidR="00F53718" w:rsidRPr="000F54B7" w:rsidRDefault="00F53718" w:rsidP="00F53718">
            <w:pPr>
              <w:spacing w:before="0" w:after="0" w:line="240" w:lineRule="auto"/>
              <w:jc w:val="center"/>
              <w:rPr>
                <w:rFonts w:ascii="Andes" w:hAnsi="Andes" w:cs="Arial"/>
                <w:color w:val="000000"/>
                <w:szCs w:val="22"/>
              </w:rPr>
            </w:pPr>
            <w:r w:rsidRPr="004E15E7">
              <w:rPr>
                <w:rFonts w:ascii="Andes" w:hAnsi="Andes" w:cs="Arial"/>
                <w:b/>
                <w:bCs/>
                <w:color w:val="000000"/>
                <w:sz w:val="20"/>
              </w:rPr>
              <w:sym w:font="Wingdings 2" w:char="F050"/>
            </w:r>
          </w:p>
        </w:tc>
        <w:tc>
          <w:tcPr>
            <w:tcW w:w="513" w:type="pct"/>
            <w:tcBorders>
              <w:top w:val="single" w:sz="12" w:space="0" w:color="auto"/>
              <w:left w:val="single" w:sz="4" w:space="0" w:color="auto"/>
              <w:bottom w:val="single" w:sz="12" w:space="0" w:color="auto"/>
              <w:right w:val="single" w:sz="4" w:space="0" w:color="auto"/>
            </w:tcBorders>
            <w:shd w:val="clear" w:color="auto" w:fill="auto"/>
            <w:noWrap/>
          </w:tcPr>
          <w:p w14:paraId="44AD20BF" w14:textId="74869B58" w:rsidR="00F53718" w:rsidRPr="000F54B7" w:rsidRDefault="00F53718" w:rsidP="00F53718">
            <w:pPr>
              <w:spacing w:before="0" w:after="0" w:line="240" w:lineRule="auto"/>
              <w:ind w:left="-18"/>
              <w:jc w:val="center"/>
              <w:rPr>
                <w:rFonts w:ascii="Andes" w:hAnsi="Andes" w:cs="Arial"/>
                <w:color w:val="000000"/>
                <w:szCs w:val="22"/>
              </w:rPr>
            </w:pPr>
            <w:r w:rsidRPr="004E15E7">
              <w:rPr>
                <w:rFonts w:ascii="Andes" w:hAnsi="Andes" w:cs="Arial"/>
                <w:b/>
                <w:bCs/>
                <w:color w:val="000000"/>
                <w:sz w:val="20"/>
              </w:rPr>
              <w:sym w:font="Wingdings 2" w:char="F050"/>
            </w:r>
          </w:p>
        </w:tc>
        <w:tc>
          <w:tcPr>
            <w:tcW w:w="577" w:type="pct"/>
            <w:tcBorders>
              <w:top w:val="single" w:sz="12" w:space="0" w:color="auto"/>
              <w:left w:val="single" w:sz="4" w:space="0" w:color="auto"/>
              <w:bottom w:val="single" w:sz="12" w:space="0" w:color="auto"/>
              <w:right w:val="single" w:sz="12" w:space="0" w:color="auto"/>
            </w:tcBorders>
            <w:shd w:val="clear" w:color="auto" w:fill="auto"/>
            <w:noWrap/>
          </w:tcPr>
          <w:p w14:paraId="40CE237E" w14:textId="6B026372" w:rsidR="00F53718" w:rsidRPr="000F54B7" w:rsidRDefault="00F53718" w:rsidP="00F53718">
            <w:pPr>
              <w:spacing w:before="0" w:after="0" w:line="240" w:lineRule="auto"/>
              <w:jc w:val="center"/>
              <w:rPr>
                <w:rFonts w:ascii="Andes" w:hAnsi="Andes" w:cs="Arial"/>
                <w:color w:val="000000"/>
                <w:szCs w:val="22"/>
              </w:rPr>
            </w:pPr>
            <w:r w:rsidRPr="004E15E7">
              <w:rPr>
                <w:rFonts w:ascii="Andes" w:hAnsi="Andes" w:cs="Arial"/>
                <w:b/>
                <w:bCs/>
                <w:color w:val="000000"/>
                <w:sz w:val="20"/>
              </w:rPr>
              <w:sym w:font="Wingdings 2" w:char="F050"/>
            </w:r>
          </w:p>
        </w:tc>
      </w:tr>
    </w:tbl>
    <w:p w14:paraId="23A1FC20" w14:textId="57B2AE73" w:rsidR="004A5D48" w:rsidRDefault="00224493" w:rsidP="006D600B">
      <w:pPr>
        <w:contextualSpacing w:val="0"/>
        <w:rPr>
          <w:rFonts w:ascii="Andes" w:eastAsiaTheme="majorEastAsia" w:hAnsi="Andes"/>
          <w:sz w:val="22"/>
          <w:szCs w:val="22"/>
        </w:rPr>
      </w:pPr>
      <w:r w:rsidRPr="000F54B7">
        <w:rPr>
          <w:rFonts w:ascii="Andes" w:eastAsiaTheme="majorEastAsia" w:hAnsi="Andes"/>
          <w:b/>
          <w:sz w:val="22"/>
          <w:szCs w:val="22"/>
        </w:rPr>
        <w:t xml:space="preserve">Tableau 2.  </w:t>
      </w:r>
      <w:r w:rsidRPr="00DA319D">
        <w:rPr>
          <w:rFonts w:ascii="Andes" w:eastAsiaTheme="majorEastAsia" w:hAnsi="Andes"/>
          <w:sz w:val="22"/>
          <w:szCs w:val="22"/>
        </w:rPr>
        <w:t>Méthodes</w:t>
      </w:r>
      <w:r>
        <w:rPr>
          <w:rFonts w:ascii="Andes" w:eastAsiaTheme="majorEastAsia" w:hAnsi="Andes"/>
          <w:b/>
          <w:sz w:val="22"/>
          <w:szCs w:val="22"/>
        </w:rPr>
        <w:t xml:space="preserve"> </w:t>
      </w:r>
      <w:r>
        <w:rPr>
          <w:rFonts w:ascii="Andes" w:eastAsiaTheme="majorEastAsia" w:hAnsi="Andes"/>
          <w:sz w:val="22"/>
          <w:szCs w:val="22"/>
        </w:rPr>
        <w:t>de sélection agréées : Services de Consultants</w:t>
      </w:r>
    </w:p>
    <w:p w14:paraId="26A99B6E" w14:textId="77777777" w:rsidR="004A5D48" w:rsidRDefault="004A5D48" w:rsidP="006D600B">
      <w:pPr>
        <w:contextualSpacing w:val="0"/>
        <w:rPr>
          <w:rFonts w:ascii="Andes" w:eastAsiaTheme="majorEastAsia" w:hAnsi="Andes"/>
          <w:sz w:val="22"/>
          <w:szCs w:val="22"/>
        </w:rPr>
      </w:pPr>
    </w:p>
    <w:p w14:paraId="07986241" w14:textId="3F3D9776" w:rsidR="004A5D48" w:rsidRPr="000F54B7" w:rsidRDefault="004A5D48" w:rsidP="00224493">
      <w:pPr>
        <w:spacing w:after="0" w:line="240" w:lineRule="auto"/>
        <w:contextualSpacing w:val="0"/>
        <w:jc w:val="left"/>
        <w:rPr>
          <w:rFonts w:ascii="Andes" w:hAnsi="Andes" w:cs="Arial"/>
          <w:b/>
          <w:bCs/>
          <w:color w:val="000000"/>
          <w:sz w:val="16"/>
          <w:szCs w:val="16"/>
        </w:rPr>
      </w:pPr>
      <w:r w:rsidRPr="000F54B7">
        <w:rPr>
          <w:rFonts w:ascii="Andes" w:hAnsi="Andes" w:cs="Arial"/>
          <w:b/>
          <w:bCs/>
          <w:color w:val="000000"/>
          <w:sz w:val="16"/>
          <w:szCs w:val="16"/>
        </w:rPr>
        <w:sym w:font="Wingdings 2" w:char="F050"/>
      </w:r>
      <w:r w:rsidRPr="000F54B7">
        <w:rPr>
          <w:rFonts w:ascii="Andes" w:hAnsi="Andes" w:cs="Arial"/>
          <w:b/>
          <w:bCs/>
          <w:color w:val="000000"/>
          <w:sz w:val="16"/>
          <w:szCs w:val="16"/>
        </w:rPr>
        <w:t xml:space="preserve"> </w:t>
      </w:r>
      <w:r w:rsidRPr="000F54B7">
        <w:rPr>
          <w:rFonts w:ascii="Andes" w:hAnsi="Andes" w:cs="Arial"/>
          <w:b/>
          <w:bCs/>
          <w:color w:val="000000"/>
          <w:sz w:val="16"/>
          <w:szCs w:val="16"/>
        </w:rPr>
        <w:tab/>
      </w:r>
      <w:r w:rsidR="00A905E1">
        <w:rPr>
          <w:rFonts w:ascii="Andes" w:hAnsi="Andes" w:cs="Arial"/>
          <w:b/>
          <w:bCs/>
          <w:color w:val="000000"/>
          <w:sz w:val="16"/>
          <w:szCs w:val="16"/>
        </w:rPr>
        <w:t xml:space="preserve">= </w:t>
      </w:r>
      <w:r w:rsidR="00B51E0D" w:rsidRPr="00B51E0D">
        <w:rPr>
          <w:rFonts w:ascii="Andes" w:hAnsi="Andes" w:cs="Arial"/>
          <w:b/>
          <w:bCs/>
          <w:color w:val="000000"/>
          <w:sz w:val="16"/>
          <w:szCs w:val="16"/>
        </w:rPr>
        <w:t xml:space="preserve">option d’approche de marché </w:t>
      </w:r>
      <w:r>
        <w:rPr>
          <w:rFonts w:ascii="Andes" w:hAnsi="Andes" w:cs="Arial"/>
          <w:b/>
          <w:bCs/>
          <w:color w:val="000000"/>
          <w:sz w:val="16"/>
          <w:szCs w:val="16"/>
        </w:rPr>
        <w:t>possible</w:t>
      </w:r>
      <w:r w:rsidRPr="000F54B7">
        <w:rPr>
          <w:rFonts w:ascii="Andes" w:hAnsi="Andes" w:cs="Arial"/>
          <w:b/>
          <w:bCs/>
          <w:color w:val="000000"/>
          <w:sz w:val="16"/>
          <w:szCs w:val="16"/>
        </w:rPr>
        <w:t xml:space="preserve">. </w:t>
      </w:r>
    </w:p>
    <w:p w14:paraId="2AFDE696" w14:textId="55ADFC95" w:rsidR="004A5D48" w:rsidRDefault="004A5D48" w:rsidP="00224493">
      <w:pPr>
        <w:spacing w:line="240" w:lineRule="auto"/>
        <w:ind w:left="274" w:hanging="274"/>
        <w:contextualSpacing w:val="0"/>
        <w:jc w:val="left"/>
        <w:rPr>
          <w:rFonts w:ascii="Andes" w:hAnsi="Andes" w:cs="Arial"/>
          <w:b/>
          <w:bCs/>
          <w:color w:val="000000"/>
          <w:sz w:val="16"/>
          <w:szCs w:val="16"/>
        </w:rPr>
      </w:pPr>
      <w:r w:rsidRPr="000F54B7">
        <w:rPr>
          <w:rFonts w:ascii="Andes" w:hAnsi="Andes" w:cs="Arial"/>
          <w:b/>
          <w:bCs/>
          <w:color w:val="000000"/>
          <w:sz w:val="16"/>
          <w:szCs w:val="16"/>
        </w:rPr>
        <w:t>X</w:t>
      </w:r>
      <w:r w:rsidR="00A905E1">
        <w:rPr>
          <w:rFonts w:ascii="Andes" w:hAnsi="Andes" w:cs="Arial"/>
          <w:b/>
          <w:bCs/>
          <w:color w:val="000000"/>
          <w:sz w:val="16"/>
          <w:szCs w:val="16"/>
        </w:rPr>
        <w:t xml:space="preserve"> = </w:t>
      </w:r>
      <w:r w:rsidR="00B51E0D" w:rsidRPr="00B51E0D">
        <w:rPr>
          <w:rFonts w:ascii="Andes" w:hAnsi="Andes" w:cs="Arial"/>
          <w:b/>
          <w:bCs/>
          <w:color w:val="000000"/>
          <w:sz w:val="16"/>
          <w:szCs w:val="16"/>
        </w:rPr>
        <w:t xml:space="preserve">option d’approche de marché </w:t>
      </w:r>
      <w:r>
        <w:rPr>
          <w:rFonts w:ascii="Andes" w:hAnsi="Andes" w:cs="Arial"/>
          <w:b/>
          <w:bCs/>
          <w:color w:val="000000"/>
          <w:sz w:val="16"/>
          <w:szCs w:val="16"/>
        </w:rPr>
        <w:t>impossible</w:t>
      </w:r>
      <w:r w:rsidRPr="000F54B7">
        <w:rPr>
          <w:rFonts w:ascii="Andes" w:hAnsi="Andes" w:cs="Arial"/>
          <w:b/>
          <w:bCs/>
          <w:color w:val="000000"/>
          <w:sz w:val="16"/>
          <w:szCs w:val="16"/>
        </w:rPr>
        <w:t>.</w:t>
      </w:r>
    </w:p>
    <w:p w14:paraId="60C3437A" w14:textId="77777777" w:rsidR="00224493" w:rsidRPr="000F54B7" w:rsidRDefault="00224493" w:rsidP="004A5D48">
      <w:pPr>
        <w:spacing w:before="0" w:after="0" w:line="240" w:lineRule="auto"/>
        <w:ind w:left="270" w:hanging="270"/>
        <w:contextualSpacing w:val="0"/>
        <w:jc w:val="left"/>
        <w:rPr>
          <w:rFonts w:ascii="Andes" w:hAnsi="Andes" w:cs="Arial"/>
          <w:b/>
          <w:bCs/>
          <w:color w:val="000000"/>
          <w:sz w:val="16"/>
          <w:szCs w:val="16"/>
        </w:rPr>
      </w:pPr>
    </w:p>
    <w:p w14:paraId="7F564EC8" w14:textId="77777777" w:rsidR="006D600B" w:rsidRPr="00AB5824" w:rsidRDefault="006D600B" w:rsidP="00AB5824">
      <w:pPr>
        <w:pStyle w:val="Paragraphedeliste"/>
        <w:numPr>
          <w:ilvl w:val="0"/>
          <w:numId w:val="124"/>
        </w:numPr>
        <w:spacing w:before="0" w:line="240" w:lineRule="auto"/>
        <w:ind w:left="634" w:hanging="634"/>
        <w:contextualSpacing w:val="0"/>
        <w:rPr>
          <w:rFonts w:ascii="Andes" w:hAnsi="Andes" w:cs="Arial"/>
          <w:sz w:val="22"/>
          <w:szCs w:val="22"/>
        </w:rPr>
      </w:pPr>
      <w:r w:rsidRPr="00AB5824">
        <w:rPr>
          <w:rFonts w:ascii="Andes" w:hAnsi="Andes" w:cs="Arial"/>
          <w:sz w:val="22"/>
          <w:szCs w:val="22"/>
        </w:rPr>
        <w:t>Les méthodes suivantes sont agréées pour la sélection de Consultants</w:t>
      </w:r>
      <w:r w:rsidRPr="00AB5824">
        <w:rPr>
          <w:rFonts w:ascii="Calibri" w:hAnsi="Calibri" w:cs="Calibri"/>
          <w:sz w:val="22"/>
          <w:szCs w:val="22"/>
        </w:rPr>
        <w:t> </w:t>
      </w:r>
      <w:r w:rsidRPr="00AB5824">
        <w:rPr>
          <w:rFonts w:ascii="Andes" w:hAnsi="Andes" w:cs="Arial"/>
          <w:sz w:val="22"/>
          <w:szCs w:val="22"/>
        </w:rPr>
        <w:t>:</w:t>
      </w:r>
    </w:p>
    <w:p w14:paraId="2D193B61" w14:textId="27661E7E" w:rsidR="006D600B" w:rsidRPr="000F54B7" w:rsidRDefault="006D600B" w:rsidP="006D600B">
      <w:pPr>
        <w:pStyle w:val="Paragraphedeliste"/>
        <w:numPr>
          <w:ilvl w:val="0"/>
          <w:numId w:val="181"/>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Sélection Fondée sur la Qualité et sur le Coût (SFQC) ; </w:t>
      </w:r>
    </w:p>
    <w:p w14:paraId="3C07C14B" w14:textId="175EAB6B" w:rsidR="006D600B" w:rsidRPr="000F54B7" w:rsidRDefault="006D600B" w:rsidP="006D600B">
      <w:pPr>
        <w:pStyle w:val="Paragraphedeliste"/>
        <w:numPr>
          <w:ilvl w:val="0"/>
          <w:numId w:val="181"/>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Sélection dans le Cadre d’un Budget Déterminé (S</w:t>
      </w:r>
      <w:r w:rsidR="007F2289">
        <w:rPr>
          <w:rFonts w:ascii="Andes" w:eastAsiaTheme="minorHAnsi" w:hAnsi="Andes" w:cs="Arial"/>
          <w:color w:val="000000"/>
          <w:sz w:val="22"/>
          <w:szCs w:val="22"/>
        </w:rPr>
        <w:t>C</w:t>
      </w:r>
      <w:r w:rsidRPr="000F54B7">
        <w:rPr>
          <w:rFonts w:ascii="Andes" w:eastAsiaTheme="minorHAnsi" w:hAnsi="Andes" w:cs="Arial"/>
          <w:color w:val="000000"/>
          <w:sz w:val="22"/>
          <w:szCs w:val="22"/>
        </w:rPr>
        <w:t>BD) ;</w:t>
      </w:r>
    </w:p>
    <w:p w14:paraId="108F37E9" w14:textId="77777777" w:rsidR="006D600B" w:rsidRPr="000F54B7" w:rsidRDefault="006D600B" w:rsidP="006D600B">
      <w:pPr>
        <w:pStyle w:val="Paragraphedeliste"/>
        <w:numPr>
          <w:ilvl w:val="0"/>
          <w:numId w:val="181"/>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Sélection au </w:t>
      </w:r>
      <w:r>
        <w:rPr>
          <w:rFonts w:ascii="Andes" w:eastAsiaTheme="minorHAnsi" w:hAnsi="Andes" w:cs="Arial"/>
          <w:color w:val="000000"/>
          <w:sz w:val="22"/>
          <w:szCs w:val="22"/>
        </w:rPr>
        <w:t>M</w:t>
      </w:r>
      <w:r w:rsidRPr="000F54B7">
        <w:rPr>
          <w:rFonts w:ascii="Andes" w:eastAsiaTheme="minorHAnsi" w:hAnsi="Andes" w:cs="Arial"/>
          <w:color w:val="000000"/>
          <w:sz w:val="22"/>
          <w:szCs w:val="22"/>
        </w:rPr>
        <w:t xml:space="preserve">oindre </w:t>
      </w:r>
      <w:r>
        <w:rPr>
          <w:rFonts w:ascii="Andes" w:eastAsiaTheme="minorHAnsi" w:hAnsi="Andes" w:cs="Arial"/>
          <w:color w:val="000000"/>
          <w:sz w:val="22"/>
          <w:szCs w:val="22"/>
        </w:rPr>
        <w:t>C</w:t>
      </w:r>
      <w:r w:rsidRPr="000F54B7">
        <w:rPr>
          <w:rFonts w:ascii="Andes" w:eastAsiaTheme="minorHAnsi" w:hAnsi="Andes" w:cs="Arial"/>
          <w:color w:val="000000"/>
          <w:sz w:val="22"/>
          <w:szCs w:val="22"/>
        </w:rPr>
        <w:t xml:space="preserve">oût (SMC) ; </w:t>
      </w:r>
    </w:p>
    <w:p w14:paraId="61609B11" w14:textId="6067B9B7" w:rsidR="006D600B" w:rsidRPr="000F54B7" w:rsidRDefault="006D600B" w:rsidP="006D600B">
      <w:pPr>
        <w:pStyle w:val="Paragraphedeliste"/>
        <w:numPr>
          <w:ilvl w:val="0"/>
          <w:numId w:val="181"/>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Sélection Fondée sur la Qualité (SFQ) ;</w:t>
      </w:r>
    </w:p>
    <w:p w14:paraId="5229C892" w14:textId="093E104C" w:rsidR="006D600B" w:rsidRPr="000F54B7" w:rsidRDefault="006D600B" w:rsidP="006D600B">
      <w:pPr>
        <w:pStyle w:val="Paragraphedeliste"/>
        <w:numPr>
          <w:ilvl w:val="0"/>
          <w:numId w:val="181"/>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Sélection fondée sur les qualifications du Consultant (SQC) ;</w:t>
      </w:r>
      <w:r w:rsidR="001F1C1B">
        <w:rPr>
          <w:rFonts w:ascii="Andes" w:eastAsiaTheme="minorHAnsi" w:hAnsi="Andes" w:cs="Arial"/>
          <w:color w:val="000000"/>
          <w:sz w:val="22"/>
          <w:szCs w:val="22"/>
        </w:rPr>
        <w:t xml:space="preserve"> et</w:t>
      </w:r>
    </w:p>
    <w:p w14:paraId="32FD967B" w14:textId="10CF5A58" w:rsidR="006D600B" w:rsidRPr="000F54B7" w:rsidRDefault="006D600B">
      <w:pPr>
        <w:pStyle w:val="Paragraphedeliste"/>
        <w:numPr>
          <w:ilvl w:val="0"/>
          <w:numId w:val="181"/>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Sélection directe.</w:t>
      </w:r>
    </w:p>
    <w:p w14:paraId="4582A99A" w14:textId="064C8789" w:rsidR="006D600B" w:rsidRPr="000F54B7" w:rsidRDefault="006D600B" w:rsidP="006D600B">
      <w:pPr>
        <w:spacing w:before="240" w:line="240" w:lineRule="auto"/>
        <w:contextualSpacing w:val="0"/>
        <w:rPr>
          <w:rFonts w:ascii="Andes" w:hAnsi="Andes"/>
          <w:sz w:val="28"/>
        </w:rPr>
      </w:pPr>
      <w:bookmarkStart w:id="3351" w:name="_Toc453170928"/>
      <w:r w:rsidRPr="000F54B7">
        <w:rPr>
          <w:rFonts w:ascii="Andes" w:hAnsi="Andes"/>
          <w:b/>
          <w:sz w:val="28"/>
          <w:szCs w:val="28"/>
        </w:rPr>
        <w:t>Sélection Fondée sur la Qualité et sur le Coût</w:t>
      </w:r>
      <w:bookmarkEnd w:id="3351"/>
      <w:r w:rsidRPr="000F54B7">
        <w:rPr>
          <w:rFonts w:ascii="Andes" w:hAnsi="Andes"/>
          <w:b/>
          <w:sz w:val="28"/>
          <w:szCs w:val="28"/>
        </w:rPr>
        <w:t xml:space="preserve"> (SFQC)</w:t>
      </w:r>
    </w:p>
    <w:p w14:paraId="40B14646" w14:textId="77777777" w:rsidR="006D600B" w:rsidRPr="000F54B7" w:rsidRDefault="006D600B" w:rsidP="006D600B">
      <w:pPr>
        <w:pStyle w:val="Paragraphedeliste"/>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La méthode SFQC consiste à mettre en concurrence des </w:t>
      </w:r>
      <w:r>
        <w:rPr>
          <w:rFonts w:ascii="Andes" w:hAnsi="Andes" w:cs="Arial"/>
          <w:sz w:val="22"/>
          <w:szCs w:val="22"/>
        </w:rPr>
        <w:t xml:space="preserve">cabinets de </w:t>
      </w:r>
      <w:r w:rsidRPr="000F54B7">
        <w:rPr>
          <w:rFonts w:ascii="Andes" w:hAnsi="Andes" w:cs="Arial"/>
          <w:sz w:val="22"/>
          <w:szCs w:val="22"/>
        </w:rPr>
        <w:t xml:space="preserve">consultants </w:t>
      </w:r>
      <w:r>
        <w:rPr>
          <w:rFonts w:ascii="Andes" w:hAnsi="Andes" w:cs="Arial"/>
          <w:sz w:val="22"/>
          <w:szCs w:val="22"/>
        </w:rPr>
        <w:t>P</w:t>
      </w:r>
      <w:r w:rsidRPr="000F54B7">
        <w:rPr>
          <w:rFonts w:ascii="Andes" w:hAnsi="Andes" w:cs="Arial"/>
          <w:sz w:val="22"/>
          <w:szCs w:val="22"/>
        </w:rPr>
        <w:t xml:space="preserve">résélectionnés, le choix </w:t>
      </w:r>
      <w:r>
        <w:rPr>
          <w:rFonts w:ascii="Andes" w:hAnsi="Andes" w:cs="Arial"/>
          <w:sz w:val="22"/>
          <w:szCs w:val="22"/>
        </w:rPr>
        <w:t>du cabinet retenu</w:t>
      </w:r>
      <w:r w:rsidRPr="000F54B7">
        <w:rPr>
          <w:rFonts w:ascii="Andes" w:hAnsi="Andes" w:cs="Arial"/>
          <w:sz w:val="22"/>
          <w:szCs w:val="22"/>
        </w:rPr>
        <w:t xml:space="preserve"> prenant en compte la qualité technique de la Proposition et le coût des services. Le dossier d’appel à propositions doit préciser</w:t>
      </w:r>
      <w:r>
        <w:rPr>
          <w:rFonts w:ascii="Andes" w:hAnsi="Andes" w:cs="Arial"/>
          <w:sz w:val="22"/>
          <w:szCs w:val="22"/>
        </w:rPr>
        <w:t xml:space="preserve"> la note </w:t>
      </w:r>
      <w:r w:rsidRPr="000F54B7">
        <w:rPr>
          <w:rFonts w:ascii="Andes" w:hAnsi="Andes" w:cs="Arial"/>
          <w:sz w:val="22"/>
          <w:szCs w:val="22"/>
        </w:rPr>
        <w:t xml:space="preserve">minimum que les Propositions techniques doivent atteindre. La pondération relative des critères de qualité et de coût dépend de la nature de la mission. Sur l’ensemble des Propositions conformes aux exigences du dossier d’appel à propositions et </w:t>
      </w:r>
      <w:r>
        <w:rPr>
          <w:rFonts w:ascii="Andes" w:hAnsi="Andes" w:cs="Arial"/>
          <w:sz w:val="22"/>
          <w:szCs w:val="22"/>
        </w:rPr>
        <w:t xml:space="preserve">présentant </w:t>
      </w:r>
      <w:r w:rsidRPr="000F54B7">
        <w:rPr>
          <w:rFonts w:ascii="Andes" w:hAnsi="Andes" w:cs="Arial"/>
          <w:sz w:val="22"/>
          <w:szCs w:val="22"/>
        </w:rPr>
        <w:t xml:space="preserve">les </w:t>
      </w:r>
      <w:r>
        <w:rPr>
          <w:rFonts w:ascii="Andes" w:hAnsi="Andes" w:cs="Arial"/>
          <w:sz w:val="22"/>
          <w:szCs w:val="22"/>
        </w:rPr>
        <w:t xml:space="preserve">qualifications </w:t>
      </w:r>
      <w:r w:rsidRPr="000F54B7">
        <w:rPr>
          <w:rFonts w:ascii="Andes" w:hAnsi="Andes" w:cs="Arial"/>
          <w:sz w:val="22"/>
          <w:szCs w:val="22"/>
        </w:rPr>
        <w:t>techniques</w:t>
      </w:r>
      <w:r>
        <w:rPr>
          <w:rFonts w:ascii="Andes" w:hAnsi="Andes" w:cs="Arial"/>
          <w:sz w:val="22"/>
          <w:szCs w:val="22"/>
        </w:rPr>
        <w:t xml:space="preserve"> nécessaires</w:t>
      </w:r>
      <w:r w:rsidRPr="000F54B7">
        <w:rPr>
          <w:rFonts w:ascii="Andes" w:hAnsi="Andes" w:cs="Arial"/>
          <w:sz w:val="22"/>
          <w:szCs w:val="22"/>
        </w:rPr>
        <w:t>, la Proposition qui obtient le score combiné (qualité et coût) le plus élevé est considéré</w:t>
      </w:r>
      <w:r>
        <w:rPr>
          <w:rFonts w:ascii="Andes" w:hAnsi="Andes" w:cs="Arial"/>
          <w:sz w:val="22"/>
          <w:szCs w:val="22"/>
        </w:rPr>
        <w:t>e</w:t>
      </w:r>
      <w:r w:rsidRPr="000F54B7">
        <w:rPr>
          <w:rFonts w:ascii="Andes" w:hAnsi="Andes" w:cs="Arial"/>
          <w:sz w:val="22"/>
          <w:szCs w:val="22"/>
        </w:rPr>
        <w:t xml:space="preserve"> être la Proposition la </w:t>
      </w:r>
      <w:r>
        <w:rPr>
          <w:rFonts w:ascii="Andes" w:hAnsi="Andes" w:cs="Arial"/>
          <w:sz w:val="22"/>
          <w:szCs w:val="22"/>
        </w:rPr>
        <w:t>p</w:t>
      </w:r>
      <w:r w:rsidRPr="000F54B7">
        <w:rPr>
          <w:rFonts w:ascii="Andes" w:hAnsi="Andes" w:cs="Arial"/>
          <w:sz w:val="22"/>
          <w:szCs w:val="22"/>
        </w:rPr>
        <w:t>lus Avantageuse. Pour plus de détails, voir l’annexe XII « Méthode de sélection ».</w:t>
      </w:r>
    </w:p>
    <w:p w14:paraId="6BE1B049" w14:textId="77777777" w:rsidR="006D600B" w:rsidRPr="000F54B7" w:rsidRDefault="006D600B" w:rsidP="006D600B">
      <w:pPr>
        <w:spacing w:before="240" w:line="240" w:lineRule="auto"/>
        <w:contextualSpacing w:val="0"/>
        <w:rPr>
          <w:rFonts w:ascii="Andes" w:hAnsi="Andes"/>
          <w:sz w:val="28"/>
        </w:rPr>
      </w:pPr>
      <w:bookmarkStart w:id="3352" w:name="_Toc453170929"/>
      <w:r w:rsidRPr="000F54B7">
        <w:rPr>
          <w:rFonts w:ascii="Andes" w:hAnsi="Andes"/>
          <w:b/>
          <w:sz w:val="28"/>
          <w:szCs w:val="28"/>
        </w:rPr>
        <w:t xml:space="preserve">Sélection dans le Cadre d’un Budget Déterminé </w:t>
      </w:r>
      <w:bookmarkEnd w:id="3352"/>
      <w:r w:rsidRPr="000F54B7">
        <w:rPr>
          <w:rFonts w:ascii="Andes" w:hAnsi="Andes"/>
          <w:b/>
          <w:sz w:val="28"/>
          <w:szCs w:val="28"/>
        </w:rPr>
        <w:t>(SCBD)</w:t>
      </w:r>
    </w:p>
    <w:p w14:paraId="4C34DDF3" w14:textId="40F85562" w:rsidR="006D600B" w:rsidRPr="000F54B7" w:rsidRDefault="006D600B" w:rsidP="006D600B">
      <w:pPr>
        <w:pStyle w:val="Paragraphedeliste"/>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Comme la méthode SFQC, la méthode SCBD met en concurrence des </w:t>
      </w:r>
      <w:r>
        <w:rPr>
          <w:rFonts w:ascii="Andes" w:hAnsi="Andes" w:cs="Arial"/>
          <w:sz w:val="22"/>
          <w:szCs w:val="22"/>
        </w:rPr>
        <w:t xml:space="preserve">cabinets de </w:t>
      </w:r>
      <w:r w:rsidRPr="000F54B7">
        <w:rPr>
          <w:rFonts w:ascii="Andes" w:hAnsi="Andes" w:cs="Arial"/>
          <w:sz w:val="22"/>
          <w:szCs w:val="22"/>
        </w:rPr>
        <w:t xml:space="preserve">consultants </w:t>
      </w:r>
      <w:r w:rsidR="00B51E0D">
        <w:rPr>
          <w:rFonts w:ascii="Andes" w:hAnsi="Andes" w:cs="Arial"/>
          <w:sz w:val="22"/>
          <w:szCs w:val="22"/>
        </w:rPr>
        <w:t>p</w:t>
      </w:r>
      <w:r w:rsidRPr="000F54B7">
        <w:rPr>
          <w:rFonts w:ascii="Andes" w:hAnsi="Andes" w:cs="Arial"/>
          <w:sz w:val="22"/>
          <w:szCs w:val="22"/>
        </w:rPr>
        <w:t xml:space="preserve">résélectionnés, le choix </w:t>
      </w:r>
      <w:r>
        <w:rPr>
          <w:rFonts w:ascii="Andes" w:hAnsi="Andes" w:cs="Arial"/>
          <w:sz w:val="22"/>
          <w:szCs w:val="22"/>
        </w:rPr>
        <w:t>du cabinet retenu</w:t>
      </w:r>
      <w:r w:rsidRPr="000F54B7">
        <w:rPr>
          <w:rFonts w:ascii="Andes" w:hAnsi="Andes" w:cs="Arial"/>
          <w:sz w:val="22"/>
          <w:szCs w:val="22"/>
        </w:rPr>
        <w:t xml:space="preserve"> prenant en compte la qualité de la Proposition et le coût des services. Dans le dossier d’appel à propositions, le coût des services est indiqué sous la forme d’un budget déterminé qui ne doit pas être dépassé. Cette méthode convient lorsque :</w:t>
      </w:r>
    </w:p>
    <w:p w14:paraId="23338FD1" w14:textId="77777777" w:rsidR="006D600B" w:rsidRPr="000F54B7" w:rsidRDefault="006D600B" w:rsidP="006D600B">
      <w:pPr>
        <w:pStyle w:val="Paragraphedeliste"/>
        <w:numPr>
          <w:ilvl w:val="0"/>
          <w:numId w:val="205"/>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le type de Service de Consultants requis est simple et peut être défini précisément ;</w:t>
      </w:r>
    </w:p>
    <w:p w14:paraId="0C2104EB" w14:textId="77777777" w:rsidR="006D600B" w:rsidRPr="000F54B7" w:rsidRDefault="006D600B" w:rsidP="006D600B">
      <w:pPr>
        <w:pStyle w:val="Paragraphedeliste"/>
        <w:numPr>
          <w:ilvl w:val="0"/>
          <w:numId w:val="205"/>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le budget est raisonnablement estimé et fixé ; et</w:t>
      </w:r>
    </w:p>
    <w:p w14:paraId="69C6637D" w14:textId="77777777" w:rsidR="006D600B" w:rsidRPr="000F54B7" w:rsidRDefault="006D600B" w:rsidP="006D600B">
      <w:pPr>
        <w:pStyle w:val="Paragraphedeliste"/>
        <w:numPr>
          <w:ilvl w:val="0"/>
          <w:numId w:val="205"/>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le budget est suffisant pour permettre à l’entreprise d’exécuter la mission.</w:t>
      </w:r>
    </w:p>
    <w:p w14:paraId="7AE3B47B" w14:textId="77777777" w:rsidR="006D600B" w:rsidRPr="000F54B7" w:rsidRDefault="006D600B" w:rsidP="006D600B">
      <w:pPr>
        <w:pStyle w:val="Paragraphedeliste"/>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Le dossier d’appel à propositions précise le budget et</w:t>
      </w:r>
      <w:r>
        <w:rPr>
          <w:rFonts w:ascii="Andes" w:hAnsi="Andes" w:cs="Arial"/>
          <w:sz w:val="22"/>
          <w:szCs w:val="22"/>
        </w:rPr>
        <w:t xml:space="preserve"> la note </w:t>
      </w:r>
      <w:r w:rsidRPr="000F54B7">
        <w:rPr>
          <w:rFonts w:ascii="Andes" w:hAnsi="Andes" w:cs="Arial"/>
          <w:sz w:val="22"/>
          <w:szCs w:val="22"/>
        </w:rPr>
        <w:t>minimum pour les Propositions techniques. La Proposition dont</w:t>
      </w:r>
      <w:r>
        <w:rPr>
          <w:rFonts w:ascii="Andes" w:hAnsi="Andes" w:cs="Arial"/>
          <w:sz w:val="22"/>
          <w:szCs w:val="22"/>
        </w:rPr>
        <w:t xml:space="preserve"> la note </w:t>
      </w:r>
      <w:r w:rsidRPr="000F54B7">
        <w:rPr>
          <w:rFonts w:ascii="Andes" w:hAnsi="Andes" w:cs="Arial"/>
          <w:sz w:val="22"/>
          <w:szCs w:val="22"/>
        </w:rPr>
        <w:t>technique est</w:t>
      </w:r>
      <w:r>
        <w:rPr>
          <w:rFonts w:ascii="Andes" w:hAnsi="Andes" w:cs="Arial"/>
          <w:sz w:val="22"/>
          <w:szCs w:val="22"/>
        </w:rPr>
        <w:t xml:space="preserve"> la </w:t>
      </w:r>
      <w:r w:rsidRPr="000F54B7">
        <w:rPr>
          <w:rFonts w:ascii="Andes" w:hAnsi="Andes" w:cs="Arial"/>
          <w:sz w:val="22"/>
          <w:szCs w:val="22"/>
        </w:rPr>
        <w:t>plus élevé</w:t>
      </w:r>
      <w:r>
        <w:rPr>
          <w:rFonts w:ascii="Andes" w:hAnsi="Andes" w:cs="Arial"/>
          <w:sz w:val="22"/>
          <w:szCs w:val="22"/>
        </w:rPr>
        <w:t>e</w:t>
      </w:r>
      <w:r w:rsidRPr="000F54B7">
        <w:rPr>
          <w:rFonts w:ascii="Andes" w:hAnsi="Andes" w:cs="Arial"/>
          <w:sz w:val="22"/>
          <w:szCs w:val="22"/>
        </w:rPr>
        <w:t xml:space="preserve"> et qui rentre dans le budget </w:t>
      </w:r>
      <w:r>
        <w:rPr>
          <w:rFonts w:ascii="Andes" w:hAnsi="Andes" w:cs="Arial"/>
          <w:sz w:val="22"/>
          <w:szCs w:val="22"/>
        </w:rPr>
        <w:t xml:space="preserve">déterminé </w:t>
      </w:r>
      <w:r w:rsidRPr="000F54B7">
        <w:rPr>
          <w:rFonts w:ascii="Andes" w:hAnsi="Andes" w:cs="Arial"/>
          <w:sz w:val="22"/>
          <w:szCs w:val="22"/>
        </w:rPr>
        <w:t xml:space="preserve">est considérée comme la Proposition la </w:t>
      </w:r>
      <w:r>
        <w:rPr>
          <w:rFonts w:ascii="Andes" w:hAnsi="Andes" w:cs="Arial"/>
          <w:sz w:val="22"/>
          <w:szCs w:val="22"/>
        </w:rPr>
        <w:t>p</w:t>
      </w:r>
      <w:r w:rsidRPr="000F54B7">
        <w:rPr>
          <w:rFonts w:ascii="Andes" w:hAnsi="Andes" w:cs="Arial"/>
          <w:sz w:val="22"/>
          <w:szCs w:val="22"/>
        </w:rPr>
        <w:t>lus Avantageuse. Pour plus de détails, voir l’annexe XII « Méthodes de sélection ».</w:t>
      </w:r>
    </w:p>
    <w:p w14:paraId="0C8FDF7A" w14:textId="77777777" w:rsidR="006D600B" w:rsidRPr="000F54B7" w:rsidRDefault="006D600B" w:rsidP="006D600B">
      <w:pPr>
        <w:spacing w:before="240" w:line="240" w:lineRule="auto"/>
        <w:contextualSpacing w:val="0"/>
        <w:rPr>
          <w:rFonts w:ascii="Andes" w:hAnsi="Andes"/>
          <w:sz w:val="28"/>
        </w:rPr>
      </w:pPr>
      <w:bookmarkStart w:id="3353" w:name="_Toc453170930"/>
      <w:r w:rsidRPr="000F54B7">
        <w:rPr>
          <w:rFonts w:ascii="Andes" w:hAnsi="Andes"/>
          <w:b/>
          <w:sz w:val="28"/>
          <w:szCs w:val="28"/>
        </w:rPr>
        <w:t xml:space="preserve">Sélection au </w:t>
      </w:r>
      <w:r>
        <w:rPr>
          <w:rFonts w:ascii="Andes" w:hAnsi="Andes"/>
          <w:b/>
          <w:sz w:val="28"/>
          <w:szCs w:val="28"/>
        </w:rPr>
        <w:t>M</w:t>
      </w:r>
      <w:r w:rsidRPr="000F54B7">
        <w:rPr>
          <w:rFonts w:ascii="Andes" w:hAnsi="Andes"/>
          <w:b/>
          <w:sz w:val="28"/>
          <w:szCs w:val="28"/>
        </w:rPr>
        <w:t xml:space="preserve">oindre </w:t>
      </w:r>
      <w:r>
        <w:rPr>
          <w:rFonts w:ascii="Andes" w:hAnsi="Andes"/>
          <w:b/>
          <w:sz w:val="28"/>
          <w:szCs w:val="28"/>
        </w:rPr>
        <w:t>C</w:t>
      </w:r>
      <w:r w:rsidRPr="000F54B7">
        <w:rPr>
          <w:rFonts w:ascii="Andes" w:hAnsi="Andes"/>
          <w:b/>
          <w:sz w:val="28"/>
          <w:szCs w:val="28"/>
        </w:rPr>
        <w:t>oût</w:t>
      </w:r>
      <w:bookmarkEnd w:id="3353"/>
      <w:r w:rsidRPr="000F54B7">
        <w:rPr>
          <w:rFonts w:ascii="Andes" w:hAnsi="Andes"/>
          <w:b/>
          <w:sz w:val="28"/>
          <w:szCs w:val="28"/>
        </w:rPr>
        <w:t xml:space="preserve"> (SMC)</w:t>
      </w:r>
    </w:p>
    <w:p w14:paraId="067D0A7D" w14:textId="77777777" w:rsidR="006D600B" w:rsidRPr="000F54B7" w:rsidRDefault="006D600B" w:rsidP="006D600B">
      <w:pPr>
        <w:pStyle w:val="Paragraphedeliste"/>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Comme la méthode SFQC, la méthode SMC met en concurrence des </w:t>
      </w:r>
      <w:r>
        <w:rPr>
          <w:rFonts w:ascii="Andes" w:hAnsi="Andes" w:cs="Arial"/>
          <w:sz w:val="22"/>
          <w:szCs w:val="22"/>
        </w:rPr>
        <w:t xml:space="preserve">cabinets de </w:t>
      </w:r>
      <w:r w:rsidRPr="000F54B7">
        <w:rPr>
          <w:rFonts w:ascii="Andes" w:hAnsi="Andes" w:cs="Arial"/>
          <w:sz w:val="22"/>
          <w:szCs w:val="22"/>
        </w:rPr>
        <w:t xml:space="preserve">consultants </w:t>
      </w:r>
      <w:r>
        <w:rPr>
          <w:rFonts w:ascii="Andes" w:hAnsi="Andes" w:cs="Arial"/>
          <w:sz w:val="22"/>
          <w:szCs w:val="22"/>
        </w:rPr>
        <w:t>P</w:t>
      </w:r>
      <w:r w:rsidRPr="000F54B7">
        <w:rPr>
          <w:rFonts w:ascii="Andes" w:hAnsi="Andes" w:cs="Arial"/>
          <w:sz w:val="22"/>
          <w:szCs w:val="22"/>
        </w:rPr>
        <w:t xml:space="preserve">résélectionnés, le choix </w:t>
      </w:r>
      <w:r>
        <w:rPr>
          <w:rFonts w:ascii="Andes" w:hAnsi="Andes" w:cs="Arial"/>
          <w:sz w:val="22"/>
          <w:szCs w:val="22"/>
        </w:rPr>
        <w:t>du cabinet retenu</w:t>
      </w:r>
      <w:r w:rsidRPr="000F54B7">
        <w:rPr>
          <w:rFonts w:ascii="Andes" w:hAnsi="Andes" w:cs="Arial"/>
          <w:sz w:val="22"/>
          <w:szCs w:val="22"/>
        </w:rPr>
        <w:t xml:space="preserve"> prenant en compte la qualité de la Proposition et le coût des services. Cette méthode convient en règle générale pour des missions standard ou courantes (par exemple la préparation de dossiers techniques de Travaux non complexes), pour lesquelles il existe des pratiques et des normes bien établies. </w:t>
      </w:r>
    </w:p>
    <w:p w14:paraId="0608159C" w14:textId="77777777" w:rsidR="006D600B" w:rsidRPr="000F54B7" w:rsidRDefault="006D600B" w:rsidP="006D600B">
      <w:pPr>
        <w:pStyle w:val="Paragraphedeliste"/>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Le dossier d’appel à propositions précise</w:t>
      </w:r>
      <w:r>
        <w:rPr>
          <w:rFonts w:ascii="Andes" w:hAnsi="Andes" w:cs="Arial"/>
          <w:sz w:val="22"/>
          <w:szCs w:val="22"/>
        </w:rPr>
        <w:t xml:space="preserve"> la note </w:t>
      </w:r>
      <w:r w:rsidRPr="000F54B7">
        <w:rPr>
          <w:rFonts w:ascii="Andes" w:hAnsi="Andes" w:cs="Arial"/>
          <w:sz w:val="22"/>
          <w:szCs w:val="22"/>
        </w:rPr>
        <w:t>minimum que les Propositions techniques doivent atteindre. Sur l’ensemble des Propositions</w:t>
      </w:r>
      <w:r>
        <w:rPr>
          <w:rFonts w:ascii="Andes" w:hAnsi="Andes" w:cs="Arial"/>
          <w:sz w:val="22"/>
          <w:szCs w:val="22"/>
        </w:rPr>
        <w:t xml:space="preserve"> qui obtiennent une note supérieure à la note </w:t>
      </w:r>
      <w:r w:rsidRPr="000F54B7">
        <w:rPr>
          <w:rFonts w:ascii="Andes" w:hAnsi="Andes" w:cs="Arial"/>
          <w:sz w:val="22"/>
          <w:szCs w:val="22"/>
        </w:rPr>
        <w:t xml:space="preserve">technique </w:t>
      </w:r>
      <w:r w:rsidRPr="000F54B7">
        <w:rPr>
          <w:rFonts w:ascii="Andes" w:hAnsi="Andes" w:cs="Arial"/>
          <w:sz w:val="22"/>
          <w:szCs w:val="22"/>
        </w:rPr>
        <w:lastRenderedPageBreak/>
        <w:t>minimum, la Proposition</w:t>
      </w:r>
      <w:r>
        <w:rPr>
          <w:rFonts w:ascii="Andes" w:hAnsi="Andes" w:cs="Arial"/>
          <w:sz w:val="22"/>
          <w:szCs w:val="22"/>
        </w:rPr>
        <w:t xml:space="preserve"> évaluée la moins-</w:t>
      </w:r>
      <w:proofErr w:type="spellStart"/>
      <w:r>
        <w:rPr>
          <w:rFonts w:ascii="Andes" w:hAnsi="Andes" w:cs="Arial"/>
          <w:sz w:val="22"/>
          <w:szCs w:val="22"/>
        </w:rPr>
        <w:t>disante</w:t>
      </w:r>
      <w:proofErr w:type="spellEnd"/>
      <w:r>
        <w:rPr>
          <w:rFonts w:ascii="Andes" w:hAnsi="Andes" w:cs="Arial"/>
          <w:sz w:val="22"/>
          <w:szCs w:val="22"/>
        </w:rPr>
        <w:t xml:space="preserve"> </w:t>
      </w:r>
      <w:r w:rsidRPr="000F54B7">
        <w:rPr>
          <w:rFonts w:ascii="Andes" w:hAnsi="Andes" w:cs="Arial"/>
          <w:sz w:val="22"/>
          <w:szCs w:val="22"/>
        </w:rPr>
        <w:t xml:space="preserve">est considérée comme la Proposition la </w:t>
      </w:r>
      <w:r>
        <w:rPr>
          <w:rFonts w:ascii="Andes" w:hAnsi="Andes" w:cs="Arial"/>
          <w:sz w:val="22"/>
          <w:szCs w:val="22"/>
        </w:rPr>
        <w:t>p</w:t>
      </w:r>
      <w:r w:rsidRPr="000F54B7">
        <w:rPr>
          <w:rFonts w:ascii="Andes" w:hAnsi="Andes" w:cs="Arial"/>
          <w:sz w:val="22"/>
          <w:szCs w:val="22"/>
        </w:rPr>
        <w:t>lus Avantageuse. Pour plus de détails, voir l’annexe XII « Méthodes de sélection ».</w:t>
      </w:r>
    </w:p>
    <w:p w14:paraId="7F31BDFC" w14:textId="4C30C541" w:rsidR="006D600B" w:rsidRPr="000F54B7" w:rsidRDefault="006D600B" w:rsidP="006D600B">
      <w:pPr>
        <w:spacing w:before="240" w:line="240" w:lineRule="auto"/>
        <w:contextualSpacing w:val="0"/>
        <w:rPr>
          <w:rFonts w:ascii="Andes" w:hAnsi="Andes"/>
          <w:sz w:val="28"/>
        </w:rPr>
      </w:pPr>
      <w:bookmarkStart w:id="3354" w:name="_Toc453170931"/>
      <w:r w:rsidRPr="000F54B7">
        <w:rPr>
          <w:rFonts w:ascii="Andes" w:hAnsi="Andes"/>
          <w:b/>
          <w:sz w:val="28"/>
          <w:szCs w:val="28"/>
        </w:rPr>
        <w:t>Sélection Fondée sur la Qualité (SFQ)</w:t>
      </w:r>
      <w:bookmarkEnd w:id="3354"/>
    </w:p>
    <w:p w14:paraId="32527538" w14:textId="060C1BCB" w:rsidR="006D600B" w:rsidRPr="000F54B7" w:rsidRDefault="006D600B" w:rsidP="006D600B">
      <w:pPr>
        <w:pStyle w:val="Paragraphedeliste"/>
        <w:numPr>
          <w:ilvl w:val="0"/>
          <w:numId w:val="124"/>
        </w:numPr>
        <w:spacing w:before="0" w:line="240" w:lineRule="auto"/>
        <w:ind w:left="634" w:hanging="634"/>
        <w:contextualSpacing w:val="0"/>
        <w:rPr>
          <w:rFonts w:ascii="Andes" w:hAnsi="Andes" w:cs="Arial"/>
          <w:sz w:val="22"/>
          <w:szCs w:val="22"/>
        </w:rPr>
      </w:pPr>
      <w:r>
        <w:rPr>
          <w:rFonts w:ascii="Andes" w:hAnsi="Andes" w:cs="Arial"/>
          <w:sz w:val="22"/>
          <w:szCs w:val="22"/>
        </w:rPr>
        <w:t>Dans la</w:t>
      </w:r>
      <w:r w:rsidRPr="000F54B7">
        <w:rPr>
          <w:rFonts w:ascii="Andes" w:hAnsi="Andes" w:cs="Arial"/>
          <w:sz w:val="22"/>
          <w:szCs w:val="22"/>
        </w:rPr>
        <w:t xml:space="preserve"> méthode SFQ, la qualité de la Proposition est évaluée sans prendre en compte le coût comme critère d’évaluation. Si l’appel à propositions demande de </w:t>
      </w:r>
      <w:r>
        <w:rPr>
          <w:rFonts w:ascii="Andes" w:hAnsi="Andes" w:cs="Arial"/>
          <w:sz w:val="22"/>
          <w:szCs w:val="22"/>
        </w:rPr>
        <w:t xml:space="preserve">soumettre </w:t>
      </w:r>
      <w:r w:rsidRPr="000F54B7">
        <w:rPr>
          <w:rFonts w:ascii="Andes" w:hAnsi="Andes" w:cs="Arial"/>
          <w:sz w:val="22"/>
          <w:szCs w:val="22"/>
        </w:rPr>
        <w:t>des P</w:t>
      </w:r>
      <w:r>
        <w:rPr>
          <w:rFonts w:ascii="Andes" w:hAnsi="Andes" w:cs="Arial"/>
          <w:sz w:val="22"/>
          <w:szCs w:val="22"/>
        </w:rPr>
        <w:t>ropositions à la fois technique et financière</w:t>
      </w:r>
      <w:r w:rsidRPr="000F54B7">
        <w:rPr>
          <w:rFonts w:ascii="Andes" w:hAnsi="Andes" w:cs="Arial"/>
          <w:sz w:val="22"/>
          <w:szCs w:val="22"/>
        </w:rPr>
        <w:t xml:space="preserve">, seule la Proposition financière </w:t>
      </w:r>
      <w:r>
        <w:rPr>
          <w:rFonts w:ascii="Andes" w:hAnsi="Andes" w:cs="Arial"/>
          <w:sz w:val="22"/>
          <w:szCs w:val="22"/>
        </w:rPr>
        <w:t xml:space="preserve">du cabinet </w:t>
      </w:r>
      <w:r w:rsidRPr="000F54B7">
        <w:rPr>
          <w:rFonts w:ascii="Andes" w:hAnsi="Andes" w:cs="Arial"/>
          <w:sz w:val="22"/>
          <w:szCs w:val="22"/>
        </w:rPr>
        <w:t>l</w:t>
      </w:r>
      <w:r>
        <w:rPr>
          <w:rFonts w:ascii="Andes" w:hAnsi="Andes" w:cs="Arial"/>
          <w:sz w:val="22"/>
          <w:szCs w:val="22"/>
        </w:rPr>
        <w:t>e plus qualifié</w:t>
      </w:r>
      <w:r w:rsidRPr="000F54B7">
        <w:rPr>
          <w:rFonts w:ascii="Andes" w:hAnsi="Andes" w:cs="Arial"/>
          <w:sz w:val="22"/>
          <w:szCs w:val="22"/>
        </w:rPr>
        <w:t xml:space="preserve"> techniquement est ouverte et évaluée afin de déterminer la Proposition la </w:t>
      </w:r>
      <w:r>
        <w:rPr>
          <w:rFonts w:ascii="Andes" w:hAnsi="Andes" w:cs="Arial"/>
          <w:sz w:val="22"/>
          <w:szCs w:val="22"/>
        </w:rPr>
        <w:t>p</w:t>
      </w:r>
      <w:r w:rsidRPr="000F54B7">
        <w:rPr>
          <w:rFonts w:ascii="Andes" w:hAnsi="Andes" w:cs="Arial"/>
          <w:sz w:val="22"/>
          <w:szCs w:val="22"/>
        </w:rPr>
        <w:t xml:space="preserve">lus Avantageuse. Toutefois, si le dossier d’appel à propositions demande uniquement des Propositions techniques, </w:t>
      </w:r>
      <w:r>
        <w:rPr>
          <w:rFonts w:ascii="Andes" w:hAnsi="Andes" w:cs="Arial"/>
          <w:sz w:val="22"/>
          <w:szCs w:val="22"/>
        </w:rPr>
        <w:t xml:space="preserve">le cabinet </w:t>
      </w:r>
      <w:r w:rsidRPr="000F54B7">
        <w:rPr>
          <w:rFonts w:ascii="Andes" w:hAnsi="Andes" w:cs="Arial"/>
          <w:sz w:val="22"/>
          <w:szCs w:val="22"/>
        </w:rPr>
        <w:t xml:space="preserve">dont la Proposition technique </w:t>
      </w:r>
      <w:r>
        <w:rPr>
          <w:rFonts w:ascii="Andes" w:hAnsi="Andes" w:cs="Arial"/>
          <w:sz w:val="22"/>
          <w:szCs w:val="22"/>
        </w:rPr>
        <w:t>est la mieux classée est invité</w:t>
      </w:r>
      <w:r w:rsidRPr="000F54B7">
        <w:rPr>
          <w:rFonts w:ascii="Andes" w:hAnsi="Andes" w:cs="Arial"/>
          <w:sz w:val="22"/>
          <w:szCs w:val="22"/>
        </w:rPr>
        <w:t xml:space="preserve"> à </w:t>
      </w:r>
      <w:r>
        <w:rPr>
          <w:rFonts w:ascii="Andes" w:hAnsi="Andes" w:cs="Arial"/>
          <w:sz w:val="22"/>
          <w:szCs w:val="22"/>
        </w:rPr>
        <w:t>sou</w:t>
      </w:r>
      <w:r w:rsidRPr="000F54B7">
        <w:rPr>
          <w:rFonts w:ascii="Andes" w:hAnsi="Andes" w:cs="Arial"/>
          <w:sz w:val="22"/>
          <w:szCs w:val="22"/>
        </w:rPr>
        <w:t>mettre ses Propositions financières pour négociations.</w:t>
      </w:r>
    </w:p>
    <w:p w14:paraId="2067A4CF" w14:textId="1992F1AC" w:rsidR="006D600B" w:rsidRPr="000F54B7" w:rsidRDefault="006D600B" w:rsidP="006D600B">
      <w:pPr>
        <w:pStyle w:val="Paragraphedeliste"/>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La méthode SFQ convient pour les types de missions suivants :</w:t>
      </w:r>
    </w:p>
    <w:p w14:paraId="432A6D45" w14:textId="77777777" w:rsidR="006D600B" w:rsidRPr="000F54B7" w:rsidRDefault="006D600B" w:rsidP="006D600B">
      <w:pPr>
        <w:pStyle w:val="Paragraphedeliste"/>
        <w:numPr>
          <w:ilvl w:val="0"/>
          <w:numId w:val="182"/>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les missions complexes ou très spécialisées pour lesquelles il est difficile de définir précisément les Termes de Référence et ce qu</w:t>
      </w:r>
      <w:r>
        <w:rPr>
          <w:rFonts w:ascii="Andes" w:eastAsiaTheme="minorHAnsi" w:hAnsi="Andes" w:cs="Arial"/>
          <w:color w:val="000000"/>
          <w:sz w:val="22"/>
          <w:szCs w:val="22"/>
        </w:rPr>
        <w:t>i</w:t>
      </w:r>
      <w:r w:rsidRPr="000F54B7">
        <w:rPr>
          <w:rFonts w:ascii="Andes" w:eastAsiaTheme="minorHAnsi" w:hAnsi="Andes" w:cs="Arial"/>
          <w:color w:val="000000"/>
          <w:sz w:val="22"/>
          <w:szCs w:val="22"/>
        </w:rPr>
        <w:t xml:space="preserve"> est demandé</w:t>
      </w:r>
      <w:r>
        <w:rPr>
          <w:rFonts w:ascii="Andes" w:eastAsiaTheme="minorHAnsi" w:hAnsi="Andes" w:cs="Arial"/>
          <w:color w:val="000000"/>
          <w:sz w:val="22"/>
          <w:szCs w:val="22"/>
        </w:rPr>
        <w:t xml:space="preserve"> au cabinet</w:t>
      </w:r>
      <w:r w:rsidRPr="000F54B7">
        <w:rPr>
          <w:rFonts w:ascii="Andes" w:eastAsiaTheme="minorHAnsi" w:hAnsi="Andes" w:cs="Arial"/>
          <w:color w:val="000000"/>
          <w:sz w:val="22"/>
          <w:szCs w:val="22"/>
        </w:rPr>
        <w:t xml:space="preserve">, et pour lesquelles l’Emprunteur attend </w:t>
      </w:r>
      <w:r>
        <w:rPr>
          <w:rFonts w:ascii="Andes" w:eastAsiaTheme="minorHAnsi" w:hAnsi="Andes" w:cs="Arial"/>
          <w:color w:val="000000"/>
          <w:sz w:val="22"/>
          <w:szCs w:val="22"/>
        </w:rPr>
        <w:t>du cabinet de consultants</w:t>
      </w:r>
      <w:r w:rsidRPr="000F54B7">
        <w:rPr>
          <w:rFonts w:ascii="Andes" w:eastAsiaTheme="minorHAnsi" w:hAnsi="Andes" w:cs="Arial"/>
          <w:color w:val="000000"/>
          <w:sz w:val="22"/>
          <w:szCs w:val="22"/>
        </w:rPr>
        <w:t xml:space="preserve"> qu’</w:t>
      </w:r>
      <w:r>
        <w:rPr>
          <w:rFonts w:ascii="Andes" w:eastAsiaTheme="minorHAnsi" w:hAnsi="Andes" w:cs="Arial"/>
          <w:color w:val="000000"/>
          <w:sz w:val="22"/>
          <w:szCs w:val="22"/>
        </w:rPr>
        <w:t>il</w:t>
      </w:r>
      <w:r w:rsidRPr="000F54B7">
        <w:rPr>
          <w:rFonts w:ascii="Andes" w:eastAsiaTheme="minorHAnsi" w:hAnsi="Andes" w:cs="Arial"/>
          <w:color w:val="000000"/>
          <w:sz w:val="22"/>
          <w:szCs w:val="22"/>
        </w:rPr>
        <w:t xml:space="preserve"> fasse preuve d’innovation dans ses Propositions ;</w:t>
      </w:r>
    </w:p>
    <w:p w14:paraId="4DAEC243" w14:textId="77777777" w:rsidR="006D600B" w:rsidRPr="000F54B7" w:rsidRDefault="006D600B" w:rsidP="006D600B">
      <w:pPr>
        <w:pStyle w:val="Paragraphedeliste"/>
        <w:numPr>
          <w:ilvl w:val="0"/>
          <w:numId w:val="182"/>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les missions ayant un impact important en aval ; et</w:t>
      </w:r>
    </w:p>
    <w:p w14:paraId="445F6825" w14:textId="77777777" w:rsidR="006D600B" w:rsidRPr="000F54B7" w:rsidRDefault="006D600B" w:rsidP="006D600B">
      <w:pPr>
        <w:pStyle w:val="Paragraphedeliste"/>
        <w:numPr>
          <w:ilvl w:val="0"/>
          <w:numId w:val="182"/>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les missions pouvant être exécutées de </w:t>
      </w:r>
      <w:proofErr w:type="gramStart"/>
      <w:r w:rsidRPr="000F54B7">
        <w:rPr>
          <w:rFonts w:ascii="Andes" w:eastAsiaTheme="minorHAnsi" w:hAnsi="Andes" w:cs="Arial"/>
          <w:color w:val="000000"/>
          <w:sz w:val="22"/>
          <w:szCs w:val="22"/>
        </w:rPr>
        <w:t>manière sensiblement différentes</w:t>
      </w:r>
      <w:proofErr w:type="gramEnd"/>
      <w:r w:rsidRPr="000F54B7">
        <w:rPr>
          <w:rFonts w:ascii="Andes" w:eastAsiaTheme="minorHAnsi" w:hAnsi="Andes" w:cs="Arial"/>
          <w:color w:val="000000"/>
          <w:sz w:val="22"/>
          <w:szCs w:val="22"/>
        </w:rPr>
        <w:t>, de sorte que les Propositions ne seront pas comparables.</w:t>
      </w:r>
    </w:p>
    <w:p w14:paraId="1B2B2B2F" w14:textId="080FE344" w:rsidR="006D600B" w:rsidRPr="000F54B7" w:rsidRDefault="006D600B" w:rsidP="006D600B">
      <w:pPr>
        <w:pStyle w:val="Paragraphedeliste"/>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Pour plus de détails, voir l’</w:t>
      </w:r>
      <w:r w:rsidR="00367F47">
        <w:rPr>
          <w:rFonts w:ascii="Andes" w:hAnsi="Andes" w:cs="Arial"/>
          <w:sz w:val="22"/>
          <w:szCs w:val="22"/>
        </w:rPr>
        <w:t>A</w:t>
      </w:r>
      <w:r w:rsidRPr="000F54B7">
        <w:rPr>
          <w:rFonts w:ascii="Andes" w:hAnsi="Andes" w:cs="Arial"/>
          <w:sz w:val="22"/>
          <w:szCs w:val="22"/>
        </w:rPr>
        <w:t>nnexe XII Méthodes de sélection.</w:t>
      </w:r>
    </w:p>
    <w:p w14:paraId="62247873" w14:textId="77777777" w:rsidR="006D600B" w:rsidRPr="000F54B7" w:rsidRDefault="006D600B" w:rsidP="006D600B">
      <w:pPr>
        <w:spacing w:before="240" w:line="240" w:lineRule="auto"/>
        <w:contextualSpacing w:val="0"/>
        <w:rPr>
          <w:rFonts w:ascii="Andes" w:hAnsi="Andes"/>
          <w:sz w:val="28"/>
        </w:rPr>
      </w:pPr>
      <w:bookmarkStart w:id="3355" w:name="_Toc453170932"/>
      <w:r w:rsidRPr="000F54B7">
        <w:rPr>
          <w:rFonts w:ascii="Andes" w:hAnsi="Andes"/>
          <w:b/>
          <w:sz w:val="28"/>
          <w:szCs w:val="28"/>
        </w:rPr>
        <w:t>Sélection fondée sur les qualifications du Consultant</w:t>
      </w:r>
      <w:bookmarkEnd w:id="3355"/>
      <w:r w:rsidRPr="000F54B7">
        <w:rPr>
          <w:rFonts w:ascii="Andes" w:hAnsi="Andes"/>
          <w:b/>
          <w:sz w:val="28"/>
          <w:szCs w:val="28"/>
        </w:rPr>
        <w:t xml:space="preserve"> (SQC)</w:t>
      </w:r>
    </w:p>
    <w:p w14:paraId="2C2DAD78" w14:textId="77777777" w:rsidR="006D600B" w:rsidRPr="000F54B7" w:rsidRDefault="006D600B" w:rsidP="006D600B">
      <w:pPr>
        <w:pStyle w:val="Paragraphedeliste"/>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L’Emprunteur </w:t>
      </w:r>
      <w:r>
        <w:rPr>
          <w:rFonts w:ascii="Andes" w:hAnsi="Andes" w:cs="Arial"/>
          <w:sz w:val="22"/>
          <w:szCs w:val="22"/>
        </w:rPr>
        <w:t xml:space="preserve">envoie </w:t>
      </w:r>
      <w:r w:rsidRPr="000F54B7">
        <w:rPr>
          <w:rFonts w:ascii="Andes" w:hAnsi="Andes" w:cs="Arial"/>
          <w:sz w:val="22"/>
          <w:szCs w:val="22"/>
        </w:rPr>
        <w:t xml:space="preserve">un appel à manifestation d’intérêt (AMI) en y joignant les Termes de Référence. Au moins trois </w:t>
      </w:r>
      <w:r>
        <w:rPr>
          <w:rFonts w:ascii="Andes" w:hAnsi="Andes" w:cs="Arial"/>
          <w:sz w:val="22"/>
          <w:szCs w:val="22"/>
        </w:rPr>
        <w:t>cabinets de consultants qualifiés doivent être invité</w:t>
      </w:r>
      <w:r w:rsidRPr="000F54B7">
        <w:rPr>
          <w:rFonts w:ascii="Andes" w:hAnsi="Andes" w:cs="Arial"/>
          <w:sz w:val="22"/>
          <w:szCs w:val="22"/>
        </w:rPr>
        <w:t xml:space="preserve">s à fournir des renseignements sur leur expérience et leurs qualifications dans le domaine concerné. Dans la liste des </w:t>
      </w:r>
      <w:r>
        <w:rPr>
          <w:rFonts w:ascii="Andes" w:hAnsi="Andes" w:cs="Arial"/>
          <w:sz w:val="22"/>
          <w:szCs w:val="22"/>
        </w:rPr>
        <w:t xml:space="preserve">cabinets </w:t>
      </w:r>
      <w:r w:rsidRPr="000F54B7">
        <w:rPr>
          <w:rFonts w:ascii="Andes" w:hAnsi="Andes" w:cs="Arial"/>
          <w:sz w:val="22"/>
          <w:szCs w:val="22"/>
        </w:rPr>
        <w:t xml:space="preserve">ayant répondu à l’AMI, l’Emprunteur retient celui qui présente le meilleur niveau de qualifications et d’expérience en rapport avec la mission, et l’invite à </w:t>
      </w:r>
      <w:r>
        <w:rPr>
          <w:rFonts w:ascii="Andes" w:hAnsi="Andes" w:cs="Arial"/>
          <w:sz w:val="22"/>
          <w:szCs w:val="22"/>
        </w:rPr>
        <w:t>sou</w:t>
      </w:r>
      <w:r w:rsidRPr="000F54B7">
        <w:rPr>
          <w:rFonts w:ascii="Andes" w:hAnsi="Andes" w:cs="Arial"/>
          <w:sz w:val="22"/>
          <w:szCs w:val="22"/>
        </w:rPr>
        <w:t>mettre ses Propositions technique et financ</w:t>
      </w:r>
      <w:r>
        <w:rPr>
          <w:rFonts w:ascii="Andes" w:hAnsi="Andes" w:cs="Arial"/>
          <w:sz w:val="22"/>
          <w:szCs w:val="22"/>
        </w:rPr>
        <w:t>i</w:t>
      </w:r>
      <w:r w:rsidRPr="000F54B7">
        <w:rPr>
          <w:rFonts w:ascii="Andes" w:hAnsi="Andes" w:cs="Arial"/>
          <w:sz w:val="22"/>
          <w:szCs w:val="22"/>
        </w:rPr>
        <w:t>ère aux fins de négoc</w:t>
      </w:r>
      <w:r>
        <w:rPr>
          <w:rFonts w:ascii="Andes" w:hAnsi="Andes" w:cs="Arial"/>
          <w:sz w:val="22"/>
          <w:szCs w:val="22"/>
        </w:rPr>
        <w:t>i</w:t>
      </w:r>
      <w:r w:rsidRPr="000F54B7">
        <w:rPr>
          <w:rFonts w:ascii="Andes" w:hAnsi="Andes" w:cs="Arial"/>
          <w:sz w:val="22"/>
          <w:szCs w:val="22"/>
        </w:rPr>
        <w:t xml:space="preserve">ations. </w:t>
      </w:r>
      <w:r>
        <w:rPr>
          <w:rFonts w:ascii="Andes" w:hAnsi="Andes" w:cs="Arial"/>
          <w:sz w:val="22"/>
          <w:szCs w:val="22"/>
        </w:rPr>
        <w:t xml:space="preserve">La publication d’un </w:t>
      </w:r>
      <w:r w:rsidRPr="000F54B7">
        <w:rPr>
          <w:rFonts w:ascii="Andes" w:hAnsi="Andes" w:cs="Arial"/>
          <w:sz w:val="22"/>
          <w:szCs w:val="22"/>
        </w:rPr>
        <w:t>avis d’AMI</w:t>
      </w:r>
      <w:r>
        <w:rPr>
          <w:rFonts w:ascii="Andes" w:hAnsi="Andes" w:cs="Arial"/>
          <w:sz w:val="22"/>
          <w:szCs w:val="22"/>
        </w:rPr>
        <w:t xml:space="preserve"> n’est pas obligatoire</w:t>
      </w:r>
      <w:r w:rsidRPr="000F54B7">
        <w:rPr>
          <w:rFonts w:ascii="Andes" w:hAnsi="Andes" w:cs="Arial"/>
          <w:sz w:val="22"/>
          <w:szCs w:val="22"/>
        </w:rPr>
        <w:t>.</w:t>
      </w:r>
    </w:p>
    <w:p w14:paraId="6F649854" w14:textId="77777777" w:rsidR="006D600B" w:rsidRPr="000F54B7" w:rsidRDefault="006D600B" w:rsidP="006D600B">
      <w:pPr>
        <w:pStyle w:val="Paragraphedeliste"/>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La méthode SQC convient dans le cas de </w:t>
      </w:r>
      <w:r>
        <w:rPr>
          <w:rFonts w:ascii="Andes" w:hAnsi="Andes" w:cs="Arial"/>
          <w:sz w:val="22"/>
          <w:szCs w:val="22"/>
        </w:rPr>
        <w:t xml:space="preserve">contrats </w:t>
      </w:r>
      <w:r w:rsidRPr="000F54B7">
        <w:rPr>
          <w:rFonts w:ascii="Andes" w:hAnsi="Andes" w:cs="Arial"/>
          <w:sz w:val="22"/>
          <w:szCs w:val="22"/>
        </w:rPr>
        <w:t>d’un faible montant ou de Situations d’Urgence pour l</w:t>
      </w:r>
      <w:r>
        <w:rPr>
          <w:rFonts w:ascii="Andes" w:hAnsi="Andes" w:cs="Arial"/>
          <w:sz w:val="22"/>
          <w:szCs w:val="22"/>
        </w:rPr>
        <w:t>esquelles il n’est pas justifié</w:t>
      </w:r>
      <w:r w:rsidRPr="000F54B7">
        <w:rPr>
          <w:rFonts w:ascii="Andes" w:hAnsi="Andes" w:cs="Arial"/>
          <w:sz w:val="22"/>
          <w:szCs w:val="22"/>
        </w:rPr>
        <w:t xml:space="preserve"> de faire établir et d’évaluer des Propositions concurrentes.</w:t>
      </w:r>
    </w:p>
    <w:p w14:paraId="0134B027" w14:textId="77777777" w:rsidR="006D600B" w:rsidRPr="000F54B7" w:rsidRDefault="006D600B" w:rsidP="006D600B">
      <w:pPr>
        <w:spacing w:before="240" w:line="240" w:lineRule="auto"/>
        <w:contextualSpacing w:val="0"/>
        <w:rPr>
          <w:rFonts w:ascii="Andes" w:hAnsi="Andes"/>
          <w:sz w:val="28"/>
        </w:rPr>
      </w:pPr>
      <w:bookmarkStart w:id="3356" w:name="_Toc453170933"/>
      <w:r>
        <w:rPr>
          <w:rFonts w:ascii="Andes" w:hAnsi="Andes"/>
          <w:b/>
          <w:sz w:val="28"/>
          <w:szCs w:val="28"/>
        </w:rPr>
        <w:t>Sélection</w:t>
      </w:r>
      <w:r w:rsidRPr="000F54B7">
        <w:rPr>
          <w:rFonts w:ascii="Andes" w:hAnsi="Andes"/>
          <w:b/>
          <w:sz w:val="28"/>
          <w:szCs w:val="28"/>
        </w:rPr>
        <w:t xml:space="preserve"> directe</w:t>
      </w:r>
      <w:bookmarkEnd w:id="3356"/>
    </w:p>
    <w:p w14:paraId="5D566F5B" w14:textId="46FC2680" w:rsidR="006D600B" w:rsidRDefault="006D600B" w:rsidP="006D600B">
      <w:pPr>
        <w:pStyle w:val="Paragraphedeliste"/>
        <w:numPr>
          <w:ilvl w:val="0"/>
          <w:numId w:val="124"/>
        </w:numPr>
        <w:spacing w:before="0" w:line="240" w:lineRule="auto"/>
        <w:ind w:left="634" w:hanging="634"/>
        <w:contextualSpacing w:val="0"/>
        <w:rPr>
          <w:rFonts w:ascii="Andes" w:hAnsi="Andes" w:cs="Arial"/>
          <w:sz w:val="22"/>
          <w:szCs w:val="22"/>
        </w:rPr>
      </w:pPr>
      <w:r>
        <w:rPr>
          <w:rFonts w:ascii="Andes" w:hAnsi="Andes" w:cs="Arial"/>
          <w:sz w:val="22"/>
          <w:szCs w:val="22"/>
        </w:rPr>
        <w:t>La méthode de la sélection direct</w:t>
      </w:r>
      <w:r w:rsidR="004F3FFB">
        <w:rPr>
          <w:rFonts w:ascii="Andes" w:hAnsi="Andes" w:cs="Arial"/>
          <w:sz w:val="22"/>
          <w:szCs w:val="22"/>
        </w:rPr>
        <w:t>e</w:t>
      </w:r>
      <w:r>
        <w:rPr>
          <w:rFonts w:ascii="Andes" w:hAnsi="Andes" w:cs="Arial"/>
          <w:sz w:val="22"/>
          <w:szCs w:val="22"/>
        </w:rPr>
        <w:t xml:space="preserve"> (ou entente directe), qui consiste à contacter et négocier avec un seul cabinet, peut s’imposer pour des raisons de proportionnalité, d’adaptation à l’objectif visé et d’optimisation des ressources. Cette méthode peut convenir lorsqu’un seul cabinet est qualifié, qu’un cabinet possède une expérience inégalée pour la mission, ou que la préférence donnée à un cabinet en particulier est justifiée.</w:t>
      </w:r>
    </w:p>
    <w:p w14:paraId="57FACFD3" w14:textId="77777777" w:rsidR="006D600B" w:rsidRPr="000F54B7" w:rsidRDefault="006D600B" w:rsidP="006D600B">
      <w:pPr>
        <w:pStyle w:val="Paragraphedeliste"/>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L</w:t>
      </w:r>
      <w:r>
        <w:rPr>
          <w:rFonts w:ascii="Andes" w:hAnsi="Andes" w:cs="Arial"/>
          <w:sz w:val="22"/>
          <w:szCs w:val="22"/>
        </w:rPr>
        <w:t xml:space="preserve">a sélection </w:t>
      </w:r>
      <w:r w:rsidRPr="000F54B7">
        <w:rPr>
          <w:rFonts w:ascii="Andes" w:hAnsi="Andes" w:cs="Arial"/>
          <w:sz w:val="22"/>
          <w:szCs w:val="22"/>
        </w:rPr>
        <w:t>directe peut convenir dans les situations suivantes :</w:t>
      </w:r>
    </w:p>
    <w:p w14:paraId="4C03A7D2" w14:textId="77777777" w:rsidR="006D600B" w:rsidRPr="000F54B7" w:rsidRDefault="006D600B" w:rsidP="006D600B">
      <w:pPr>
        <w:pStyle w:val="Paragraphedeliste"/>
        <w:numPr>
          <w:ilvl w:val="0"/>
          <w:numId w:val="183"/>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un marché existant pour des Services de Consultants, y compris un marché non financé à l’origine par la Banque mais attribué selon des procédures </w:t>
      </w:r>
      <w:r>
        <w:rPr>
          <w:rFonts w:ascii="Andes" w:eastAsiaTheme="minorHAnsi" w:hAnsi="Andes" w:cs="Arial"/>
          <w:color w:val="000000"/>
          <w:sz w:val="22"/>
          <w:szCs w:val="22"/>
        </w:rPr>
        <w:t xml:space="preserve">jugées </w:t>
      </w:r>
      <w:r w:rsidRPr="000F54B7">
        <w:rPr>
          <w:rFonts w:ascii="Andes" w:eastAsiaTheme="minorHAnsi" w:hAnsi="Andes" w:cs="Arial"/>
          <w:color w:val="000000"/>
          <w:sz w:val="22"/>
          <w:szCs w:val="22"/>
        </w:rPr>
        <w:t xml:space="preserve">acceptables par elle, peut </w:t>
      </w:r>
      <w:r w:rsidRPr="000F54B7">
        <w:rPr>
          <w:rFonts w:ascii="Andes" w:eastAsiaTheme="minorHAnsi" w:hAnsi="Andes" w:cs="Arial"/>
          <w:color w:val="000000"/>
          <w:sz w:val="22"/>
          <w:szCs w:val="22"/>
        </w:rPr>
        <w:lastRenderedPageBreak/>
        <w:t xml:space="preserve">être </w:t>
      </w:r>
      <w:r>
        <w:rPr>
          <w:rFonts w:ascii="Andes" w:eastAsiaTheme="minorHAnsi" w:hAnsi="Andes" w:cs="Arial"/>
          <w:color w:val="000000"/>
          <w:sz w:val="22"/>
          <w:szCs w:val="22"/>
        </w:rPr>
        <w:t xml:space="preserve">reconduit </w:t>
      </w:r>
      <w:r w:rsidRPr="000F54B7">
        <w:rPr>
          <w:rFonts w:ascii="Andes" w:eastAsiaTheme="minorHAnsi" w:hAnsi="Andes" w:cs="Arial"/>
          <w:color w:val="000000"/>
          <w:sz w:val="22"/>
          <w:szCs w:val="22"/>
        </w:rPr>
        <w:t>pour des Services de Consultants supplémentaires de même nature, s’il est convenablement justifié, si une mise en concurrence n’apporterait aucun avantage, et si les prix sont raisonnables ;</w:t>
      </w:r>
    </w:p>
    <w:p w14:paraId="4349F8C8" w14:textId="77777777" w:rsidR="006D600B" w:rsidRPr="000F54B7" w:rsidRDefault="006D600B" w:rsidP="006D600B">
      <w:pPr>
        <w:pStyle w:val="Paragraphedeliste"/>
        <w:numPr>
          <w:ilvl w:val="0"/>
          <w:numId w:val="183"/>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pour les missions qui sont le prolongement naturel de travaux exécutés précédemment par un Consultant durant les 12 derniers mois, lorsqu’il peut être préférable de reconduire ce Consultant dans ses fonctions plutôt que de faire à nouveau appel à la concurrence, pour bénéficier de la même </w:t>
      </w:r>
      <w:r>
        <w:rPr>
          <w:rFonts w:ascii="Andes" w:eastAsiaTheme="minorHAnsi" w:hAnsi="Andes" w:cs="Arial"/>
          <w:color w:val="000000"/>
          <w:sz w:val="22"/>
          <w:szCs w:val="22"/>
        </w:rPr>
        <w:t xml:space="preserve">approche </w:t>
      </w:r>
      <w:r w:rsidRPr="000F54B7">
        <w:rPr>
          <w:rFonts w:ascii="Andes" w:eastAsiaTheme="minorHAnsi" w:hAnsi="Andes" w:cs="Arial"/>
          <w:color w:val="000000"/>
          <w:sz w:val="22"/>
          <w:szCs w:val="22"/>
        </w:rPr>
        <w:t>technique, de l’expérience acquise et du maintien de sa responsabilité professionnelle, à condition que la ou des missions précédentes aient été menées à bien de façon satisfaisante ;</w:t>
      </w:r>
    </w:p>
    <w:p w14:paraId="07D9F42A" w14:textId="77777777" w:rsidR="006D600B" w:rsidRPr="000F54B7" w:rsidRDefault="006D600B" w:rsidP="006D600B">
      <w:pPr>
        <w:pStyle w:val="Paragraphedeliste"/>
        <w:numPr>
          <w:ilvl w:val="0"/>
          <w:numId w:val="183"/>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la nécessité de réengager une entreprise ayant exécuté un précédent </w:t>
      </w:r>
      <w:r>
        <w:rPr>
          <w:rFonts w:ascii="Andes" w:eastAsiaTheme="minorHAnsi" w:hAnsi="Andes" w:cs="Arial"/>
          <w:color w:val="000000"/>
          <w:sz w:val="22"/>
          <w:szCs w:val="22"/>
        </w:rPr>
        <w:t xml:space="preserve">contrat </w:t>
      </w:r>
      <w:r w:rsidRPr="000F54B7">
        <w:rPr>
          <w:rFonts w:ascii="Andes" w:eastAsiaTheme="minorHAnsi" w:hAnsi="Andes" w:cs="Arial"/>
          <w:color w:val="000000"/>
          <w:sz w:val="22"/>
          <w:szCs w:val="22"/>
        </w:rPr>
        <w:t xml:space="preserve">conclu avec l’Emprunteur pour la fourniture du même type de Service de Consultants se justifie. Il convient de prouver que l’entreprise a donné des résultats satisfaisants dans le cadre du </w:t>
      </w:r>
      <w:r>
        <w:rPr>
          <w:rFonts w:ascii="Andes" w:eastAsiaTheme="minorHAnsi" w:hAnsi="Andes" w:cs="Arial"/>
          <w:color w:val="000000"/>
          <w:sz w:val="22"/>
          <w:szCs w:val="22"/>
        </w:rPr>
        <w:t xml:space="preserve">contrat </w:t>
      </w:r>
      <w:r w:rsidRPr="000F54B7">
        <w:rPr>
          <w:rFonts w:ascii="Andes" w:eastAsiaTheme="minorHAnsi" w:hAnsi="Andes" w:cs="Arial"/>
          <w:color w:val="000000"/>
          <w:sz w:val="22"/>
          <w:szCs w:val="22"/>
        </w:rPr>
        <w:t>précédent, qu’une mise en concurrence n’apporterait aucun avantage, et que les prix sont raisonnables ;</w:t>
      </w:r>
    </w:p>
    <w:p w14:paraId="4F78AB20" w14:textId="77777777" w:rsidR="006D600B" w:rsidRPr="000F54B7" w:rsidRDefault="006D600B" w:rsidP="006D600B">
      <w:pPr>
        <w:pStyle w:val="Paragraphedeliste"/>
        <w:numPr>
          <w:ilvl w:val="0"/>
          <w:numId w:val="183"/>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le</w:t>
      </w:r>
      <w:r>
        <w:rPr>
          <w:rFonts w:ascii="Andes" w:eastAsiaTheme="minorHAnsi" w:hAnsi="Andes" w:cs="Arial"/>
          <w:color w:val="000000"/>
          <w:sz w:val="22"/>
          <w:szCs w:val="22"/>
        </w:rPr>
        <w:t xml:space="preserve"> contrat est </w:t>
      </w:r>
      <w:r w:rsidRPr="000F54B7">
        <w:rPr>
          <w:rFonts w:ascii="Andes" w:eastAsiaTheme="minorHAnsi" w:hAnsi="Andes" w:cs="Arial"/>
          <w:color w:val="000000"/>
          <w:sz w:val="22"/>
          <w:szCs w:val="22"/>
        </w:rPr>
        <w:t xml:space="preserve">à la fois d’un montant très faible et peu </w:t>
      </w:r>
      <w:r>
        <w:rPr>
          <w:rFonts w:ascii="Andes" w:eastAsiaTheme="minorHAnsi" w:hAnsi="Andes" w:cs="Arial"/>
          <w:color w:val="000000"/>
          <w:sz w:val="22"/>
          <w:szCs w:val="22"/>
        </w:rPr>
        <w:t>risqué</w:t>
      </w:r>
      <w:r w:rsidRPr="000F54B7">
        <w:rPr>
          <w:rFonts w:ascii="Andes" w:eastAsiaTheme="minorHAnsi" w:hAnsi="Andes" w:cs="Arial"/>
          <w:color w:val="000000"/>
          <w:sz w:val="22"/>
          <w:szCs w:val="22"/>
        </w:rPr>
        <w:t>, comme convenu dans le Plan de Passation des Marchés ;</w:t>
      </w:r>
    </w:p>
    <w:p w14:paraId="6349C97B" w14:textId="77777777" w:rsidR="006D600B" w:rsidRPr="000F54B7" w:rsidRDefault="006D600B" w:rsidP="006D600B">
      <w:pPr>
        <w:pStyle w:val="Paragraphedeliste"/>
        <w:numPr>
          <w:ilvl w:val="0"/>
          <w:numId w:val="183"/>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dans des cas exceptionnels, par exemple face à des Situations d’Urgence ;</w:t>
      </w:r>
    </w:p>
    <w:p w14:paraId="20C3723D" w14:textId="77777777" w:rsidR="006D600B" w:rsidRPr="000F54B7" w:rsidRDefault="006D600B" w:rsidP="006D600B">
      <w:pPr>
        <w:pStyle w:val="Paragraphedeliste"/>
        <w:numPr>
          <w:ilvl w:val="0"/>
          <w:numId w:val="183"/>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un</w:t>
      </w:r>
      <w:r>
        <w:rPr>
          <w:rFonts w:ascii="Andes" w:eastAsiaTheme="minorHAnsi" w:hAnsi="Andes" w:cs="Arial"/>
          <w:color w:val="000000"/>
          <w:sz w:val="22"/>
          <w:szCs w:val="22"/>
        </w:rPr>
        <w:t xml:space="preserve"> seul</w:t>
      </w:r>
      <w:r w:rsidRPr="000F54B7">
        <w:rPr>
          <w:rFonts w:ascii="Andes" w:eastAsiaTheme="minorHAnsi" w:hAnsi="Andes" w:cs="Arial"/>
          <w:color w:val="000000"/>
          <w:sz w:val="22"/>
          <w:szCs w:val="22"/>
        </w:rPr>
        <w:t xml:space="preserve"> </w:t>
      </w:r>
      <w:r>
        <w:rPr>
          <w:rFonts w:ascii="Andes" w:eastAsiaTheme="minorHAnsi" w:hAnsi="Andes" w:cs="Arial"/>
          <w:color w:val="000000"/>
          <w:sz w:val="22"/>
          <w:szCs w:val="22"/>
        </w:rPr>
        <w:t xml:space="preserve">cabinet </w:t>
      </w:r>
      <w:r w:rsidRPr="000F54B7">
        <w:rPr>
          <w:rFonts w:ascii="Andes" w:eastAsiaTheme="minorHAnsi" w:hAnsi="Andes" w:cs="Arial"/>
          <w:color w:val="000000"/>
          <w:sz w:val="22"/>
          <w:szCs w:val="22"/>
        </w:rPr>
        <w:t xml:space="preserve">possède les qualifications voulues ou présente une expérience d’un intérêt exceptionnel pour la mission considérée ; </w:t>
      </w:r>
    </w:p>
    <w:p w14:paraId="05025FFC" w14:textId="6FE27E14" w:rsidR="006D600B" w:rsidRPr="000F54B7" w:rsidRDefault="006D600B" w:rsidP="006D600B">
      <w:pPr>
        <w:pStyle w:val="Paragraphedeliste"/>
        <w:numPr>
          <w:ilvl w:val="0"/>
          <w:numId w:val="183"/>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les Services de Consulta</w:t>
      </w:r>
      <w:r>
        <w:rPr>
          <w:rFonts w:ascii="Andes" w:eastAsiaTheme="minorHAnsi" w:hAnsi="Andes" w:cs="Arial"/>
          <w:color w:val="000000"/>
          <w:sz w:val="22"/>
          <w:szCs w:val="22"/>
        </w:rPr>
        <w:t>n</w:t>
      </w:r>
      <w:r w:rsidRPr="000F54B7">
        <w:rPr>
          <w:rFonts w:ascii="Andes" w:eastAsiaTheme="minorHAnsi" w:hAnsi="Andes" w:cs="Arial"/>
          <w:color w:val="000000"/>
          <w:sz w:val="22"/>
          <w:szCs w:val="22"/>
        </w:rPr>
        <w:t>ts fournis dans le pays de l’Emprunteur par une EIP, une université, un centre de recherches ou une institution du pays de l’</w:t>
      </w:r>
      <w:r>
        <w:rPr>
          <w:rFonts w:ascii="Andes" w:eastAsiaTheme="minorHAnsi" w:hAnsi="Andes" w:cs="Arial"/>
          <w:color w:val="000000"/>
          <w:sz w:val="22"/>
          <w:szCs w:val="22"/>
        </w:rPr>
        <w:t>E</w:t>
      </w:r>
      <w:r w:rsidRPr="000F54B7">
        <w:rPr>
          <w:rFonts w:ascii="Andes" w:eastAsiaTheme="minorHAnsi" w:hAnsi="Andes" w:cs="Arial"/>
          <w:color w:val="000000"/>
          <w:sz w:val="22"/>
          <w:szCs w:val="22"/>
        </w:rPr>
        <w:t xml:space="preserve">mprunteur sont d’une nature unique et exceptionnelle, conformément aux dispositions du </w:t>
      </w:r>
      <w:r w:rsidR="00367F47">
        <w:rPr>
          <w:rFonts w:ascii="Andes" w:eastAsiaTheme="minorHAnsi" w:hAnsi="Andes" w:cs="Arial"/>
          <w:color w:val="000000"/>
          <w:sz w:val="22"/>
          <w:szCs w:val="22"/>
        </w:rPr>
        <w:t>P</w:t>
      </w:r>
      <w:r w:rsidRPr="000F54B7">
        <w:rPr>
          <w:rFonts w:ascii="Andes" w:eastAsiaTheme="minorHAnsi" w:hAnsi="Andes" w:cs="Arial"/>
          <w:color w:val="000000"/>
          <w:sz w:val="22"/>
          <w:szCs w:val="22"/>
        </w:rPr>
        <w:t>aragraphe 3.2</w:t>
      </w:r>
      <w:r w:rsidR="00367F47">
        <w:rPr>
          <w:rFonts w:ascii="Andes" w:eastAsiaTheme="minorHAnsi" w:hAnsi="Andes" w:cs="Arial"/>
          <w:color w:val="000000"/>
          <w:sz w:val="22"/>
          <w:szCs w:val="22"/>
        </w:rPr>
        <w:t>2</w:t>
      </w:r>
      <w:r w:rsidRPr="000F54B7">
        <w:rPr>
          <w:rFonts w:ascii="Andes" w:eastAsiaTheme="minorHAnsi" w:hAnsi="Andes" w:cs="Arial"/>
          <w:color w:val="000000"/>
          <w:sz w:val="22"/>
          <w:szCs w:val="22"/>
        </w:rPr>
        <w:t xml:space="preserve"> c. ; ou</w:t>
      </w:r>
    </w:p>
    <w:p w14:paraId="47290782" w14:textId="5F0BC47E" w:rsidR="006D600B" w:rsidRPr="000F54B7" w:rsidRDefault="006D600B" w:rsidP="006D600B">
      <w:pPr>
        <w:pStyle w:val="Paragraphedeliste"/>
        <w:numPr>
          <w:ilvl w:val="0"/>
          <w:numId w:val="183"/>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sélection directe d’</w:t>
      </w:r>
      <w:r w:rsidRPr="000F54B7">
        <w:rPr>
          <w:rFonts w:ascii="Andes" w:eastAsiaTheme="minorHAnsi" w:hAnsi="Andes" w:cs="Arial"/>
          <w:color w:val="000000"/>
          <w:sz w:val="22"/>
          <w:szCs w:val="22"/>
        </w:rPr>
        <w:t xml:space="preserve">une institution des Nations Unies conformément aux dispositions des </w:t>
      </w:r>
      <w:r w:rsidR="00367F47">
        <w:rPr>
          <w:rFonts w:ascii="Andes" w:eastAsiaTheme="minorHAnsi" w:hAnsi="Andes" w:cs="Arial"/>
          <w:color w:val="000000"/>
          <w:sz w:val="22"/>
          <w:szCs w:val="22"/>
        </w:rPr>
        <w:t>P</w:t>
      </w:r>
      <w:r w:rsidRPr="000F54B7">
        <w:rPr>
          <w:rFonts w:ascii="Andes" w:eastAsiaTheme="minorHAnsi" w:hAnsi="Andes" w:cs="Arial"/>
          <w:color w:val="000000"/>
          <w:sz w:val="22"/>
          <w:szCs w:val="22"/>
        </w:rPr>
        <w:t>aragraphes 7.27 et 7.28.</w:t>
      </w:r>
    </w:p>
    <w:p w14:paraId="0C11F294" w14:textId="77777777" w:rsidR="006D600B" w:rsidRPr="000F54B7" w:rsidRDefault="006D600B" w:rsidP="006D600B">
      <w:pPr>
        <w:pStyle w:val="Paragraphedeliste"/>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Dans tous les cas d</w:t>
      </w:r>
      <w:r>
        <w:rPr>
          <w:rFonts w:ascii="Andes" w:hAnsi="Andes" w:cs="Arial"/>
          <w:sz w:val="22"/>
          <w:szCs w:val="22"/>
        </w:rPr>
        <w:t xml:space="preserve">e sélection </w:t>
      </w:r>
      <w:r w:rsidRPr="000F54B7">
        <w:rPr>
          <w:rFonts w:ascii="Andes" w:hAnsi="Andes" w:cs="Arial"/>
          <w:sz w:val="22"/>
          <w:szCs w:val="22"/>
        </w:rPr>
        <w:t xml:space="preserve">directe, l’Emprunteur doit assurer le caractère juste et équitable du processus et avoir en place des procédures permettant de garantir que : </w:t>
      </w:r>
    </w:p>
    <w:p w14:paraId="2793BDE8" w14:textId="77777777" w:rsidR="006D600B" w:rsidRPr="000F54B7" w:rsidRDefault="006D600B" w:rsidP="006D600B">
      <w:pPr>
        <w:pStyle w:val="Paragraphedeliste"/>
        <w:numPr>
          <w:ilvl w:val="0"/>
          <w:numId w:val="184"/>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les prix sont raisonnables et </w:t>
      </w:r>
      <w:r>
        <w:rPr>
          <w:rFonts w:ascii="Andes" w:eastAsiaTheme="minorHAnsi" w:hAnsi="Andes" w:cs="Arial"/>
          <w:color w:val="000000"/>
          <w:sz w:val="22"/>
          <w:szCs w:val="22"/>
        </w:rPr>
        <w:t xml:space="preserve">conformes </w:t>
      </w:r>
      <w:r w:rsidRPr="000F54B7">
        <w:rPr>
          <w:rFonts w:ascii="Andes" w:eastAsiaTheme="minorHAnsi" w:hAnsi="Andes" w:cs="Arial"/>
          <w:color w:val="000000"/>
          <w:sz w:val="22"/>
          <w:szCs w:val="22"/>
        </w:rPr>
        <w:t>aux prix du marché pour des services de même nature ; et</w:t>
      </w:r>
    </w:p>
    <w:p w14:paraId="69E93237" w14:textId="77777777" w:rsidR="006D600B" w:rsidRDefault="006D600B" w:rsidP="006D600B">
      <w:pPr>
        <w:pStyle w:val="Paragraphedeliste"/>
        <w:numPr>
          <w:ilvl w:val="0"/>
          <w:numId w:val="184"/>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les Services de Consultants </w:t>
      </w:r>
      <w:r>
        <w:rPr>
          <w:rFonts w:ascii="Andes" w:eastAsiaTheme="minorHAnsi" w:hAnsi="Andes" w:cs="Arial"/>
          <w:color w:val="000000"/>
          <w:sz w:val="22"/>
          <w:szCs w:val="22"/>
        </w:rPr>
        <w:t xml:space="preserve">demandés </w:t>
      </w:r>
      <w:r w:rsidRPr="000F54B7">
        <w:rPr>
          <w:rFonts w:ascii="Andes" w:eastAsiaTheme="minorHAnsi" w:hAnsi="Andes" w:cs="Arial"/>
          <w:color w:val="000000"/>
          <w:sz w:val="22"/>
          <w:szCs w:val="22"/>
        </w:rPr>
        <w:t xml:space="preserve">ne sont pas divisés en </w:t>
      </w:r>
      <w:r>
        <w:rPr>
          <w:rFonts w:ascii="Andes" w:eastAsiaTheme="minorHAnsi" w:hAnsi="Andes" w:cs="Arial"/>
          <w:color w:val="000000"/>
          <w:sz w:val="22"/>
          <w:szCs w:val="22"/>
        </w:rPr>
        <w:t xml:space="preserve">contrats </w:t>
      </w:r>
      <w:r w:rsidRPr="000F54B7">
        <w:rPr>
          <w:rFonts w:ascii="Andes" w:eastAsiaTheme="minorHAnsi" w:hAnsi="Andes" w:cs="Arial"/>
          <w:color w:val="000000"/>
          <w:sz w:val="22"/>
          <w:szCs w:val="22"/>
        </w:rPr>
        <w:t>de plus petite taille dans le but d’éviter une mise en concurrence.</w:t>
      </w:r>
    </w:p>
    <w:p w14:paraId="32384604" w14:textId="77777777" w:rsidR="006D600B" w:rsidRPr="000F54B7" w:rsidRDefault="006D600B" w:rsidP="00224493">
      <w:pPr>
        <w:pStyle w:val="Style2"/>
        <w:keepNext/>
        <w:keepLines/>
        <w:widowControl/>
        <w:tabs>
          <w:tab w:val="left" w:pos="1710"/>
        </w:tabs>
        <w:autoSpaceDE/>
        <w:autoSpaceDN/>
        <w:adjustRightInd/>
        <w:spacing w:before="240" w:after="120" w:line="259" w:lineRule="auto"/>
        <w:contextualSpacing w:val="0"/>
        <w:outlineLvl w:val="0"/>
        <w:rPr>
          <w:rFonts w:ascii="Andes" w:eastAsiaTheme="majorEastAsia" w:hAnsi="Andes" w:cstheme="majorBidi"/>
          <w:bCs w:val="0"/>
          <w:color w:val="C45911"/>
          <w:sz w:val="32"/>
          <w:szCs w:val="32"/>
        </w:rPr>
      </w:pPr>
      <w:bookmarkStart w:id="3357" w:name="_Toc453170934"/>
      <w:bookmarkStart w:id="3358" w:name="_Toc453544323"/>
      <w:r w:rsidRPr="000F54B7">
        <w:rPr>
          <w:rFonts w:ascii="Andes" w:eastAsiaTheme="majorEastAsia" w:hAnsi="Andes" w:cstheme="majorBidi"/>
          <w:bCs w:val="0"/>
          <w:color w:val="C45911"/>
          <w:sz w:val="32"/>
          <w:szCs w:val="32"/>
        </w:rPr>
        <w:t xml:space="preserve">Procédures de sélection </w:t>
      </w:r>
      <w:r>
        <w:rPr>
          <w:rFonts w:ascii="Andes" w:eastAsiaTheme="majorEastAsia" w:hAnsi="Andes" w:cstheme="majorBidi"/>
          <w:bCs w:val="0"/>
          <w:color w:val="C45911"/>
          <w:sz w:val="32"/>
          <w:szCs w:val="32"/>
        </w:rPr>
        <w:t>de cabinets de c</w:t>
      </w:r>
      <w:r w:rsidRPr="000F54B7">
        <w:rPr>
          <w:rFonts w:ascii="Andes" w:eastAsiaTheme="majorEastAsia" w:hAnsi="Andes" w:cstheme="majorBidi"/>
          <w:bCs w:val="0"/>
          <w:color w:val="C45911"/>
          <w:sz w:val="32"/>
          <w:szCs w:val="32"/>
        </w:rPr>
        <w:t>onsultants</w:t>
      </w:r>
      <w:bookmarkEnd w:id="3357"/>
      <w:bookmarkEnd w:id="3358"/>
    </w:p>
    <w:p w14:paraId="33E2DFB8" w14:textId="77777777" w:rsidR="006D600B" w:rsidRPr="000F54B7" w:rsidRDefault="006D600B" w:rsidP="00224493">
      <w:pPr>
        <w:keepNext/>
        <w:rPr>
          <w:rFonts w:ascii="Andes" w:hAnsi="Andes"/>
          <w:sz w:val="28"/>
        </w:rPr>
      </w:pPr>
      <w:bookmarkStart w:id="3359" w:name="_Toc453170935"/>
      <w:r w:rsidRPr="000F54B7">
        <w:rPr>
          <w:rFonts w:ascii="Andes" w:hAnsi="Andes"/>
          <w:b/>
          <w:sz w:val="28"/>
          <w:szCs w:val="28"/>
        </w:rPr>
        <w:t>Présélection</w:t>
      </w:r>
      <w:bookmarkEnd w:id="3359"/>
    </w:p>
    <w:p w14:paraId="21AD6EA3" w14:textId="77777777" w:rsidR="006D600B" w:rsidRPr="000F54B7" w:rsidRDefault="006D600B" w:rsidP="006D600B">
      <w:pPr>
        <w:pStyle w:val="Paragraphedeliste"/>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En dehors de la méthode SQC et de </w:t>
      </w:r>
      <w:r>
        <w:rPr>
          <w:rFonts w:ascii="Andes" w:hAnsi="Andes" w:cs="Arial"/>
          <w:sz w:val="22"/>
          <w:szCs w:val="22"/>
        </w:rPr>
        <w:t xml:space="preserve">la sélection </w:t>
      </w:r>
      <w:r w:rsidRPr="000F54B7">
        <w:rPr>
          <w:rFonts w:ascii="Andes" w:hAnsi="Andes" w:cs="Arial"/>
          <w:sz w:val="22"/>
          <w:szCs w:val="22"/>
        </w:rPr>
        <w:t xml:space="preserve">directe, toutes les méthodes de sélection nécessitent </w:t>
      </w:r>
      <w:r>
        <w:rPr>
          <w:rFonts w:ascii="Andes" w:hAnsi="Andes" w:cs="Arial"/>
          <w:sz w:val="22"/>
          <w:szCs w:val="22"/>
        </w:rPr>
        <w:t xml:space="preserve">de procéder à </w:t>
      </w:r>
      <w:r w:rsidRPr="000F54B7">
        <w:rPr>
          <w:rFonts w:ascii="Andes" w:hAnsi="Andes" w:cs="Arial"/>
          <w:sz w:val="22"/>
          <w:szCs w:val="22"/>
        </w:rPr>
        <w:t xml:space="preserve">une Présélection des </w:t>
      </w:r>
      <w:r>
        <w:rPr>
          <w:rFonts w:ascii="Andes" w:hAnsi="Andes" w:cs="Arial"/>
          <w:sz w:val="22"/>
          <w:szCs w:val="22"/>
        </w:rPr>
        <w:t xml:space="preserve">cabinets </w:t>
      </w:r>
      <w:r w:rsidRPr="000F54B7">
        <w:rPr>
          <w:rFonts w:ascii="Andes" w:hAnsi="Andes" w:cs="Arial"/>
          <w:sz w:val="22"/>
          <w:szCs w:val="22"/>
        </w:rPr>
        <w:t xml:space="preserve">qui concourront pour le marché des Services de Consultants. L’Emprunteur établit une </w:t>
      </w:r>
      <w:r w:rsidRPr="00CB3B3F">
        <w:rPr>
          <w:rFonts w:ascii="Andes" w:hAnsi="Andes" w:cs="Arial"/>
          <w:sz w:val="22"/>
          <w:szCs w:val="22"/>
        </w:rPr>
        <w:t>Présélection</w:t>
      </w:r>
      <w:r w:rsidRPr="000F54B7">
        <w:rPr>
          <w:rFonts w:ascii="Andes" w:hAnsi="Andes" w:cs="Arial"/>
          <w:sz w:val="22"/>
          <w:szCs w:val="22"/>
        </w:rPr>
        <w:t xml:space="preserve"> </w:t>
      </w:r>
      <w:r>
        <w:rPr>
          <w:rFonts w:ascii="Andes" w:hAnsi="Andes" w:cs="Arial"/>
          <w:sz w:val="22"/>
          <w:szCs w:val="22"/>
        </w:rPr>
        <w:t xml:space="preserve">de cabinets </w:t>
      </w:r>
      <w:r w:rsidRPr="000F54B7">
        <w:rPr>
          <w:rFonts w:ascii="Andes" w:hAnsi="Andes" w:cs="Arial"/>
          <w:sz w:val="22"/>
          <w:szCs w:val="22"/>
        </w:rPr>
        <w:t xml:space="preserve">qui ont manifesté leur intérêt et </w:t>
      </w:r>
      <w:r>
        <w:rPr>
          <w:rFonts w:ascii="Andes" w:hAnsi="Andes" w:cs="Arial"/>
          <w:sz w:val="22"/>
          <w:szCs w:val="22"/>
        </w:rPr>
        <w:t xml:space="preserve">qui </w:t>
      </w:r>
      <w:r w:rsidRPr="000F54B7">
        <w:rPr>
          <w:rFonts w:ascii="Andes" w:hAnsi="Andes" w:cs="Arial"/>
          <w:sz w:val="22"/>
          <w:szCs w:val="22"/>
        </w:rPr>
        <w:t xml:space="preserve">possèdent l’expérience et les capacités de gestion et d’organisation </w:t>
      </w:r>
      <w:r>
        <w:rPr>
          <w:rFonts w:ascii="Andes" w:hAnsi="Andes" w:cs="Arial"/>
          <w:sz w:val="22"/>
          <w:szCs w:val="22"/>
        </w:rPr>
        <w:t xml:space="preserve">appropriées </w:t>
      </w:r>
      <w:r w:rsidRPr="000F54B7">
        <w:rPr>
          <w:rFonts w:ascii="Andes" w:hAnsi="Andes" w:cs="Arial"/>
          <w:sz w:val="22"/>
          <w:szCs w:val="22"/>
        </w:rPr>
        <w:t>pour la mission.</w:t>
      </w:r>
    </w:p>
    <w:p w14:paraId="157A200F" w14:textId="77777777" w:rsidR="006D600B" w:rsidRPr="000F54B7" w:rsidRDefault="006D600B" w:rsidP="006D600B">
      <w:pPr>
        <w:pStyle w:val="Paragraphedeliste"/>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lastRenderedPageBreak/>
        <w:t xml:space="preserve">La </w:t>
      </w:r>
      <w:r w:rsidRPr="00CB3B3F">
        <w:rPr>
          <w:rFonts w:ascii="Andes" w:hAnsi="Andes" w:cs="Arial"/>
          <w:sz w:val="22"/>
          <w:szCs w:val="22"/>
        </w:rPr>
        <w:t xml:space="preserve">Présélection </w:t>
      </w:r>
      <w:r>
        <w:rPr>
          <w:rFonts w:ascii="Andes" w:hAnsi="Andes" w:cs="Arial"/>
          <w:sz w:val="22"/>
          <w:szCs w:val="22"/>
        </w:rPr>
        <w:t>se compose</w:t>
      </w:r>
      <w:r w:rsidRPr="000F54B7">
        <w:rPr>
          <w:rFonts w:ascii="Andes" w:hAnsi="Andes" w:cs="Arial"/>
          <w:sz w:val="22"/>
          <w:szCs w:val="22"/>
        </w:rPr>
        <w:t xml:space="preserve"> </w:t>
      </w:r>
      <w:r>
        <w:rPr>
          <w:rFonts w:ascii="Andes" w:hAnsi="Andes" w:cs="Arial"/>
          <w:sz w:val="22"/>
          <w:szCs w:val="22"/>
        </w:rPr>
        <w:t>d’</w:t>
      </w:r>
      <w:r w:rsidRPr="000F54B7">
        <w:rPr>
          <w:rFonts w:ascii="Andes" w:hAnsi="Andes" w:cs="Arial"/>
          <w:sz w:val="22"/>
          <w:szCs w:val="22"/>
        </w:rPr>
        <w:t xml:space="preserve">au moins cinq (5) et au plus huit (8) </w:t>
      </w:r>
      <w:r>
        <w:rPr>
          <w:rFonts w:ascii="Andes" w:hAnsi="Andes" w:cs="Arial"/>
          <w:sz w:val="22"/>
          <w:szCs w:val="22"/>
        </w:rPr>
        <w:t>cabinets répondant aux critères d’éligibilité</w:t>
      </w:r>
      <w:r w:rsidRPr="000F54B7">
        <w:rPr>
          <w:rFonts w:ascii="Andes" w:hAnsi="Andes" w:cs="Arial"/>
          <w:sz w:val="22"/>
          <w:szCs w:val="22"/>
        </w:rPr>
        <w:t xml:space="preserve">. La Banque peut accepter qu’un nombre inférieur </w:t>
      </w:r>
      <w:r>
        <w:rPr>
          <w:rFonts w:ascii="Andes" w:hAnsi="Andes" w:cs="Arial"/>
          <w:sz w:val="22"/>
          <w:szCs w:val="22"/>
        </w:rPr>
        <w:t xml:space="preserve">de cabinets </w:t>
      </w:r>
      <w:r w:rsidRPr="000F54B7">
        <w:rPr>
          <w:rFonts w:ascii="Andes" w:hAnsi="Andes" w:cs="Arial"/>
          <w:sz w:val="22"/>
          <w:szCs w:val="22"/>
        </w:rPr>
        <w:t xml:space="preserve">soit </w:t>
      </w:r>
      <w:r>
        <w:rPr>
          <w:rFonts w:ascii="Andes" w:hAnsi="Andes" w:cs="Arial"/>
          <w:sz w:val="22"/>
          <w:szCs w:val="22"/>
        </w:rPr>
        <w:t>Pré</w:t>
      </w:r>
      <w:r w:rsidRPr="000F54B7">
        <w:rPr>
          <w:rFonts w:ascii="Andes" w:hAnsi="Andes" w:cs="Arial"/>
          <w:sz w:val="22"/>
          <w:szCs w:val="22"/>
        </w:rPr>
        <w:t xml:space="preserve">sélectionné lorsque le nombre </w:t>
      </w:r>
      <w:r>
        <w:rPr>
          <w:rFonts w:ascii="Andes" w:hAnsi="Andes" w:cs="Arial"/>
          <w:sz w:val="22"/>
          <w:szCs w:val="22"/>
        </w:rPr>
        <w:t>de cabinets qualifié</w:t>
      </w:r>
      <w:r w:rsidRPr="000F54B7">
        <w:rPr>
          <w:rFonts w:ascii="Andes" w:hAnsi="Andes" w:cs="Arial"/>
          <w:sz w:val="22"/>
          <w:szCs w:val="22"/>
        </w:rPr>
        <w:t xml:space="preserve">s ayant manifesté leur intérêt pour la mission n’est pas suffisant, qu’il n’a pas été possible de recenser un nombre suffisant, ou que la taille du </w:t>
      </w:r>
      <w:r>
        <w:rPr>
          <w:rFonts w:ascii="Andes" w:hAnsi="Andes" w:cs="Arial"/>
          <w:sz w:val="22"/>
          <w:szCs w:val="22"/>
        </w:rPr>
        <w:t xml:space="preserve">contrat </w:t>
      </w:r>
      <w:r w:rsidRPr="000F54B7">
        <w:rPr>
          <w:rFonts w:ascii="Andes" w:hAnsi="Andes" w:cs="Arial"/>
          <w:sz w:val="22"/>
          <w:szCs w:val="22"/>
        </w:rPr>
        <w:t>ou la nature de la mission ne justifie pas une mise en concurrence plus étendue.</w:t>
      </w:r>
    </w:p>
    <w:p w14:paraId="092CA5D0" w14:textId="77777777" w:rsidR="006D600B" w:rsidRPr="000F54B7" w:rsidRDefault="006D600B" w:rsidP="006D600B">
      <w:pPr>
        <w:pStyle w:val="Paragraphedeliste"/>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En principe, les structures suivantes ne peuvent pas figurer dans la même </w:t>
      </w:r>
      <w:r w:rsidRPr="007557DA">
        <w:rPr>
          <w:rFonts w:ascii="Andes" w:hAnsi="Andes" w:cs="Arial"/>
          <w:sz w:val="22"/>
          <w:szCs w:val="22"/>
        </w:rPr>
        <w:t>Présélection</w:t>
      </w:r>
      <w:r w:rsidRPr="000F54B7">
        <w:rPr>
          <w:rFonts w:ascii="Andes" w:hAnsi="Andes" w:cs="Arial"/>
          <w:sz w:val="22"/>
          <w:szCs w:val="22"/>
        </w:rPr>
        <w:t xml:space="preserve"> que des </w:t>
      </w:r>
      <w:r>
        <w:rPr>
          <w:rFonts w:ascii="Andes" w:hAnsi="Andes" w:cs="Arial"/>
          <w:sz w:val="22"/>
          <w:szCs w:val="22"/>
        </w:rPr>
        <w:t xml:space="preserve">cabinets </w:t>
      </w:r>
      <w:r w:rsidRPr="000F54B7">
        <w:rPr>
          <w:rFonts w:ascii="Andes" w:hAnsi="Andes" w:cs="Arial"/>
          <w:sz w:val="22"/>
          <w:szCs w:val="22"/>
        </w:rPr>
        <w:t>privés :</w:t>
      </w:r>
    </w:p>
    <w:p w14:paraId="10E1BF2F" w14:textId="77777777" w:rsidR="006D600B" w:rsidRPr="000F54B7" w:rsidRDefault="006D600B" w:rsidP="006D600B">
      <w:pPr>
        <w:pStyle w:val="Paragraphedeliste"/>
        <w:numPr>
          <w:ilvl w:val="0"/>
          <w:numId w:val="185"/>
        </w:numPr>
        <w:spacing w:before="0" w:line="240" w:lineRule="auto"/>
        <w:contextualSpacing w:val="0"/>
        <w:rPr>
          <w:rFonts w:ascii="Andes" w:hAnsi="Andes" w:cs="Arial"/>
          <w:sz w:val="22"/>
          <w:szCs w:val="22"/>
        </w:rPr>
      </w:pPr>
      <w:r w:rsidRPr="000F54B7">
        <w:rPr>
          <w:rFonts w:ascii="Andes" w:eastAsiaTheme="minorHAnsi" w:hAnsi="Andes" w:cs="Arial"/>
          <w:color w:val="000000"/>
          <w:sz w:val="22"/>
          <w:szCs w:val="22"/>
        </w:rPr>
        <w:t xml:space="preserve">institutions des Nations Unies ; ou </w:t>
      </w:r>
    </w:p>
    <w:p w14:paraId="3F701E67" w14:textId="39D68F42" w:rsidR="006D600B" w:rsidRPr="000F54B7" w:rsidRDefault="00345EF8" w:rsidP="006D600B">
      <w:pPr>
        <w:pStyle w:val="Paragraphedeliste"/>
        <w:numPr>
          <w:ilvl w:val="0"/>
          <w:numId w:val="185"/>
        </w:numPr>
        <w:spacing w:before="0" w:line="240" w:lineRule="auto"/>
        <w:contextualSpacing w:val="0"/>
        <w:rPr>
          <w:rFonts w:ascii="Andes" w:hAnsi="Andes" w:cs="Arial"/>
          <w:sz w:val="22"/>
          <w:szCs w:val="22"/>
        </w:rPr>
      </w:pPr>
      <w:r>
        <w:rPr>
          <w:rFonts w:ascii="Andes" w:eastAsiaTheme="minorHAnsi" w:hAnsi="Andes" w:cs="Arial"/>
          <w:color w:val="000000"/>
          <w:sz w:val="22"/>
          <w:szCs w:val="22"/>
        </w:rPr>
        <w:t>entreprises/institutions publiques (</w:t>
      </w:r>
      <w:r w:rsidR="006D600B">
        <w:rPr>
          <w:rFonts w:ascii="Andes" w:eastAsiaTheme="minorHAnsi" w:hAnsi="Andes" w:cs="Arial"/>
          <w:color w:val="000000"/>
          <w:sz w:val="22"/>
          <w:szCs w:val="22"/>
        </w:rPr>
        <w:t>E</w:t>
      </w:r>
      <w:r w:rsidR="006D600B" w:rsidRPr="000F54B7">
        <w:rPr>
          <w:rFonts w:ascii="Andes" w:eastAsiaTheme="minorHAnsi" w:hAnsi="Andes" w:cs="Arial"/>
          <w:color w:val="000000"/>
          <w:sz w:val="22"/>
          <w:szCs w:val="22"/>
        </w:rPr>
        <w:t>IP</w:t>
      </w:r>
      <w:r>
        <w:rPr>
          <w:rFonts w:ascii="Andes" w:eastAsiaTheme="minorHAnsi" w:hAnsi="Andes" w:cs="Arial"/>
          <w:color w:val="000000"/>
          <w:sz w:val="22"/>
          <w:szCs w:val="22"/>
        </w:rPr>
        <w:t>)</w:t>
      </w:r>
      <w:r w:rsidR="006D600B" w:rsidRPr="000F54B7">
        <w:rPr>
          <w:rFonts w:ascii="Andes" w:eastAsiaTheme="minorHAnsi" w:hAnsi="Andes" w:cs="Arial"/>
          <w:color w:val="000000"/>
          <w:sz w:val="22"/>
          <w:szCs w:val="22"/>
        </w:rPr>
        <w:t xml:space="preserve"> ou institutions et </w:t>
      </w:r>
      <w:r w:rsidR="006D600B">
        <w:rPr>
          <w:rFonts w:ascii="Andes" w:eastAsiaTheme="minorHAnsi" w:hAnsi="Andes" w:cs="Arial"/>
          <w:color w:val="000000"/>
          <w:sz w:val="22"/>
          <w:szCs w:val="22"/>
        </w:rPr>
        <w:t>organismes à but non lucratif (tels</w:t>
      </w:r>
      <w:r w:rsidR="006D600B" w:rsidRPr="000F54B7">
        <w:rPr>
          <w:rFonts w:ascii="Andes" w:eastAsiaTheme="minorHAnsi" w:hAnsi="Andes" w:cs="Arial"/>
          <w:color w:val="000000"/>
          <w:sz w:val="22"/>
          <w:szCs w:val="22"/>
        </w:rPr>
        <w:t xml:space="preserve"> que ONG et universités), à moin</w:t>
      </w:r>
      <w:r w:rsidR="006D600B">
        <w:rPr>
          <w:rFonts w:ascii="Andes" w:eastAsiaTheme="minorHAnsi" w:hAnsi="Andes" w:cs="Arial"/>
          <w:color w:val="000000"/>
          <w:sz w:val="22"/>
          <w:szCs w:val="22"/>
        </w:rPr>
        <w:t>s qu’ils ne soient géré</w:t>
      </w:r>
      <w:r w:rsidR="006D600B" w:rsidRPr="000F54B7">
        <w:rPr>
          <w:rFonts w:ascii="Andes" w:eastAsiaTheme="minorHAnsi" w:hAnsi="Andes" w:cs="Arial"/>
          <w:color w:val="000000"/>
          <w:sz w:val="22"/>
          <w:szCs w:val="22"/>
        </w:rPr>
        <w:t xml:space="preserve">s comme des entités commerciales satisfaisant aux exigences du </w:t>
      </w:r>
      <w:r w:rsidR="00367F47">
        <w:rPr>
          <w:rFonts w:ascii="Andes" w:eastAsiaTheme="minorHAnsi" w:hAnsi="Andes" w:cs="Arial"/>
          <w:color w:val="000000"/>
          <w:sz w:val="22"/>
          <w:szCs w:val="22"/>
        </w:rPr>
        <w:t>P</w:t>
      </w:r>
      <w:r w:rsidR="006D600B" w:rsidRPr="000F54B7">
        <w:rPr>
          <w:rFonts w:ascii="Andes" w:eastAsiaTheme="minorHAnsi" w:hAnsi="Andes" w:cs="Arial"/>
          <w:color w:val="000000"/>
          <w:sz w:val="22"/>
          <w:szCs w:val="22"/>
        </w:rPr>
        <w:t>aragraphe </w:t>
      </w:r>
      <w:r w:rsidR="006D600B" w:rsidRPr="000F54B7">
        <w:rPr>
          <w:rFonts w:ascii="Andes" w:hAnsi="Andes" w:cs="Arial"/>
          <w:sz w:val="22"/>
          <w:szCs w:val="22"/>
        </w:rPr>
        <w:t>3.2</w:t>
      </w:r>
      <w:r w:rsidR="00367F47">
        <w:rPr>
          <w:rFonts w:ascii="Andes" w:hAnsi="Andes" w:cs="Arial"/>
          <w:sz w:val="22"/>
          <w:szCs w:val="22"/>
        </w:rPr>
        <w:t>2</w:t>
      </w:r>
      <w:r w:rsidR="006D600B" w:rsidRPr="000F54B7">
        <w:rPr>
          <w:rFonts w:ascii="Andes" w:hAnsi="Andes" w:cs="Arial"/>
          <w:sz w:val="22"/>
          <w:szCs w:val="22"/>
        </w:rPr>
        <w:t xml:space="preserve"> b.</w:t>
      </w:r>
    </w:p>
    <w:p w14:paraId="4B4B3553" w14:textId="6E9A66FC" w:rsidR="006D600B" w:rsidRPr="000F54B7" w:rsidRDefault="006D600B" w:rsidP="006D600B">
      <w:pPr>
        <w:pStyle w:val="Paragraphedeliste"/>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Si des </w:t>
      </w:r>
      <w:r>
        <w:rPr>
          <w:rFonts w:ascii="Andes" w:hAnsi="Andes" w:cs="Arial"/>
          <w:sz w:val="22"/>
          <w:szCs w:val="22"/>
        </w:rPr>
        <w:t xml:space="preserve">structures </w:t>
      </w:r>
      <w:r w:rsidRPr="000F54B7">
        <w:rPr>
          <w:rFonts w:ascii="Andes" w:hAnsi="Andes" w:cs="Arial"/>
          <w:sz w:val="22"/>
          <w:szCs w:val="22"/>
        </w:rPr>
        <w:t xml:space="preserve">de ce type figurent dans la liste, la sélection doit en principe se faire par la méthode SFQ ou SQC. La </w:t>
      </w:r>
      <w:r w:rsidRPr="007557DA">
        <w:rPr>
          <w:rFonts w:ascii="Andes" w:hAnsi="Andes" w:cs="Arial"/>
          <w:sz w:val="22"/>
          <w:szCs w:val="22"/>
        </w:rPr>
        <w:t>Présélection</w:t>
      </w:r>
      <w:r w:rsidRPr="000F54B7">
        <w:rPr>
          <w:rFonts w:ascii="Andes" w:hAnsi="Andes" w:cs="Arial"/>
          <w:sz w:val="22"/>
          <w:szCs w:val="22"/>
        </w:rPr>
        <w:t xml:space="preserve"> ne doit pas inclure de Consultants individuels. </w:t>
      </w:r>
    </w:p>
    <w:p w14:paraId="1F499E2D" w14:textId="77777777" w:rsidR="006D600B" w:rsidRPr="000F54B7" w:rsidRDefault="006D600B" w:rsidP="006D600B">
      <w:pPr>
        <w:pStyle w:val="Paragraphedeliste"/>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Pour plus de détails, voir l’annexe XII « Méthodes de sélection ».</w:t>
      </w:r>
    </w:p>
    <w:p w14:paraId="6645E2D6" w14:textId="77777777" w:rsidR="006D600B" w:rsidRPr="000F54B7" w:rsidRDefault="006D600B" w:rsidP="006D600B">
      <w:pPr>
        <w:spacing w:before="240" w:line="240" w:lineRule="auto"/>
        <w:contextualSpacing w:val="0"/>
        <w:rPr>
          <w:rFonts w:ascii="Andes" w:hAnsi="Andes"/>
          <w:sz w:val="28"/>
        </w:rPr>
      </w:pPr>
      <w:bookmarkStart w:id="3360" w:name="_Toc453170936"/>
      <w:r w:rsidRPr="000F54B7">
        <w:rPr>
          <w:rFonts w:ascii="Andes" w:hAnsi="Andes"/>
          <w:b/>
          <w:sz w:val="28"/>
          <w:szCs w:val="28"/>
        </w:rPr>
        <w:t>Appel à Propositions</w:t>
      </w:r>
      <w:bookmarkEnd w:id="3360"/>
    </w:p>
    <w:p w14:paraId="221C1851" w14:textId="77777777" w:rsidR="006D600B" w:rsidRPr="000F54B7" w:rsidRDefault="006D600B" w:rsidP="006D600B">
      <w:pPr>
        <w:pStyle w:val="Paragraphedeliste"/>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Les </w:t>
      </w:r>
      <w:r>
        <w:rPr>
          <w:rFonts w:ascii="Andes" w:hAnsi="Andes" w:cs="Arial"/>
          <w:sz w:val="22"/>
          <w:szCs w:val="22"/>
        </w:rPr>
        <w:t>cabinets de c</w:t>
      </w:r>
      <w:r w:rsidRPr="000F54B7">
        <w:rPr>
          <w:rFonts w:ascii="Andes" w:hAnsi="Andes" w:cs="Arial"/>
          <w:sz w:val="22"/>
          <w:szCs w:val="22"/>
        </w:rPr>
        <w:t xml:space="preserve">onsultants </w:t>
      </w:r>
      <w:r>
        <w:rPr>
          <w:rFonts w:ascii="Andes" w:hAnsi="Andes" w:cs="Arial"/>
          <w:sz w:val="22"/>
          <w:szCs w:val="22"/>
        </w:rPr>
        <w:t>P</w:t>
      </w:r>
      <w:r w:rsidRPr="000F54B7">
        <w:rPr>
          <w:rFonts w:ascii="Andes" w:hAnsi="Andes" w:cs="Arial"/>
          <w:sz w:val="22"/>
          <w:szCs w:val="22"/>
        </w:rPr>
        <w:t>résélectionnés sont invités à répondre à l’appel à propositions au moyen de l’une des méthodes de sélection agréées. Pour déterminer la mét</w:t>
      </w:r>
      <w:r>
        <w:rPr>
          <w:rFonts w:ascii="Andes" w:hAnsi="Andes" w:cs="Arial"/>
          <w:sz w:val="22"/>
          <w:szCs w:val="22"/>
        </w:rPr>
        <w:t>hode appropriée de sélection de</w:t>
      </w:r>
      <w:r w:rsidRPr="000F54B7">
        <w:rPr>
          <w:rFonts w:ascii="Andes" w:hAnsi="Andes" w:cs="Arial"/>
          <w:sz w:val="22"/>
          <w:szCs w:val="22"/>
        </w:rPr>
        <w:t xml:space="preserve"> Consultants, les aspects qualitatifs sont particulièrement importants. Fonder le choix uniquement sur le prix </w:t>
      </w:r>
      <w:r>
        <w:rPr>
          <w:rFonts w:ascii="Andes" w:hAnsi="Andes" w:cs="Arial"/>
          <w:sz w:val="22"/>
          <w:szCs w:val="22"/>
        </w:rPr>
        <w:t xml:space="preserve">le plus bas </w:t>
      </w:r>
      <w:r w:rsidRPr="000F54B7">
        <w:rPr>
          <w:rFonts w:ascii="Andes" w:hAnsi="Andes" w:cs="Arial"/>
          <w:sz w:val="22"/>
          <w:szCs w:val="22"/>
        </w:rPr>
        <w:t xml:space="preserve">ne permet pas forcément </w:t>
      </w:r>
      <w:r>
        <w:rPr>
          <w:rFonts w:ascii="Andes" w:hAnsi="Andes" w:cs="Arial"/>
          <w:sz w:val="22"/>
          <w:szCs w:val="22"/>
        </w:rPr>
        <w:t>d’optimiser les ressources</w:t>
      </w:r>
      <w:r w:rsidRPr="000F54B7">
        <w:rPr>
          <w:rFonts w:ascii="Andes" w:hAnsi="Andes" w:cs="Arial"/>
          <w:sz w:val="22"/>
          <w:szCs w:val="22"/>
        </w:rPr>
        <w:t xml:space="preserve">. </w:t>
      </w:r>
    </w:p>
    <w:p w14:paraId="2ADD9679" w14:textId="0E3FB39A" w:rsidR="006D600B" w:rsidRPr="000F54B7" w:rsidRDefault="005731F0" w:rsidP="006D600B">
      <w:pPr>
        <w:pStyle w:val="Style2"/>
        <w:keepNext/>
        <w:keepLines/>
        <w:widowControl/>
        <w:tabs>
          <w:tab w:val="left" w:pos="1710"/>
        </w:tabs>
        <w:autoSpaceDE/>
        <w:autoSpaceDN/>
        <w:adjustRightInd/>
        <w:spacing w:before="240" w:after="120" w:line="259" w:lineRule="auto"/>
        <w:contextualSpacing w:val="0"/>
        <w:outlineLvl w:val="0"/>
        <w:rPr>
          <w:rFonts w:ascii="Andes" w:eastAsiaTheme="majorEastAsia" w:hAnsi="Andes" w:cstheme="majorBidi"/>
          <w:bCs w:val="0"/>
          <w:color w:val="C45911"/>
          <w:sz w:val="32"/>
          <w:szCs w:val="32"/>
        </w:rPr>
      </w:pPr>
      <w:r>
        <w:rPr>
          <w:rFonts w:ascii="Andes" w:eastAsiaTheme="majorEastAsia" w:hAnsi="Andes" w:cstheme="majorBidi"/>
          <w:bCs w:val="0"/>
          <w:color w:val="C45911"/>
          <w:sz w:val="32"/>
          <w:szCs w:val="32"/>
        </w:rPr>
        <w:t>Options d’approche du marché</w:t>
      </w:r>
    </w:p>
    <w:p w14:paraId="11E25888" w14:textId="77777777" w:rsidR="006D600B" w:rsidRPr="000F54B7" w:rsidRDefault="006D600B" w:rsidP="006D600B">
      <w:pPr>
        <w:rPr>
          <w:rFonts w:ascii="Andes" w:hAnsi="Andes"/>
          <w:sz w:val="28"/>
        </w:rPr>
      </w:pPr>
      <w:bookmarkStart w:id="3361" w:name="_Toc453170938"/>
      <w:r w:rsidRPr="000F54B7">
        <w:rPr>
          <w:rFonts w:ascii="Andes" w:hAnsi="Andes"/>
          <w:b/>
          <w:sz w:val="28"/>
          <w:szCs w:val="28"/>
        </w:rPr>
        <w:t>Concurrence ouverte</w:t>
      </w:r>
      <w:bookmarkEnd w:id="3361"/>
    </w:p>
    <w:p w14:paraId="336B1234" w14:textId="77777777" w:rsidR="006D600B" w:rsidRPr="000F54B7" w:rsidRDefault="006D600B" w:rsidP="006D600B">
      <w:pPr>
        <w:pStyle w:val="Paragraphedeliste"/>
        <w:numPr>
          <w:ilvl w:val="0"/>
          <w:numId w:val="124"/>
        </w:numPr>
        <w:spacing w:before="0" w:line="240" w:lineRule="auto"/>
        <w:ind w:left="634" w:hanging="634"/>
        <w:contextualSpacing w:val="0"/>
        <w:rPr>
          <w:rFonts w:ascii="Andes" w:hAnsi="Andes" w:cs="Arial"/>
          <w:sz w:val="22"/>
          <w:szCs w:val="22"/>
        </w:rPr>
      </w:pPr>
      <w:r>
        <w:rPr>
          <w:rFonts w:ascii="Andes" w:hAnsi="Andes" w:cs="Arial"/>
          <w:sz w:val="22"/>
          <w:szCs w:val="22"/>
        </w:rPr>
        <w:t xml:space="preserve">Une mise en </w:t>
      </w:r>
      <w:r w:rsidRPr="000F54B7">
        <w:rPr>
          <w:rFonts w:ascii="Andes" w:hAnsi="Andes" w:cs="Arial"/>
          <w:sz w:val="22"/>
          <w:szCs w:val="22"/>
        </w:rPr>
        <w:t xml:space="preserve">concurrence ouverte permet de </w:t>
      </w:r>
      <w:r>
        <w:rPr>
          <w:rFonts w:ascii="Andes" w:hAnsi="Andes" w:cs="Arial"/>
          <w:sz w:val="22"/>
          <w:szCs w:val="22"/>
        </w:rPr>
        <w:t>communiquer en temps voulu à tou</w:t>
      </w:r>
      <w:r w:rsidRPr="000F54B7">
        <w:rPr>
          <w:rFonts w:ascii="Andes" w:hAnsi="Andes" w:cs="Arial"/>
          <w:sz w:val="22"/>
          <w:szCs w:val="22"/>
        </w:rPr>
        <w:t xml:space="preserve">s les </w:t>
      </w:r>
      <w:r>
        <w:rPr>
          <w:rFonts w:ascii="Andes" w:hAnsi="Andes" w:cs="Arial"/>
          <w:sz w:val="22"/>
          <w:szCs w:val="22"/>
        </w:rPr>
        <w:t xml:space="preserve">cabinets </w:t>
      </w:r>
      <w:r w:rsidRPr="000F54B7">
        <w:rPr>
          <w:rFonts w:ascii="Andes" w:hAnsi="Andes" w:cs="Arial"/>
          <w:sz w:val="22"/>
          <w:szCs w:val="22"/>
        </w:rPr>
        <w:t xml:space="preserve">ou Consultants individuels </w:t>
      </w:r>
      <w:r>
        <w:rPr>
          <w:rFonts w:ascii="Andes" w:hAnsi="Andes" w:cs="Arial"/>
          <w:sz w:val="22"/>
          <w:szCs w:val="22"/>
        </w:rPr>
        <w:t xml:space="preserve">potentiels </w:t>
      </w:r>
      <w:r w:rsidRPr="000F54B7">
        <w:rPr>
          <w:rFonts w:ascii="Andes" w:hAnsi="Andes" w:cs="Arial"/>
          <w:sz w:val="22"/>
          <w:szCs w:val="22"/>
        </w:rPr>
        <w:t xml:space="preserve">répondant aux critères d’éligibilité des informations suffisantes sur les exigences de l’Emprunteur et de donner à tous des chances égales de fournir les Services de Consultants requis. Les </w:t>
      </w:r>
      <w:r>
        <w:rPr>
          <w:rFonts w:ascii="Andes" w:hAnsi="Andes" w:cs="Arial"/>
          <w:sz w:val="22"/>
          <w:szCs w:val="22"/>
        </w:rPr>
        <w:t xml:space="preserve">méthodes </w:t>
      </w:r>
      <w:r w:rsidRPr="000F54B7">
        <w:rPr>
          <w:rFonts w:ascii="Andes" w:hAnsi="Andes" w:cs="Arial"/>
          <w:sz w:val="22"/>
          <w:szCs w:val="22"/>
        </w:rPr>
        <w:t xml:space="preserve">avec mise en concurrence ouverte, notamment </w:t>
      </w:r>
      <w:r>
        <w:rPr>
          <w:rFonts w:ascii="Andes" w:hAnsi="Andes" w:cs="Arial"/>
          <w:sz w:val="22"/>
          <w:szCs w:val="22"/>
        </w:rPr>
        <w:t xml:space="preserve">la </w:t>
      </w:r>
      <w:r w:rsidRPr="000F54B7">
        <w:rPr>
          <w:rFonts w:ascii="Andes" w:hAnsi="Andes" w:cs="Arial"/>
          <w:sz w:val="22"/>
          <w:szCs w:val="22"/>
        </w:rPr>
        <w:t xml:space="preserve">publication d’un </w:t>
      </w:r>
      <w:r>
        <w:rPr>
          <w:rFonts w:ascii="Andes" w:hAnsi="Andes" w:cs="Arial"/>
          <w:sz w:val="22"/>
          <w:szCs w:val="22"/>
        </w:rPr>
        <w:t>A</w:t>
      </w:r>
      <w:r w:rsidRPr="000F54B7">
        <w:rPr>
          <w:rFonts w:ascii="Andes" w:hAnsi="Andes" w:cs="Arial"/>
          <w:sz w:val="22"/>
          <w:szCs w:val="22"/>
        </w:rPr>
        <w:t>MI</w:t>
      </w:r>
      <w:r>
        <w:rPr>
          <w:rFonts w:ascii="Andes" w:hAnsi="Andes" w:cs="Arial"/>
          <w:sz w:val="22"/>
          <w:szCs w:val="22"/>
        </w:rPr>
        <w:t>,</w:t>
      </w:r>
      <w:r w:rsidRPr="000F54B7">
        <w:rPr>
          <w:rFonts w:ascii="Andes" w:hAnsi="Andes" w:cs="Arial"/>
          <w:sz w:val="22"/>
          <w:szCs w:val="22"/>
        </w:rPr>
        <w:t xml:space="preserve"> sont privilégiées pour sélection</w:t>
      </w:r>
      <w:r>
        <w:rPr>
          <w:rFonts w:ascii="Andes" w:hAnsi="Andes" w:cs="Arial"/>
          <w:sz w:val="22"/>
          <w:szCs w:val="22"/>
        </w:rPr>
        <w:t>ner</w:t>
      </w:r>
      <w:r w:rsidRPr="000F54B7">
        <w:rPr>
          <w:rFonts w:ascii="Andes" w:hAnsi="Andes" w:cs="Arial"/>
          <w:sz w:val="22"/>
          <w:szCs w:val="22"/>
        </w:rPr>
        <w:t xml:space="preserve"> de</w:t>
      </w:r>
      <w:r>
        <w:rPr>
          <w:rFonts w:ascii="Andes" w:hAnsi="Andes" w:cs="Arial"/>
          <w:sz w:val="22"/>
          <w:szCs w:val="22"/>
        </w:rPr>
        <w:t>s</w:t>
      </w:r>
      <w:r w:rsidRPr="000F54B7">
        <w:rPr>
          <w:rFonts w:ascii="Andes" w:hAnsi="Andes" w:cs="Arial"/>
          <w:sz w:val="22"/>
          <w:szCs w:val="22"/>
        </w:rPr>
        <w:t xml:space="preserve"> Consultants </w:t>
      </w:r>
      <w:r>
        <w:rPr>
          <w:rFonts w:ascii="Andes" w:hAnsi="Andes" w:cs="Arial"/>
          <w:sz w:val="22"/>
          <w:szCs w:val="22"/>
        </w:rPr>
        <w:t xml:space="preserve">dans le cadre d’un financement de </w:t>
      </w:r>
      <w:r w:rsidRPr="000F54B7">
        <w:rPr>
          <w:rFonts w:ascii="Andes" w:hAnsi="Andes" w:cs="Arial"/>
          <w:sz w:val="22"/>
          <w:szCs w:val="22"/>
        </w:rPr>
        <w:t>la Banque.</w:t>
      </w:r>
    </w:p>
    <w:p w14:paraId="2DA62298" w14:textId="77777777" w:rsidR="006D600B" w:rsidRPr="000F54B7" w:rsidRDefault="006D600B" w:rsidP="006D600B">
      <w:pPr>
        <w:spacing w:before="240" w:line="240" w:lineRule="auto"/>
        <w:contextualSpacing w:val="0"/>
        <w:rPr>
          <w:rFonts w:ascii="Andes" w:hAnsi="Andes"/>
          <w:sz w:val="28"/>
        </w:rPr>
      </w:pPr>
      <w:bookmarkStart w:id="3362" w:name="_Toc453170939"/>
      <w:r w:rsidRPr="000F54B7">
        <w:rPr>
          <w:rFonts w:ascii="Andes" w:hAnsi="Andes"/>
          <w:b/>
          <w:sz w:val="28"/>
          <w:szCs w:val="28"/>
        </w:rPr>
        <w:t>Concurrence restreinte</w:t>
      </w:r>
      <w:bookmarkEnd w:id="3362"/>
    </w:p>
    <w:p w14:paraId="5989E28E" w14:textId="346DD0C7" w:rsidR="006D600B" w:rsidRPr="000F54B7" w:rsidRDefault="006D600B" w:rsidP="006D600B">
      <w:pPr>
        <w:pStyle w:val="Paragraphedeliste"/>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Dans le cas d’une mise en concurrence restreinte, l’Emprunteur effectue une Présélection sans publier d’avis. Cette solution peut convenir lorsqu’il n’existe qu’un nombre limité de Co</w:t>
      </w:r>
      <w:r>
        <w:rPr>
          <w:rFonts w:ascii="Andes" w:hAnsi="Andes" w:cs="Arial"/>
          <w:sz w:val="22"/>
          <w:szCs w:val="22"/>
        </w:rPr>
        <w:t xml:space="preserve">nsultants qualifiés capables d’exécuter </w:t>
      </w:r>
      <w:r w:rsidRPr="000F54B7">
        <w:rPr>
          <w:rFonts w:ascii="Andes" w:hAnsi="Andes" w:cs="Arial"/>
          <w:sz w:val="22"/>
          <w:szCs w:val="22"/>
        </w:rPr>
        <w:t>la mission, ou pour d’autres raisons exceptionnelles justifiables. L’Emprunteur sollicite des M</w:t>
      </w:r>
      <w:r w:rsidR="004F3FFB">
        <w:rPr>
          <w:rFonts w:ascii="Andes" w:hAnsi="Andes" w:cs="Arial"/>
          <w:sz w:val="22"/>
          <w:szCs w:val="22"/>
        </w:rPr>
        <w:t>anifestations d’</w:t>
      </w:r>
      <w:r w:rsidRPr="000F54B7">
        <w:rPr>
          <w:rFonts w:ascii="Andes" w:hAnsi="Andes" w:cs="Arial"/>
          <w:sz w:val="22"/>
          <w:szCs w:val="22"/>
        </w:rPr>
        <w:t>I</w:t>
      </w:r>
      <w:r w:rsidR="004F3FFB">
        <w:rPr>
          <w:rFonts w:ascii="Andes" w:hAnsi="Andes" w:cs="Arial"/>
          <w:sz w:val="22"/>
          <w:szCs w:val="22"/>
        </w:rPr>
        <w:t>ntérêt</w:t>
      </w:r>
      <w:r w:rsidRPr="000F54B7">
        <w:rPr>
          <w:rFonts w:ascii="Andes" w:hAnsi="Andes" w:cs="Arial"/>
          <w:sz w:val="22"/>
          <w:szCs w:val="22"/>
        </w:rPr>
        <w:t xml:space="preserve"> auprès d’une liste de Consultants potentiels suffisamment nombreux pour qu’il y ait effectivement concurrence.</w:t>
      </w:r>
    </w:p>
    <w:p w14:paraId="19C54A6A" w14:textId="77429816" w:rsidR="006D600B" w:rsidRPr="000F54B7" w:rsidRDefault="00367F47" w:rsidP="006D600B">
      <w:pPr>
        <w:spacing w:before="240" w:line="240" w:lineRule="auto"/>
        <w:contextualSpacing w:val="0"/>
        <w:rPr>
          <w:rFonts w:ascii="Andes" w:hAnsi="Andes"/>
          <w:sz w:val="28"/>
        </w:rPr>
      </w:pPr>
      <w:bookmarkStart w:id="3363" w:name="_Toc453170940"/>
      <w:r>
        <w:rPr>
          <w:rFonts w:ascii="Andes" w:hAnsi="Andes"/>
          <w:b/>
          <w:sz w:val="28"/>
          <w:szCs w:val="28"/>
        </w:rPr>
        <w:t>Mise en concurrenc</w:t>
      </w:r>
      <w:r w:rsidRPr="000F54B7">
        <w:rPr>
          <w:rFonts w:ascii="Andes" w:hAnsi="Andes"/>
          <w:b/>
          <w:sz w:val="28"/>
          <w:szCs w:val="28"/>
        </w:rPr>
        <w:t xml:space="preserve">e </w:t>
      </w:r>
      <w:r w:rsidR="006D600B" w:rsidRPr="000F54B7">
        <w:rPr>
          <w:rFonts w:ascii="Andes" w:hAnsi="Andes"/>
          <w:b/>
          <w:sz w:val="28"/>
          <w:szCs w:val="28"/>
        </w:rPr>
        <w:t>internationale</w:t>
      </w:r>
      <w:bookmarkEnd w:id="3363"/>
    </w:p>
    <w:p w14:paraId="40C47C68" w14:textId="77777777" w:rsidR="006D600B" w:rsidRPr="000F54B7" w:rsidRDefault="006D600B" w:rsidP="006D600B">
      <w:pPr>
        <w:pStyle w:val="Paragraphedeliste"/>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On utilise un</w:t>
      </w:r>
      <w:r>
        <w:rPr>
          <w:rFonts w:ascii="Andes" w:hAnsi="Andes" w:cs="Arial"/>
          <w:sz w:val="22"/>
          <w:szCs w:val="22"/>
        </w:rPr>
        <w:t xml:space="preserve"> appel à propositions ouvert international</w:t>
      </w:r>
      <w:r w:rsidRPr="000F54B7">
        <w:rPr>
          <w:rFonts w:ascii="Andes" w:hAnsi="Andes" w:cs="Arial"/>
          <w:sz w:val="22"/>
          <w:szCs w:val="22"/>
        </w:rPr>
        <w:t>, avec publication obligatoire d’un</w:t>
      </w:r>
      <w:r>
        <w:rPr>
          <w:rFonts w:ascii="Andes" w:hAnsi="Andes" w:cs="Arial"/>
          <w:sz w:val="22"/>
          <w:szCs w:val="22"/>
        </w:rPr>
        <w:t xml:space="preserve"> avis international</w:t>
      </w:r>
      <w:r w:rsidRPr="000F54B7">
        <w:rPr>
          <w:rFonts w:ascii="Andes" w:hAnsi="Andes" w:cs="Arial"/>
          <w:sz w:val="22"/>
          <w:szCs w:val="22"/>
        </w:rPr>
        <w:t xml:space="preserve"> conformément au présent Règlement de </w:t>
      </w:r>
      <w:r>
        <w:rPr>
          <w:rFonts w:ascii="Andes" w:hAnsi="Andes" w:cs="Arial"/>
          <w:sz w:val="22"/>
          <w:szCs w:val="22"/>
        </w:rPr>
        <w:t>p</w:t>
      </w:r>
      <w:r w:rsidRPr="000F54B7">
        <w:rPr>
          <w:rFonts w:ascii="Andes" w:hAnsi="Andes" w:cs="Arial"/>
          <w:sz w:val="22"/>
          <w:szCs w:val="22"/>
        </w:rPr>
        <w:t xml:space="preserve">assation des </w:t>
      </w:r>
      <w:r>
        <w:rPr>
          <w:rFonts w:ascii="Andes" w:hAnsi="Andes" w:cs="Arial"/>
          <w:sz w:val="22"/>
          <w:szCs w:val="22"/>
        </w:rPr>
        <w:t>m</w:t>
      </w:r>
      <w:r w:rsidRPr="000F54B7">
        <w:rPr>
          <w:rFonts w:ascii="Andes" w:hAnsi="Andes" w:cs="Arial"/>
          <w:sz w:val="22"/>
          <w:szCs w:val="22"/>
        </w:rPr>
        <w:t xml:space="preserve">archés, lorsque la </w:t>
      </w:r>
      <w:r w:rsidRPr="000F54B7">
        <w:rPr>
          <w:rFonts w:ascii="Andes" w:hAnsi="Andes" w:cs="Arial"/>
          <w:sz w:val="22"/>
          <w:szCs w:val="22"/>
        </w:rPr>
        <w:lastRenderedPageBreak/>
        <w:t>participation d’entreprises étrangères a de fortes chances d’a</w:t>
      </w:r>
      <w:r>
        <w:rPr>
          <w:rFonts w:ascii="Andes" w:hAnsi="Andes" w:cs="Arial"/>
          <w:sz w:val="22"/>
          <w:szCs w:val="22"/>
        </w:rPr>
        <w:t xml:space="preserve">ssurer le meilleur résultat sur le plan de </w:t>
      </w:r>
      <w:r w:rsidRPr="000F54B7">
        <w:rPr>
          <w:rFonts w:ascii="Andes" w:hAnsi="Andes" w:cs="Arial"/>
          <w:sz w:val="22"/>
          <w:szCs w:val="22"/>
        </w:rPr>
        <w:t xml:space="preserve">l’objectif visé et </w:t>
      </w:r>
      <w:r>
        <w:rPr>
          <w:rFonts w:ascii="Andes" w:hAnsi="Andes" w:cs="Arial"/>
          <w:sz w:val="22"/>
          <w:szCs w:val="22"/>
        </w:rPr>
        <w:t>de l’optimisation des ressources.</w:t>
      </w:r>
    </w:p>
    <w:p w14:paraId="17EA3549" w14:textId="50D17E46" w:rsidR="006D600B" w:rsidRPr="007726F6" w:rsidRDefault="00C84485" w:rsidP="007726F6">
      <w:pPr>
        <w:spacing w:before="0" w:after="200"/>
        <w:contextualSpacing w:val="0"/>
        <w:jc w:val="left"/>
        <w:rPr>
          <w:rFonts w:ascii="Andes" w:hAnsi="Andes"/>
          <w:b/>
          <w:sz w:val="28"/>
          <w:szCs w:val="28"/>
        </w:rPr>
      </w:pPr>
      <w:bookmarkStart w:id="3364" w:name="_Toc453170941"/>
      <w:r>
        <w:rPr>
          <w:rFonts w:ascii="Andes" w:hAnsi="Andes"/>
          <w:b/>
          <w:sz w:val="28"/>
          <w:szCs w:val="28"/>
        </w:rPr>
        <w:t>Mise en concurrenc</w:t>
      </w:r>
      <w:r w:rsidRPr="000F54B7">
        <w:rPr>
          <w:rFonts w:ascii="Andes" w:hAnsi="Andes"/>
          <w:b/>
          <w:sz w:val="28"/>
          <w:szCs w:val="28"/>
        </w:rPr>
        <w:t xml:space="preserve">e </w:t>
      </w:r>
      <w:r w:rsidR="006D600B" w:rsidRPr="000F54B7">
        <w:rPr>
          <w:rFonts w:ascii="Andes" w:hAnsi="Andes"/>
          <w:b/>
          <w:sz w:val="28"/>
          <w:szCs w:val="28"/>
        </w:rPr>
        <w:t>nationale</w:t>
      </w:r>
      <w:bookmarkEnd w:id="3364"/>
    </w:p>
    <w:p w14:paraId="0F0AEF7D" w14:textId="0FE62E0E" w:rsidR="006D600B" w:rsidRPr="000F54B7" w:rsidRDefault="006D600B" w:rsidP="006D600B">
      <w:pPr>
        <w:pStyle w:val="Paragraphedeliste"/>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Comme convenu dans le Plan de Passation des Marchés, la sélection peut se faire au niveau national par la publication d’un</w:t>
      </w:r>
      <w:r>
        <w:rPr>
          <w:rFonts w:ascii="Andes" w:hAnsi="Andes" w:cs="Arial"/>
          <w:sz w:val="22"/>
          <w:szCs w:val="22"/>
        </w:rPr>
        <w:t xml:space="preserve"> avis </w:t>
      </w:r>
      <w:r w:rsidRPr="000F54B7">
        <w:rPr>
          <w:rFonts w:ascii="Andes" w:hAnsi="Andes" w:cs="Arial"/>
          <w:sz w:val="22"/>
          <w:szCs w:val="22"/>
        </w:rPr>
        <w:t xml:space="preserve">dans les médias/presse nationaux lorsque la nature, l’étendue et/ou la valeur des Services de Consultants </w:t>
      </w:r>
      <w:r w:rsidR="000A7F1B">
        <w:rPr>
          <w:rFonts w:ascii="Andes" w:hAnsi="Andes" w:cs="Arial"/>
          <w:sz w:val="22"/>
          <w:szCs w:val="22"/>
        </w:rPr>
        <w:t>a peu de chances d’attirer</w:t>
      </w:r>
      <w:r w:rsidRPr="000F54B7">
        <w:rPr>
          <w:rFonts w:ascii="Andes" w:hAnsi="Andes" w:cs="Arial"/>
          <w:sz w:val="22"/>
          <w:szCs w:val="22"/>
        </w:rPr>
        <w:t xml:space="preserve"> des concurrents étrangers et que l’on trouve dans le pays des Consultants qualifiés pour exécuter les missions prévues. Si des </w:t>
      </w:r>
      <w:r>
        <w:rPr>
          <w:rFonts w:ascii="Andes" w:hAnsi="Andes" w:cs="Arial"/>
          <w:sz w:val="22"/>
          <w:szCs w:val="22"/>
        </w:rPr>
        <w:t xml:space="preserve">Consultants </w:t>
      </w:r>
      <w:r w:rsidRPr="000F54B7">
        <w:rPr>
          <w:rFonts w:ascii="Andes" w:eastAsiaTheme="minorHAnsi" w:hAnsi="Andes" w:cs="Arial"/>
          <w:color w:val="000000"/>
          <w:sz w:val="22"/>
          <w:szCs w:val="22"/>
        </w:rPr>
        <w:t>étrang</w:t>
      </w:r>
      <w:r>
        <w:rPr>
          <w:rFonts w:ascii="Andes" w:eastAsiaTheme="minorHAnsi" w:hAnsi="Andes" w:cs="Arial"/>
          <w:color w:val="000000"/>
          <w:sz w:val="22"/>
          <w:szCs w:val="22"/>
        </w:rPr>
        <w:t>e</w:t>
      </w:r>
      <w:r w:rsidRPr="000F54B7">
        <w:rPr>
          <w:rFonts w:ascii="Andes" w:eastAsiaTheme="minorHAnsi" w:hAnsi="Andes" w:cs="Arial"/>
          <w:color w:val="000000"/>
          <w:sz w:val="22"/>
          <w:szCs w:val="22"/>
        </w:rPr>
        <w:t xml:space="preserve">rs souhaitent participer à une procédure nationale de passation de marchés, </w:t>
      </w:r>
      <w:r>
        <w:rPr>
          <w:rFonts w:ascii="Andes" w:eastAsiaTheme="minorHAnsi" w:hAnsi="Andes" w:cs="Arial"/>
          <w:color w:val="000000"/>
          <w:sz w:val="22"/>
          <w:szCs w:val="22"/>
        </w:rPr>
        <w:t>ils sont autorisé</w:t>
      </w:r>
      <w:r w:rsidRPr="000F54B7">
        <w:rPr>
          <w:rFonts w:ascii="Andes" w:eastAsiaTheme="minorHAnsi" w:hAnsi="Andes" w:cs="Arial"/>
          <w:color w:val="000000"/>
          <w:sz w:val="22"/>
          <w:szCs w:val="22"/>
        </w:rPr>
        <w:t xml:space="preserve">s à le faire. En cas de recherche nationale, les propres procédures de passation de marchés du pays peuvent être utilisées dans les conditions spécifiées aux </w:t>
      </w:r>
      <w:r w:rsidR="00C84485">
        <w:rPr>
          <w:rFonts w:ascii="Andes" w:eastAsiaTheme="minorHAnsi" w:hAnsi="Andes" w:cs="Arial"/>
          <w:color w:val="000000"/>
          <w:sz w:val="22"/>
          <w:szCs w:val="22"/>
        </w:rPr>
        <w:t>P</w:t>
      </w:r>
      <w:r w:rsidRPr="000F54B7">
        <w:rPr>
          <w:rFonts w:ascii="Andes" w:eastAsiaTheme="minorHAnsi" w:hAnsi="Andes" w:cs="Arial"/>
          <w:color w:val="000000"/>
          <w:sz w:val="22"/>
          <w:szCs w:val="22"/>
        </w:rPr>
        <w:t>aragraphes 5.3 à 5.6.</w:t>
      </w:r>
    </w:p>
    <w:p w14:paraId="31924A34" w14:textId="77777777" w:rsidR="006D600B" w:rsidRPr="000F54B7" w:rsidRDefault="006D600B" w:rsidP="006D600B">
      <w:pPr>
        <w:pStyle w:val="Paragraphedeliste"/>
        <w:spacing w:before="240" w:line="240" w:lineRule="auto"/>
        <w:contextualSpacing w:val="0"/>
        <w:rPr>
          <w:rFonts w:ascii="Andes" w:eastAsiaTheme="majorEastAsia" w:hAnsi="Andes" w:cstheme="majorBidi"/>
          <w:b/>
          <w:color w:val="C45911"/>
          <w:sz w:val="32"/>
          <w:szCs w:val="32"/>
        </w:rPr>
      </w:pPr>
      <w:r>
        <w:rPr>
          <w:rFonts w:ascii="Andes" w:eastAsiaTheme="majorEastAsia" w:hAnsi="Andes" w:cstheme="majorBidi"/>
          <w:b/>
          <w:color w:val="C45911"/>
          <w:sz w:val="32"/>
          <w:szCs w:val="32"/>
        </w:rPr>
        <w:t xml:space="preserve">Types </w:t>
      </w:r>
      <w:r w:rsidRPr="000F54B7">
        <w:rPr>
          <w:rFonts w:ascii="Andes" w:eastAsiaTheme="majorEastAsia" w:hAnsi="Andes" w:cstheme="majorBidi"/>
          <w:b/>
          <w:color w:val="C45911"/>
          <w:sz w:val="32"/>
          <w:szCs w:val="32"/>
        </w:rPr>
        <w:t xml:space="preserve">particuliers de </w:t>
      </w:r>
      <w:r>
        <w:rPr>
          <w:rFonts w:ascii="Andes" w:eastAsiaTheme="majorEastAsia" w:hAnsi="Andes" w:cstheme="majorBidi"/>
          <w:b/>
          <w:color w:val="C45911"/>
          <w:sz w:val="32"/>
          <w:szCs w:val="32"/>
        </w:rPr>
        <w:t xml:space="preserve">modalités de </w:t>
      </w:r>
      <w:r w:rsidRPr="000F54B7">
        <w:rPr>
          <w:rFonts w:ascii="Andes" w:eastAsiaTheme="majorEastAsia" w:hAnsi="Andes" w:cstheme="majorBidi"/>
          <w:b/>
          <w:color w:val="C45911"/>
          <w:sz w:val="32"/>
          <w:szCs w:val="32"/>
        </w:rPr>
        <w:t>sélection agréé</w:t>
      </w:r>
      <w:r>
        <w:rPr>
          <w:rFonts w:ascii="Andes" w:eastAsiaTheme="majorEastAsia" w:hAnsi="Andes" w:cstheme="majorBidi"/>
          <w:b/>
          <w:color w:val="C45911"/>
          <w:sz w:val="32"/>
          <w:szCs w:val="32"/>
        </w:rPr>
        <w:t>e</w:t>
      </w:r>
      <w:r w:rsidRPr="000F54B7">
        <w:rPr>
          <w:rFonts w:ascii="Andes" w:eastAsiaTheme="majorEastAsia" w:hAnsi="Andes" w:cstheme="majorBidi"/>
          <w:b/>
          <w:color w:val="C45911"/>
          <w:sz w:val="32"/>
          <w:szCs w:val="32"/>
        </w:rPr>
        <w:t>s</w:t>
      </w:r>
    </w:p>
    <w:p w14:paraId="543584C8" w14:textId="77777777" w:rsidR="006D600B" w:rsidRPr="000F54B7" w:rsidRDefault="006D600B" w:rsidP="006D600B">
      <w:pPr>
        <w:rPr>
          <w:rFonts w:ascii="Andes" w:hAnsi="Andes"/>
          <w:color w:val="000000" w:themeColor="text1"/>
          <w:sz w:val="28"/>
        </w:rPr>
      </w:pPr>
      <w:bookmarkStart w:id="3365" w:name="_Toc453170942"/>
      <w:r w:rsidRPr="000F54B7">
        <w:rPr>
          <w:rFonts w:ascii="Andes" w:hAnsi="Andes"/>
          <w:b/>
          <w:sz w:val="28"/>
          <w:szCs w:val="28"/>
        </w:rPr>
        <w:t>Pratiques commerciales</w:t>
      </w:r>
      <w:bookmarkEnd w:id="3365"/>
    </w:p>
    <w:p w14:paraId="2433C8F8" w14:textId="0C8194C6" w:rsidR="006D600B" w:rsidRPr="000F54B7" w:rsidRDefault="006D600B" w:rsidP="006D600B">
      <w:pPr>
        <w:pStyle w:val="Paragraphedeliste"/>
        <w:numPr>
          <w:ilvl w:val="0"/>
          <w:numId w:val="124"/>
        </w:numPr>
        <w:spacing w:before="0" w:line="240" w:lineRule="auto"/>
        <w:ind w:left="634" w:hanging="634"/>
        <w:contextualSpacing w:val="0"/>
        <w:rPr>
          <w:rFonts w:ascii="Andes" w:hAnsi="Andes" w:cs="Arial"/>
          <w:color w:val="000000" w:themeColor="text1"/>
          <w:sz w:val="22"/>
          <w:szCs w:val="22"/>
        </w:rPr>
      </w:pPr>
      <w:r w:rsidRPr="000F54B7">
        <w:rPr>
          <w:rFonts w:ascii="Andes" w:hAnsi="Andes" w:cs="Arial"/>
          <w:color w:val="000000" w:themeColor="text1"/>
          <w:sz w:val="22"/>
          <w:szCs w:val="22"/>
        </w:rPr>
        <w:t xml:space="preserve">Les dispositions applicables sont les mêmes que celles exposées au </w:t>
      </w:r>
      <w:r w:rsidR="00332A9D">
        <w:rPr>
          <w:rFonts w:ascii="Andes" w:hAnsi="Andes" w:cs="Arial"/>
          <w:color w:val="000000" w:themeColor="text1"/>
          <w:sz w:val="22"/>
          <w:szCs w:val="22"/>
        </w:rPr>
        <w:t>P</w:t>
      </w:r>
      <w:r w:rsidRPr="000F54B7">
        <w:rPr>
          <w:rFonts w:ascii="Andes" w:hAnsi="Andes" w:cs="Arial"/>
          <w:color w:val="000000" w:themeColor="text1"/>
          <w:sz w:val="22"/>
          <w:szCs w:val="22"/>
        </w:rPr>
        <w:t xml:space="preserve">aragraphe 6.46 pour les </w:t>
      </w:r>
      <w:r>
        <w:rPr>
          <w:rFonts w:ascii="Andes" w:hAnsi="Andes" w:cs="Arial"/>
          <w:color w:val="000000" w:themeColor="text1"/>
          <w:sz w:val="22"/>
          <w:szCs w:val="22"/>
        </w:rPr>
        <w:t xml:space="preserve">marchés de </w:t>
      </w:r>
      <w:r w:rsidRPr="000F54B7">
        <w:rPr>
          <w:rFonts w:ascii="Andes" w:hAnsi="Andes" w:cs="Arial"/>
          <w:color w:val="000000" w:themeColor="text1"/>
          <w:sz w:val="22"/>
          <w:szCs w:val="22"/>
        </w:rPr>
        <w:t xml:space="preserve">Fournitures, </w:t>
      </w:r>
      <w:r>
        <w:rPr>
          <w:rFonts w:ascii="Andes" w:hAnsi="Andes" w:cs="Arial"/>
          <w:color w:val="000000" w:themeColor="text1"/>
          <w:sz w:val="22"/>
          <w:szCs w:val="22"/>
        </w:rPr>
        <w:t xml:space="preserve">de </w:t>
      </w:r>
      <w:r w:rsidRPr="000F54B7">
        <w:rPr>
          <w:rFonts w:ascii="Andes" w:hAnsi="Andes" w:cs="Arial"/>
          <w:color w:val="000000" w:themeColor="text1"/>
          <w:sz w:val="22"/>
          <w:szCs w:val="22"/>
        </w:rPr>
        <w:t xml:space="preserve">Travaux et </w:t>
      </w:r>
      <w:r>
        <w:rPr>
          <w:rFonts w:ascii="Andes" w:hAnsi="Andes" w:cs="Arial"/>
          <w:color w:val="000000" w:themeColor="text1"/>
          <w:sz w:val="22"/>
          <w:szCs w:val="22"/>
        </w:rPr>
        <w:t xml:space="preserve">de </w:t>
      </w:r>
      <w:r w:rsidRPr="000F54B7">
        <w:rPr>
          <w:rFonts w:ascii="Andes" w:hAnsi="Andes" w:cs="Arial"/>
          <w:color w:val="000000" w:themeColor="text1"/>
          <w:sz w:val="22"/>
          <w:szCs w:val="22"/>
        </w:rPr>
        <w:t xml:space="preserve">Services Autres que des Services de Consultants.  </w:t>
      </w:r>
    </w:p>
    <w:p w14:paraId="71B1A38A" w14:textId="77777777" w:rsidR="006D600B" w:rsidRPr="000F54B7" w:rsidRDefault="006D600B" w:rsidP="006D600B">
      <w:pPr>
        <w:spacing w:before="240" w:line="240" w:lineRule="auto"/>
        <w:contextualSpacing w:val="0"/>
        <w:rPr>
          <w:rFonts w:ascii="Andes" w:hAnsi="Andes"/>
          <w:sz w:val="28"/>
        </w:rPr>
      </w:pPr>
      <w:bookmarkStart w:id="3366" w:name="_Toc453170943"/>
      <w:r w:rsidRPr="000F54B7">
        <w:rPr>
          <w:rFonts w:ascii="Andes" w:hAnsi="Andes"/>
          <w:b/>
          <w:sz w:val="28"/>
          <w:szCs w:val="28"/>
        </w:rPr>
        <w:t>Institutions des Nations Unies</w:t>
      </w:r>
      <w:bookmarkEnd w:id="3366"/>
    </w:p>
    <w:p w14:paraId="46DBCFFB" w14:textId="77777777" w:rsidR="006D600B" w:rsidRPr="000F54B7" w:rsidRDefault="006D600B" w:rsidP="006D600B">
      <w:pPr>
        <w:pStyle w:val="Paragraphedeliste"/>
        <w:numPr>
          <w:ilvl w:val="0"/>
          <w:numId w:val="124"/>
        </w:numPr>
        <w:spacing w:before="0" w:line="240" w:lineRule="auto"/>
        <w:ind w:left="634" w:hanging="634"/>
        <w:contextualSpacing w:val="0"/>
        <w:rPr>
          <w:rFonts w:ascii="Andes" w:hAnsi="Andes" w:cs="Arial"/>
          <w:sz w:val="22"/>
          <w:szCs w:val="22"/>
        </w:rPr>
      </w:pPr>
      <w:r>
        <w:rPr>
          <w:rFonts w:ascii="Andes" w:hAnsi="Andes" w:cs="Arial"/>
          <w:sz w:val="22"/>
          <w:szCs w:val="22"/>
        </w:rPr>
        <w:t xml:space="preserve">Sous réserve d’en être convenu </w:t>
      </w:r>
      <w:r w:rsidRPr="000F54B7">
        <w:rPr>
          <w:rFonts w:ascii="Andes" w:hAnsi="Andes" w:cs="Arial"/>
          <w:sz w:val="22"/>
          <w:szCs w:val="22"/>
        </w:rPr>
        <w:t xml:space="preserve">avec la Banque, </w:t>
      </w:r>
      <w:r>
        <w:rPr>
          <w:rFonts w:ascii="Andes" w:hAnsi="Andes" w:cs="Arial"/>
          <w:sz w:val="22"/>
          <w:szCs w:val="22"/>
        </w:rPr>
        <w:t>un Emprunteur peu</w:t>
      </w:r>
      <w:r w:rsidRPr="000F54B7">
        <w:rPr>
          <w:rFonts w:ascii="Andes" w:hAnsi="Andes" w:cs="Arial"/>
          <w:sz w:val="22"/>
          <w:szCs w:val="22"/>
        </w:rPr>
        <w:t xml:space="preserve">t sélectionner des Institutions des Nations Unies directement </w:t>
      </w:r>
      <w:r>
        <w:rPr>
          <w:rFonts w:ascii="Andes" w:hAnsi="Andes" w:cs="Arial"/>
          <w:sz w:val="22"/>
          <w:szCs w:val="22"/>
        </w:rPr>
        <w:t>lorsqu’</w:t>
      </w:r>
      <w:r w:rsidRPr="000F54B7">
        <w:rPr>
          <w:rFonts w:ascii="Andes" w:hAnsi="Andes" w:cs="Arial"/>
          <w:sz w:val="22"/>
          <w:szCs w:val="22"/>
        </w:rPr>
        <w:t xml:space="preserve">elles possèdent des qualifications uniques et exceptionnelles leur permettant de fournir une assistance technique, des services-conseils ou des services techniques dans leur domaine de compétences, en particulier dans les situations de besoin urgent d’assistance ou de capacités insuffisantes. </w:t>
      </w:r>
    </w:p>
    <w:p w14:paraId="79C6AAEB" w14:textId="77777777" w:rsidR="006D600B" w:rsidRPr="000F54B7" w:rsidRDefault="006D600B" w:rsidP="006D600B">
      <w:pPr>
        <w:pStyle w:val="Paragraphedeliste"/>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Lorsqu’il passe un </w:t>
      </w:r>
      <w:r>
        <w:rPr>
          <w:rFonts w:ascii="Andes" w:hAnsi="Andes" w:cs="Arial"/>
          <w:sz w:val="22"/>
          <w:szCs w:val="22"/>
        </w:rPr>
        <w:t xml:space="preserve">contrat </w:t>
      </w:r>
      <w:r w:rsidRPr="000F54B7">
        <w:rPr>
          <w:rFonts w:ascii="Andes" w:hAnsi="Andes" w:cs="Arial"/>
          <w:sz w:val="22"/>
          <w:szCs w:val="22"/>
        </w:rPr>
        <w:t>avec une Institution des Nations Unies, l’Emprunteur doit utiliser un contrat type entre lui et l’Institution des Nations Unies ou un modèle de contrat approuvé par la Banque</w:t>
      </w:r>
      <w:r>
        <w:rPr>
          <w:rFonts w:ascii="Andes" w:hAnsi="Andes" w:cs="Arial"/>
          <w:sz w:val="22"/>
          <w:szCs w:val="22"/>
        </w:rPr>
        <w:t xml:space="preserve"> et spécifique à la situation</w:t>
      </w:r>
      <w:r w:rsidRPr="000F54B7">
        <w:rPr>
          <w:rFonts w:ascii="Andes" w:hAnsi="Andes" w:cs="Arial"/>
          <w:sz w:val="22"/>
          <w:szCs w:val="22"/>
        </w:rPr>
        <w:t xml:space="preserve">. </w:t>
      </w:r>
      <w:r>
        <w:rPr>
          <w:rFonts w:ascii="Andes" w:hAnsi="Andes" w:cs="Arial"/>
          <w:sz w:val="22"/>
          <w:szCs w:val="22"/>
        </w:rPr>
        <w:t xml:space="preserve">Lorsque </w:t>
      </w:r>
      <w:r w:rsidRPr="000F54B7">
        <w:rPr>
          <w:rFonts w:ascii="Andes" w:hAnsi="Andes" w:cs="Arial"/>
          <w:sz w:val="22"/>
          <w:szCs w:val="22"/>
        </w:rPr>
        <w:t>la Banque et une Institution des Nations Unies ont un Accord</w:t>
      </w:r>
      <w:r>
        <w:rPr>
          <w:rFonts w:ascii="Andes" w:hAnsi="Andes" w:cs="Arial"/>
          <w:sz w:val="22"/>
          <w:szCs w:val="22"/>
        </w:rPr>
        <w:t xml:space="preserve"> </w:t>
      </w:r>
      <w:r w:rsidRPr="000F54B7">
        <w:rPr>
          <w:rFonts w:ascii="Andes" w:hAnsi="Andes" w:cs="Arial"/>
          <w:sz w:val="22"/>
          <w:szCs w:val="22"/>
        </w:rPr>
        <w:t xml:space="preserve">Cadre établi, l’Emprunteur peut </w:t>
      </w:r>
      <w:r>
        <w:rPr>
          <w:rFonts w:ascii="Andes" w:hAnsi="Andes" w:cs="Arial"/>
          <w:sz w:val="22"/>
          <w:szCs w:val="22"/>
        </w:rPr>
        <w:t xml:space="preserve">utiliser </w:t>
      </w:r>
      <w:r w:rsidRPr="000F54B7">
        <w:rPr>
          <w:rFonts w:ascii="Andes" w:hAnsi="Andes" w:cs="Arial"/>
          <w:sz w:val="22"/>
          <w:szCs w:val="22"/>
        </w:rPr>
        <w:t xml:space="preserve">l’AC lorsqu’il passe un </w:t>
      </w:r>
      <w:r>
        <w:rPr>
          <w:rFonts w:ascii="Andes" w:hAnsi="Andes" w:cs="Arial"/>
          <w:sz w:val="22"/>
          <w:szCs w:val="22"/>
        </w:rPr>
        <w:t xml:space="preserve">contrat </w:t>
      </w:r>
      <w:r w:rsidRPr="000F54B7">
        <w:rPr>
          <w:rFonts w:ascii="Andes" w:hAnsi="Andes" w:cs="Arial"/>
          <w:sz w:val="22"/>
          <w:szCs w:val="22"/>
        </w:rPr>
        <w:t>avec l’Institution des Nations Unies.</w:t>
      </w:r>
    </w:p>
    <w:p w14:paraId="5597F84C" w14:textId="77777777" w:rsidR="006D600B" w:rsidRPr="000F54B7" w:rsidRDefault="006D600B" w:rsidP="006D600B">
      <w:pPr>
        <w:spacing w:before="240" w:line="240" w:lineRule="auto"/>
        <w:contextualSpacing w:val="0"/>
        <w:rPr>
          <w:rFonts w:ascii="Andes" w:hAnsi="Andes"/>
          <w:sz w:val="28"/>
        </w:rPr>
      </w:pPr>
      <w:bookmarkStart w:id="3367" w:name="_Toc409085872"/>
      <w:bookmarkStart w:id="3368" w:name="_Toc409086149"/>
      <w:bookmarkStart w:id="3369" w:name="_Toc409086426"/>
      <w:bookmarkStart w:id="3370" w:name="_Toc409249039"/>
      <w:bookmarkStart w:id="3371" w:name="_Toc409255619"/>
      <w:bookmarkStart w:id="3372" w:name="_Toc409255899"/>
      <w:bookmarkStart w:id="3373" w:name="_Toc409256179"/>
      <w:bookmarkStart w:id="3374" w:name="_Toc409256459"/>
      <w:bookmarkStart w:id="3375" w:name="_Toc409256739"/>
      <w:bookmarkStart w:id="3376" w:name="_Toc409270434"/>
      <w:bookmarkStart w:id="3377" w:name="_Toc409270714"/>
      <w:bookmarkStart w:id="3378" w:name="_Toc409509324"/>
      <w:bookmarkStart w:id="3379" w:name="_Toc409509607"/>
      <w:bookmarkStart w:id="3380" w:name="_Toc409509890"/>
      <w:bookmarkStart w:id="3381" w:name="_Toc409510173"/>
      <w:bookmarkStart w:id="3382" w:name="_Toc409510454"/>
      <w:bookmarkStart w:id="3383" w:name="_Toc409595944"/>
      <w:bookmarkStart w:id="3384" w:name="_Toc409607120"/>
      <w:bookmarkStart w:id="3385" w:name="_Toc409085873"/>
      <w:bookmarkStart w:id="3386" w:name="_Toc409086150"/>
      <w:bookmarkStart w:id="3387" w:name="_Toc409086427"/>
      <w:bookmarkStart w:id="3388" w:name="_Toc409249040"/>
      <w:bookmarkStart w:id="3389" w:name="_Toc409255620"/>
      <w:bookmarkStart w:id="3390" w:name="_Toc409255900"/>
      <w:bookmarkStart w:id="3391" w:name="_Toc409256180"/>
      <w:bookmarkStart w:id="3392" w:name="_Toc409256460"/>
      <w:bookmarkStart w:id="3393" w:name="_Toc409256740"/>
      <w:bookmarkStart w:id="3394" w:name="_Toc409270435"/>
      <w:bookmarkStart w:id="3395" w:name="_Toc409270715"/>
      <w:bookmarkStart w:id="3396" w:name="_Toc409509325"/>
      <w:bookmarkStart w:id="3397" w:name="_Toc409509608"/>
      <w:bookmarkStart w:id="3398" w:name="_Toc409509891"/>
      <w:bookmarkStart w:id="3399" w:name="_Toc409510174"/>
      <w:bookmarkStart w:id="3400" w:name="_Toc409510455"/>
      <w:bookmarkStart w:id="3401" w:name="_Toc409595945"/>
      <w:bookmarkStart w:id="3402" w:name="_Toc409607121"/>
      <w:bookmarkStart w:id="3403" w:name="_Toc409085874"/>
      <w:bookmarkStart w:id="3404" w:name="_Toc409086151"/>
      <w:bookmarkStart w:id="3405" w:name="_Toc409086428"/>
      <w:bookmarkStart w:id="3406" w:name="_Toc409249041"/>
      <w:bookmarkStart w:id="3407" w:name="_Toc409255621"/>
      <w:bookmarkStart w:id="3408" w:name="_Toc409255901"/>
      <w:bookmarkStart w:id="3409" w:name="_Toc409256181"/>
      <w:bookmarkStart w:id="3410" w:name="_Toc409256461"/>
      <w:bookmarkStart w:id="3411" w:name="_Toc409256741"/>
      <w:bookmarkStart w:id="3412" w:name="_Toc409270436"/>
      <w:bookmarkStart w:id="3413" w:name="_Toc409270716"/>
      <w:bookmarkStart w:id="3414" w:name="_Toc409509326"/>
      <w:bookmarkStart w:id="3415" w:name="_Toc409509609"/>
      <w:bookmarkStart w:id="3416" w:name="_Toc409509892"/>
      <w:bookmarkStart w:id="3417" w:name="_Toc409510175"/>
      <w:bookmarkStart w:id="3418" w:name="_Toc409510456"/>
      <w:bookmarkStart w:id="3419" w:name="_Toc409595946"/>
      <w:bookmarkStart w:id="3420" w:name="_Toc409607122"/>
      <w:bookmarkStart w:id="3421" w:name="_Toc409085875"/>
      <w:bookmarkStart w:id="3422" w:name="_Toc409086152"/>
      <w:bookmarkStart w:id="3423" w:name="_Toc409086429"/>
      <w:bookmarkStart w:id="3424" w:name="_Toc409249042"/>
      <w:bookmarkStart w:id="3425" w:name="_Toc409255622"/>
      <w:bookmarkStart w:id="3426" w:name="_Toc409255902"/>
      <w:bookmarkStart w:id="3427" w:name="_Toc409256182"/>
      <w:bookmarkStart w:id="3428" w:name="_Toc409256462"/>
      <w:bookmarkStart w:id="3429" w:name="_Toc409256742"/>
      <w:bookmarkStart w:id="3430" w:name="_Toc409270437"/>
      <w:bookmarkStart w:id="3431" w:name="_Toc409270717"/>
      <w:bookmarkStart w:id="3432" w:name="_Toc409509327"/>
      <w:bookmarkStart w:id="3433" w:name="_Toc409509610"/>
      <w:bookmarkStart w:id="3434" w:name="_Toc409509893"/>
      <w:bookmarkStart w:id="3435" w:name="_Toc409510176"/>
      <w:bookmarkStart w:id="3436" w:name="_Toc409510457"/>
      <w:bookmarkStart w:id="3437" w:name="_Toc409595947"/>
      <w:bookmarkStart w:id="3438" w:name="_Toc409607123"/>
      <w:bookmarkStart w:id="3439" w:name="_Toc409085876"/>
      <w:bookmarkStart w:id="3440" w:name="_Toc409086153"/>
      <w:bookmarkStart w:id="3441" w:name="_Toc409086430"/>
      <w:bookmarkStart w:id="3442" w:name="_Toc409249043"/>
      <w:bookmarkStart w:id="3443" w:name="_Toc409255623"/>
      <w:bookmarkStart w:id="3444" w:name="_Toc409255903"/>
      <w:bookmarkStart w:id="3445" w:name="_Toc409256183"/>
      <w:bookmarkStart w:id="3446" w:name="_Toc409256463"/>
      <w:bookmarkStart w:id="3447" w:name="_Toc409256743"/>
      <w:bookmarkStart w:id="3448" w:name="_Toc409270438"/>
      <w:bookmarkStart w:id="3449" w:name="_Toc409270718"/>
      <w:bookmarkStart w:id="3450" w:name="_Toc409509328"/>
      <w:bookmarkStart w:id="3451" w:name="_Toc409509611"/>
      <w:bookmarkStart w:id="3452" w:name="_Toc409509894"/>
      <w:bookmarkStart w:id="3453" w:name="_Toc409510177"/>
      <w:bookmarkStart w:id="3454" w:name="_Toc409510458"/>
      <w:bookmarkStart w:id="3455" w:name="_Toc409595948"/>
      <w:bookmarkStart w:id="3456" w:name="_Toc409607124"/>
      <w:bookmarkStart w:id="3457" w:name="_Toc453170944"/>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r w:rsidRPr="000F54B7">
        <w:rPr>
          <w:rFonts w:ascii="Andes" w:hAnsi="Andes"/>
          <w:b/>
          <w:sz w:val="28"/>
          <w:szCs w:val="28"/>
        </w:rPr>
        <w:t>Organis</w:t>
      </w:r>
      <w:r>
        <w:rPr>
          <w:rFonts w:ascii="Andes" w:hAnsi="Andes"/>
          <w:b/>
          <w:sz w:val="28"/>
          <w:szCs w:val="28"/>
        </w:rPr>
        <w:t xml:space="preserve">mes à but </w:t>
      </w:r>
      <w:r w:rsidRPr="000F54B7">
        <w:rPr>
          <w:rFonts w:ascii="Andes" w:hAnsi="Andes"/>
          <w:b/>
          <w:sz w:val="28"/>
          <w:szCs w:val="28"/>
        </w:rPr>
        <w:t>non lucratif</w:t>
      </w:r>
      <w:bookmarkEnd w:id="3457"/>
    </w:p>
    <w:p w14:paraId="421D706C" w14:textId="6BD57632" w:rsidR="006D600B" w:rsidRPr="000F54B7" w:rsidRDefault="006D600B" w:rsidP="006D600B">
      <w:pPr>
        <w:pStyle w:val="Paragraphedeliste"/>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Les organis</w:t>
      </w:r>
      <w:r>
        <w:rPr>
          <w:rFonts w:ascii="Andes" w:hAnsi="Andes" w:cs="Arial"/>
          <w:sz w:val="22"/>
          <w:szCs w:val="22"/>
        </w:rPr>
        <w:t xml:space="preserve">mes à but non </w:t>
      </w:r>
      <w:r w:rsidRPr="000F54B7">
        <w:rPr>
          <w:rFonts w:ascii="Andes" w:hAnsi="Andes" w:cs="Arial"/>
          <w:sz w:val="22"/>
          <w:szCs w:val="22"/>
        </w:rPr>
        <w:t>lucratif tels que le</w:t>
      </w:r>
      <w:r>
        <w:rPr>
          <w:rFonts w:ascii="Andes" w:hAnsi="Andes" w:cs="Arial"/>
          <w:sz w:val="22"/>
          <w:szCs w:val="22"/>
        </w:rPr>
        <w:t>s</w:t>
      </w:r>
      <w:r w:rsidRPr="000F54B7">
        <w:rPr>
          <w:rFonts w:ascii="Andes" w:hAnsi="Andes" w:cs="Arial"/>
          <w:sz w:val="22"/>
          <w:szCs w:val="22"/>
        </w:rPr>
        <w:t xml:space="preserve"> ONG peuvent êtr</w:t>
      </w:r>
      <w:r>
        <w:rPr>
          <w:rFonts w:ascii="Andes" w:hAnsi="Andes" w:cs="Arial"/>
          <w:sz w:val="22"/>
          <w:szCs w:val="22"/>
        </w:rPr>
        <w:t>e exceptionnellement bien placé</w:t>
      </w:r>
      <w:r w:rsidRPr="000F54B7">
        <w:rPr>
          <w:rFonts w:ascii="Andes" w:hAnsi="Andes" w:cs="Arial"/>
          <w:sz w:val="22"/>
          <w:szCs w:val="22"/>
        </w:rPr>
        <w:t xml:space="preserve">s pour aider à préparer, gérer et mettre en œuvre des projets, </w:t>
      </w:r>
      <w:r w:rsidR="00555124">
        <w:rPr>
          <w:rFonts w:ascii="Andes" w:hAnsi="Andes" w:cs="Arial"/>
          <w:sz w:val="22"/>
          <w:szCs w:val="22"/>
        </w:rPr>
        <w:t xml:space="preserve">ou exécuter d’autres activités du projet </w:t>
      </w:r>
      <w:r w:rsidRPr="000F54B7">
        <w:rPr>
          <w:rFonts w:ascii="Andes" w:hAnsi="Andes" w:cs="Arial"/>
          <w:sz w:val="22"/>
          <w:szCs w:val="22"/>
        </w:rPr>
        <w:t>du fait de leur présence dans le pays et de leur connaissance des problèmes et des besoins locaux, ou du fait d</w:t>
      </w:r>
      <w:r>
        <w:rPr>
          <w:rFonts w:ascii="Andes" w:hAnsi="Andes" w:cs="Arial"/>
          <w:sz w:val="22"/>
          <w:szCs w:val="22"/>
        </w:rPr>
        <w:t>e leur démarche participative. Des organismes</w:t>
      </w:r>
      <w:r w:rsidRPr="000F54B7">
        <w:rPr>
          <w:rFonts w:ascii="Andes" w:hAnsi="Andes" w:cs="Arial"/>
          <w:sz w:val="22"/>
          <w:szCs w:val="22"/>
        </w:rPr>
        <w:t xml:space="preserve"> de ce type peuvent être </w:t>
      </w:r>
      <w:r w:rsidR="00332FCD">
        <w:rPr>
          <w:rFonts w:ascii="Andes" w:hAnsi="Andes" w:cs="Arial"/>
          <w:sz w:val="22"/>
          <w:szCs w:val="22"/>
        </w:rPr>
        <w:t>P</w:t>
      </w:r>
      <w:r w:rsidR="00332FCD" w:rsidRPr="000F54B7">
        <w:rPr>
          <w:rFonts w:ascii="Andes" w:hAnsi="Andes" w:cs="Arial"/>
          <w:sz w:val="22"/>
          <w:szCs w:val="22"/>
        </w:rPr>
        <w:t>résélectionnés</w:t>
      </w:r>
      <w:r w:rsidRPr="000F54B7">
        <w:rPr>
          <w:rFonts w:ascii="Andes" w:hAnsi="Andes" w:cs="Arial"/>
          <w:sz w:val="22"/>
          <w:szCs w:val="22"/>
        </w:rPr>
        <w:t xml:space="preserve"> </w:t>
      </w:r>
      <w:r>
        <w:rPr>
          <w:rFonts w:ascii="Andes" w:hAnsi="Andes" w:cs="Arial"/>
          <w:sz w:val="22"/>
          <w:szCs w:val="22"/>
        </w:rPr>
        <w:t xml:space="preserve">s’ils </w:t>
      </w:r>
      <w:r w:rsidRPr="000F54B7">
        <w:rPr>
          <w:rFonts w:ascii="Andes" w:hAnsi="Andes" w:cs="Arial"/>
          <w:sz w:val="22"/>
          <w:szCs w:val="22"/>
        </w:rPr>
        <w:t xml:space="preserve">manifestent leur intérêt et si l’Emprunteur et la Banque jugent leurs qualifications acceptables. Dans le cas de </w:t>
      </w:r>
      <w:r w:rsidR="00555124">
        <w:rPr>
          <w:rFonts w:ascii="Andes" w:hAnsi="Andes" w:cs="Arial"/>
          <w:sz w:val="22"/>
          <w:szCs w:val="22"/>
        </w:rPr>
        <w:t xml:space="preserve">ces </w:t>
      </w:r>
      <w:r w:rsidRPr="000F54B7">
        <w:rPr>
          <w:rFonts w:ascii="Andes" w:hAnsi="Andes" w:cs="Arial"/>
          <w:sz w:val="22"/>
          <w:szCs w:val="22"/>
        </w:rPr>
        <w:t xml:space="preserve">missions, la </w:t>
      </w:r>
      <w:r w:rsidRPr="007557DA">
        <w:rPr>
          <w:rFonts w:ascii="Andes" w:hAnsi="Andes" w:cs="Arial"/>
          <w:sz w:val="22"/>
          <w:szCs w:val="22"/>
        </w:rPr>
        <w:t>Présélection</w:t>
      </w:r>
      <w:r w:rsidRPr="000F54B7">
        <w:rPr>
          <w:rFonts w:ascii="Andes" w:hAnsi="Andes" w:cs="Arial"/>
          <w:sz w:val="22"/>
          <w:szCs w:val="22"/>
        </w:rPr>
        <w:t xml:space="preserve"> peut être constituée uniquement d’ONG. La passation des marchés se fait alors selon une méthode de sélection appropriée (SFQC, S</w:t>
      </w:r>
      <w:r w:rsidR="007F2289">
        <w:rPr>
          <w:rFonts w:ascii="Andes" w:hAnsi="Andes" w:cs="Arial"/>
          <w:sz w:val="22"/>
          <w:szCs w:val="22"/>
        </w:rPr>
        <w:t>C</w:t>
      </w:r>
      <w:r w:rsidRPr="000F54B7">
        <w:rPr>
          <w:rFonts w:ascii="Andes" w:hAnsi="Andes" w:cs="Arial"/>
          <w:sz w:val="22"/>
          <w:szCs w:val="22"/>
        </w:rPr>
        <w:t xml:space="preserve">BD, SMC ou SQC), en fonction de la nature, de la complexité et de la taille de la mission, et les </w:t>
      </w:r>
      <w:r w:rsidR="00E95B1E">
        <w:rPr>
          <w:rFonts w:ascii="Andes" w:hAnsi="Andes" w:cs="Arial"/>
          <w:sz w:val="22"/>
          <w:szCs w:val="22"/>
        </w:rPr>
        <w:t>C</w:t>
      </w:r>
      <w:r w:rsidRPr="000F54B7">
        <w:rPr>
          <w:rFonts w:ascii="Andes" w:hAnsi="Andes" w:cs="Arial"/>
          <w:sz w:val="22"/>
          <w:szCs w:val="22"/>
        </w:rPr>
        <w:t>ritères d’</w:t>
      </w:r>
      <w:r w:rsidR="00E95B1E">
        <w:rPr>
          <w:rFonts w:ascii="Andes" w:hAnsi="Andes" w:cs="Arial"/>
          <w:sz w:val="22"/>
          <w:szCs w:val="22"/>
        </w:rPr>
        <w:t>E</w:t>
      </w:r>
      <w:r w:rsidRPr="000F54B7">
        <w:rPr>
          <w:rFonts w:ascii="Andes" w:hAnsi="Andes" w:cs="Arial"/>
          <w:sz w:val="22"/>
          <w:szCs w:val="22"/>
        </w:rPr>
        <w:t>valuation tiennent compte des qualifications inégalées des ONG telles que la connaissance locale, l</w:t>
      </w:r>
      <w:r w:rsidR="00F6183A">
        <w:rPr>
          <w:rFonts w:ascii="Andes" w:hAnsi="Andes" w:cs="Arial"/>
          <w:sz w:val="22"/>
          <w:szCs w:val="22"/>
        </w:rPr>
        <w:t>a taille des opérations</w:t>
      </w:r>
      <w:r w:rsidRPr="000F54B7">
        <w:rPr>
          <w:rFonts w:ascii="Andes" w:hAnsi="Andes" w:cs="Arial"/>
          <w:sz w:val="22"/>
          <w:szCs w:val="22"/>
        </w:rPr>
        <w:t xml:space="preserve">, et </w:t>
      </w:r>
      <w:r>
        <w:rPr>
          <w:rFonts w:ascii="Andes" w:hAnsi="Andes" w:cs="Arial"/>
          <w:sz w:val="22"/>
          <w:szCs w:val="22"/>
        </w:rPr>
        <w:t>l’expérience pertinente</w:t>
      </w:r>
      <w:r w:rsidRPr="000F54B7">
        <w:rPr>
          <w:rFonts w:ascii="Andes" w:hAnsi="Andes" w:cs="Arial"/>
          <w:sz w:val="22"/>
          <w:szCs w:val="22"/>
        </w:rPr>
        <w:t xml:space="preserve">. L’Emprunteur peut également sélectionner l’ONG par </w:t>
      </w:r>
      <w:r>
        <w:rPr>
          <w:rFonts w:ascii="Andes" w:hAnsi="Andes" w:cs="Arial"/>
          <w:sz w:val="22"/>
          <w:szCs w:val="22"/>
        </w:rPr>
        <w:t xml:space="preserve">sélection </w:t>
      </w:r>
      <w:r w:rsidRPr="000F54B7">
        <w:rPr>
          <w:rFonts w:ascii="Andes" w:hAnsi="Andes" w:cs="Arial"/>
          <w:sz w:val="22"/>
          <w:szCs w:val="22"/>
        </w:rPr>
        <w:t xml:space="preserve">directe, sous réserve que les critères définis pour </w:t>
      </w:r>
      <w:r>
        <w:rPr>
          <w:rFonts w:ascii="Andes" w:hAnsi="Andes" w:cs="Arial"/>
          <w:sz w:val="22"/>
          <w:szCs w:val="22"/>
        </w:rPr>
        <w:t xml:space="preserve">la </w:t>
      </w:r>
      <w:r w:rsidRPr="000F54B7">
        <w:rPr>
          <w:rFonts w:ascii="Andes" w:hAnsi="Andes" w:cs="Arial"/>
          <w:sz w:val="22"/>
          <w:szCs w:val="22"/>
        </w:rPr>
        <w:t xml:space="preserve">sélection </w:t>
      </w:r>
      <w:r>
        <w:rPr>
          <w:rFonts w:ascii="Andes" w:hAnsi="Andes" w:cs="Arial"/>
          <w:sz w:val="22"/>
          <w:szCs w:val="22"/>
        </w:rPr>
        <w:t xml:space="preserve">directe </w:t>
      </w:r>
      <w:r w:rsidRPr="000F54B7">
        <w:rPr>
          <w:rFonts w:ascii="Andes" w:hAnsi="Andes" w:cs="Arial"/>
          <w:sz w:val="22"/>
          <w:szCs w:val="22"/>
        </w:rPr>
        <w:t xml:space="preserve">de </w:t>
      </w:r>
      <w:r>
        <w:rPr>
          <w:rFonts w:ascii="Andes" w:hAnsi="Andes" w:cs="Arial"/>
          <w:sz w:val="22"/>
          <w:szCs w:val="22"/>
        </w:rPr>
        <w:t xml:space="preserve">cabinets de </w:t>
      </w:r>
      <w:r w:rsidRPr="000F54B7">
        <w:rPr>
          <w:rFonts w:ascii="Andes" w:hAnsi="Andes" w:cs="Arial"/>
          <w:sz w:val="22"/>
          <w:szCs w:val="22"/>
        </w:rPr>
        <w:t>consulta</w:t>
      </w:r>
      <w:r>
        <w:rPr>
          <w:rFonts w:ascii="Andes" w:hAnsi="Andes" w:cs="Arial"/>
          <w:sz w:val="22"/>
          <w:szCs w:val="22"/>
        </w:rPr>
        <w:t>n</w:t>
      </w:r>
      <w:r w:rsidRPr="000F54B7">
        <w:rPr>
          <w:rFonts w:ascii="Andes" w:hAnsi="Andes" w:cs="Arial"/>
          <w:sz w:val="22"/>
          <w:szCs w:val="22"/>
        </w:rPr>
        <w:t>ts soient satisfaits.</w:t>
      </w:r>
    </w:p>
    <w:p w14:paraId="7E6EBFE3" w14:textId="77777777" w:rsidR="006D600B" w:rsidRPr="000F54B7" w:rsidRDefault="006D600B" w:rsidP="006D600B">
      <w:pPr>
        <w:spacing w:before="240" w:line="240" w:lineRule="auto"/>
        <w:contextualSpacing w:val="0"/>
        <w:rPr>
          <w:rFonts w:ascii="Andes" w:hAnsi="Andes"/>
          <w:sz w:val="28"/>
        </w:rPr>
      </w:pPr>
      <w:bookmarkStart w:id="3458" w:name="_Toc453170945"/>
      <w:r w:rsidRPr="000F54B7">
        <w:rPr>
          <w:rFonts w:ascii="Andes" w:hAnsi="Andes"/>
          <w:b/>
          <w:sz w:val="28"/>
          <w:szCs w:val="28"/>
        </w:rPr>
        <w:lastRenderedPageBreak/>
        <w:t>Ban</w:t>
      </w:r>
      <w:bookmarkEnd w:id="3458"/>
      <w:r w:rsidRPr="000F54B7">
        <w:rPr>
          <w:rFonts w:ascii="Andes" w:hAnsi="Andes"/>
          <w:b/>
          <w:sz w:val="28"/>
          <w:szCs w:val="28"/>
        </w:rPr>
        <w:t>ques</w:t>
      </w:r>
    </w:p>
    <w:p w14:paraId="79C473CD" w14:textId="77777777" w:rsidR="006D600B" w:rsidRPr="000F54B7" w:rsidRDefault="006D600B" w:rsidP="006D600B">
      <w:pPr>
        <w:pStyle w:val="Paragraphedeliste"/>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Les Emprunteurs doivent utiliser la méthode SFQC pour engager des banques d’investissement ou commerciales, des institutions financ</w:t>
      </w:r>
      <w:r>
        <w:rPr>
          <w:rFonts w:ascii="Andes" w:hAnsi="Andes" w:cs="Arial"/>
          <w:sz w:val="22"/>
          <w:szCs w:val="22"/>
        </w:rPr>
        <w:t>i</w:t>
      </w:r>
      <w:r w:rsidRPr="000F54B7">
        <w:rPr>
          <w:rFonts w:ascii="Andes" w:hAnsi="Andes" w:cs="Arial"/>
          <w:sz w:val="22"/>
          <w:szCs w:val="22"/>
        </w:rPr>
        <w:t>ères et des gestionnaires de fonds aux fins de vendre des actifs, émettre des instruments financiers ou réaliser d’autres transactions financières de sociétés, notamment dans le contexte d’opérations de privatisation. Outre le mode de paiement habituel (appelé « provision » ou « </w:t>
      </w:r>
      <w:proofErr w:type="spellStart"/>
      <w:r w:rsidRPr="000F54B7">
        <w:rPr>
          <w:rFonts w:ascii="Andes" w:hAnsi="Andes" w:cs="Arial"/>
          <w:i/>
          <w:sz w:val="22"/>
          <w:szCs w:val="22"/>
        </w:rPr>
        <w:t>retainer</w:t>
      </w:r>
      <w:proofErr w:type="spellEnd"/>
      <w:r w:rsidRPr="000F54B7">
        <w:rPr>
          <w:rFonts w:ascii="Andes" w:hAnsi="Andes" w:cs="Arial"/>
          <w:i/>
          <w:sz w:val="22"/>
          <w:szCs w:val="22"/>
        </w:rPr>
        <w:t xml:space="preserve"> </w:t>
      </w:r>
      <w:proofErr w:type="spellStart"/>
      <w:r w:rsidRPr="000F54B7">
        <w:rPr>
          <w:rFonts w:ascii="Andes" w:hAnsi="Andes" w:cs="Arial"/>
          <w:i/>
          <w:sz w:val="22"/>
          <w:szCs w:val="22"/>
        </w:rPr>
        <w:t>fee</w:t>
      </w:r>
      <w:proofErr w:type="spellEnd"/>
      <w:r w:rsidRPr="000F54B7">
        <w:rPr>
          <w:rFonts w:ascii="Andes" w:hAnsi="Andes" w:cs="Arial"/>
          <w:sz w:val="22"/>
          <w:szCs w:val="22"/>
        </w:rPr>
        <w:t> »), la rémunération comprend une « commission finale » (« </w:t>
      </w:r>
      <w:proofErr w:type="spellStart"/>
      <w:r w:rsidRPr="000F54B7">
        <w:rPr>
          <w:rFonts w:ascii="Andes" w:hAnsi="Andes" w:cs="Arial"/>
          <w:i/>
          <w:sz w:val="22"/>
          <w:szCs w:val="22"/>
        </w:rPr>
        <w:t>success</w:t>
      </w:r>
      <w:proofErr w:type="spellEnd"/>
      <w:r w:rsidRPr="000F54B7">
        <w:rPr>
          <w:rFonts w:ascii="Andes" w:hAnsi="Andes" w:cs="Arial"/>
          <w:i/>
          <w:sz w:val="22"/>
          <w:szCs w:val="22"/>
        </w:rPr>
        <w:t xml:space="preserve"> </w:t>
      </w:r>
      <w:proofErr w:type="spellStart"/>
      <w:r w:rsidRPr="000F54B7">
        <w:rPr>
          <w:rFonts w:ascii="Andes" w:hAnsi="Andes" w:cs="Arial"/>
          <w:i/>
          <w:sz w:val="22"/>
          <w:szCs w:val="22"/>
        </w:rPr>
        <w:t>fee</w:t>
      </w:r>
      <w:proofErr w:type="spellEnd"/>
      <w:r w:rsidRPr="000F54B7">
        <w:rPr>
          <w:rFonts w:ascii="Andes" w:hAnsi="Andes" w:cs="Arial"/>
          <w:sz w:val="22"/>
          <w:szCs w:val="22"/>
        </w:rPr>
        <w:t> ») qui peut être fixe mais qui est habituellement exprimée en pourcentage de la valeur des actifs ou des autres instruments financiers destinés à être ven</w:t>
      </w:r>
      <w:r>
        <w:rPr>
          <w:rFonts w:ascii="Andes" w:hAnsi="Andes" w:cs="Arial"/>
          <w:sz w:val="22"/>
          <w:szCs w:val="22"/>
        </w:rPr>
        <w:t>d</w:t>
      </w:r>
      <w:r w:rsidRPr="000F54B7">
        <w:rPr>
          <w:rFonts w:ascii="Andes" w:hAnsi="Andes" w:cs="Arial"/>
          <w:sz w:val="22"/>
          <w:szCs w:val="22"/>
        </w:rPr>
        <w:t>us. L’appel à propositions doit indiquer si l’évaluation financière tiendra compte de la commission finale, soit avec la provision, soit seule.</w:t>
      </w:r>
    </w:p>
    <w:p w14:paraId="009B87EC" w14:textId="77777777" w:rsidR="006D600B" w:rsidRPr="000F54B7" w:rsidRDefault="006D600B" w:rsidP="006D600B">
      <w:pPr>
        <w:spacing w:before="240" w:line="240" w:lineRule="auto"/>
        <w:contextualSpacing w:val="0"/>
        <w:rPr>
          <w:rFonts w:ascii="Andes" w:hAnsi="Andes"/>
          <w:sz w:val="28"/>
        </w:rPr>
      </w:pPr>
      <w:bookmarkStart w:id="3459" w:name="_Toc453170946"/>
      <w:r w:rsidRPr="000F54B7">
        <w:rPr>
          <w:rFonts w:ascii="Andes" w:hAnsi="Andes"/>
          <w:b/>
          <w:sz w:val="28"/>
          <w:szCs w:val="28"/>
        </w:rPr>
        <w:t>Agents spécialisés dans la passation de marchés</w:t>
      </w:r>
      <w:bookmarkEnd w:id="3459"/>
    </w:p>
    <w:p w14:paraId="69BA135E" w14:textId="77777777" w:rsidR="006D600B" w:rsidRPr="000F54B7" w:rsidRDefault="006D600B" w:rsidP="006D600B">
      <w:pPr>
        <w:pStyle w:val="Paragraphedeliste"/>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Lorsqu’un Emprunteur ne possède pas l’organisation, les moyens ou l’expérience nécessaires, une solution intéressante et efficace pour lui peut consister à employer, en tant qu’agent, une entreprise spécialisée dans la gestion des passations de marchés. Ces spécialistes de la passation des marchés peuvent être sélectionnés </w:t>
      </w:r>
      <w:r>
        <w:rPr>
          <w:rFonts w:ascii="Andes" w:hAnsi="Andes" w:cs="Arial"/>
          <w:sz w:val="22"/>
          <w:szCs w:val="22"/>
        </w:rPr>
        <w:t xml:space="preserve">par </w:t>
      </w:r>
      <w:r w:rsidRPr="000F54B7">
        <w:rPr>
          <w:rFonts w:ascii="Andes" w:hAnsi="Andes" w:cs="Arial"/>
          <w:sz w:val="22"/>
          <w:szCs w:val="22"/>
        </w:rPr>
        <w:t xml:space="preserve">la méthode SFQC ou SMC. L’agent spécialisé mènera à bien la </w:t>
      </w:r>
      <w:r>
        <w:rPr>
          <w:rFonts w:ascii="Andes" w:hAnsi="Andes" w:cs="Arial"/>
          <w:sz w:val="22"/>
          <w:szCs w:val="22"/>
        </w:rPr>
        <w:t xml:space="preserve">procédure de </w:t>
      </w:r>
      <w:r w:rsidRPr="000F54B7">
        <w:rPr>
          <w:rFonts w:ascii="Andes" w:hAnsi="Andes" w:cs="Arial"/>
          <w:sz w:val="22"/>
          <w:szCs w:val="22"/>
        </w:rPr>
        <w:t>passation de marchés pour le compte de l’Emprunteur en suivant toutes les modalités définies dans l’Accord Juridique et le Plan de Passation des Marchés.</w:t>
      </w:r>
    </w:p>
    <w:p w14:paraId="2285E48E" w14:textId="77777777" w:rsidR="006D600B" w:rsidRPr="000F54B7" w:rsidRDefault="006D600B" w:rsidP="006D600B">
      <w:pPr>
        <w:pStyle w:val="Style2"/>
        <w:keepNext/>
        <w:keepLines/>
        <w:widowControl/>
        <w:tabs>
          <w:tab w:val="left" w:pos="1710"/>
        </w:tabs>
        <w:autoSpaceDE/>
        <w:autoSpaceDN/>
        <w:adjustRightInd/>
        <w:spacing w:before="240" w:after="120" w:line="259" w:lineRule="auto"/>
        <w:contextualSpacing w:val="0"/>
        <w:outlineLvl w:val="0"/>
        <w:rPr>
          <w:rFonts w:ascii="Andes" w:eastAsiaTheme="majorEastAsia" w:hAnsi="Andes" w:cstheme="majorBidi"/>
          <w:bCs w:val="0"/>
          <w:color w:val="C45911"/>
          <w:sz w:val="32"/>
          <w:szCs w:val="32"/>
        </w:rPr>
      </w:pPr>
      <w:bookmarkStart w:id="3460" w:name="_Toc453170947"/>
      <w:bookmarkStart w:id="3461" w:name="_Toc453544325"/>
      <w:r w:rsidRPr="000F54B7">
        <w:rPr>
          <w:rFonts w:ascii="Andes" w:eastAsiaTheme="majorEastAsia" w:hAnsi="Andes" w:cstheme="majorBidi"/>
          <w:bCs w:val="0"/>
          <w:color w:val="C45911"/>
          <w:sz w:val="32"/>
          <w:szCs w:val="32"/>
        </w:rPr>
        <w:t>Personnel d’appui à la mise en œuvre des projets</w:t>
      </w:r>
      <w:bookmarkEnd w:id="3460"/>
      <w:bookmarkEnd w:id="3461"/>
    </w:p>
    <w:p w14:paraId="059DCDA4" w14:textId="77777777" w:rsidR="006D600B" w:rsidRPr="000F54B7" w:rsidRDefault="006D600B" w:rsidP="006D600B">
      <w:pPr>
        <w:pStyle w:val="Paragraphedeliste"/>
        <w:numPr>
          <w:ilvl w:val="0"/>
          <w:numId w:val="124"/>
        </w:numPr>
        <w:spacing w:before="0" w:line="240" w:lineRule="auto"/>
        <w:ind w:left="634" w:hanging="634"/>
        <w:contextualSpacing w:val="0"/>
        <w:rPr>
          <w:rFonts w:ascii="Andes" w:hAnsi="Andes" w:cs="Arial"/>
          <w:sz w:val="22"/>
          <w:szCs w:val="22"/>
        </w:rPr>
      </w:pPr>
      <w:r>
        <w:rPr>
          <w:rFonts w:ascii="Andes" w:hAnsi="Andes" w:cs="Arial"/>
          <w:sz w:val="22"/>
          <w:szCs w:val="22"/>
        </w:rPr>
        <w:t xml:space="preserve">En dehors des </w:t>
      </w:r>
      <w:r w:rsidRPr="000F54B7">
        <w:rPr>
          <w:rFonts w:ascii="Andes" w:hAnsi="Andes" w:cs="Arial"/>
          <w:sz w:val="22"/>
          <w:szCs w:val="22"/>
        </w:rPr>
        <w:t>consultants individuels visés dans l’Accord Juridique</w:t>
      </w:r>
      <w:r>
        <w:rPr>
          <w:rFonts w:ascii="Andes" w:hAnsi="Andes" w:cs="Arial"/>
          <w:sz w:val="22"/>
          <w:szCs w:val="22"/>
        </w:rPr>
        <w:t>,</w:t>
      </w:r>
      <w:r w:rsidRPr="000F54B7">
        <w:rPr>
          <w:rFonts w:ascii="Andes" w:hAnsi="Andes" w:cs="Arial"/>
          <w:sz w:val="22"/>
          <w:szCs w:val="22"/>
        </w:rPr>
        <w:t xml:space="preserve"> </w:t>
      </w:r>
      <w:r>
        <w:rPr>
          <w:rFonts w:ascii="Andes" w:hAnsi="Andes" w:cs="Arial"/>
          <w:sz w:val="22"/>
          <w:szCs w:val="22"/>
        </w:rPr>
        <w:t xml:space="preserve">les professionnels </w:t>
      </w:r>
      <w:r w:rsidRPr="000F54B7">
        <w:rPr>
          <w:rFonts w:ascii="Andes" w:hAnsi="Andes" w:cs="Arial"/>
          <w:sz w:val="22"/>
          <w:szCs w:val="22"/>
        </w:rPr>
        <w:t>recrutés par l’Emprunte</w:t>
      </w:r>
      <w:r>
        <w:rPr>
          <w:rFonts w:ascii="Andes" w:hAnsi="Andes" w:cs="Arial"/>
          <w:sz w:val="22"/>
          <w:szCs w:val="22"/>
        </w:rPr>
        <w:t>u</w:t>
      </w:r>
      <w:r w:rsidRPr="000F54B7">
        <w:rPr>
          <w:rFonts w:ascii="Andes" w:hAnsi="Andes" w:cs="Arial"/>
          <w:sz w:val="22"/>
          <w:szCs w:val="22"/>
        </w:rPr>
        <w:t xml:space="preserve">r pour assister la mise en œuvre d’un projet peuvent être sélectionnés par </w:t>
      </w:r>
      <w:r>
        <w:rPr>
          <w:rFonts w:ascii="Andes" w:hAnsi="Andes" w:cs="Arial"/>
          <w:sz w:val="22"/>
          <w:szCs w:val="22"/>
        </w:rPr>
        <w:t xml:space="preserve">ce dernier </w:t>
      </w:r>
      <w:r w:rsidRPr="000F54B7">
        <w:rPr>
          <w:rFonts w:ascii="Andes" w:hAnsi="Andes" w:cs="Arial"/>
          <w:sz w:val="22"/>
          <w:szCs w:val="22"/>
        </w:rPr>
        <w:t>suivant les procédures de recrutement qu’il applique pour ce type d’activités, telles qu’examinées et jug</w:t>
      </w:r>
      <w:r>
        <w:rPr>
          <w:rFonts w:ascii="Andes" w:hAnsi="Andes" w:cs="Arial"/>
          <w:sz w:val="22"/>
          <w:szCs w:val="22"/>
        </w:rPr>
        <w:t>ées acceptables par la</w:t>
      </w:r>
      <w:r w:rsidRPr="000F54B7">
        <w:rPr>
          <w:rFonts w:ascii="Andes" w:hAnsi="Andes" w:cs="Arial"/>
          <w:sz w:val="22"/>
          <w:szCs w:val="22"/>
        </w:rPr>
        <w:t xml:space="preserve"> Banque.</w:t>
      </w:r>
    </w:p>
    <w:p w14:paraId="11E6CCF2" w14:textId="77777777" w:rsidR="006D600B" w:rsidRPr="000F54B7" w:rsidRDefault="006D600B" w:rsidP="006D600B">
      <w:pPr>
        <w:pStyle w:val="Style2"/>
        <w:keepNext/>
        <w:keepLines/>
        <w:widowControl/>
        <w:tabs>
          <w:tab w:val="left" w:pos="1710"/>
        </w:tabs>
        <w:autoSpaceDE/>
        <w:autoSpaceDN/>
        <w:adjustRightInd/>
        <w:spacing w:before="240" w:after="120" w:line="259" w:lineRule="auto"/>
        <w:contextualSpacing w:val="0"/>
        <w:outlineLvl w:val="0"/>
        <w:rPr>
          <w:rFonts w:ascii="Andes" w:eastAsiaTheme="majorEastAsia" w:hAnsi="Andes" w:cstheme="majorBidi"/>
          <w:bCs w:val="0"/>
          <w:color w:val="C45911"/>
          <w:sz w:val="32"/>
          <w:szCs w:val="32"/>
        </w:rPr>
      </w:pPr>
      <w:bookmarkStart w:id="3462" w:name="_Toc453170949"/>
      <w:bookmarkStart w:id="3463" w:name="_Toc453544326"/>
      <w:r w:rsidRPr="000F54B7">
        <w:rPr>
          <w:rFonts w:ascii="Andes" w:eastAsiaTheme="majorEastAsia" w:hAnsi="Andes" w:cstheme="majorBidi"/>
          <w:bCs w:val="0"/>
          <w:color w:val="C45911"/>
          <w:sz w:val="32"/>
          <w:szCs w:val="32"/>
        </w:rPr>
        <w:t>Type particulier d</w:t>
      </w:r>
      <w:r>
        <w:rPr>
          <w:rFonts w:ascii="Andes" w:eastAsiaTheme="majorEastAsia" w:hAnsi="Andes" w:cstheme="majorBidi"/>
          <w:bCs w:val="0"/>
          <w:color w:val="C45911"/>
          <w:sz w:val="32"/>
          <w:szCs w:val="32"/>
        </w:rPr>
        <w:t xml:space="preserve">’arrangements </w:t>
      </w:r>
      <w:r w:rsidRPr="000F54B7">
        <w:rPr>
          <w:rFonts w:ascii="Andes" w:eastAsiaTheme="majorEastAsia" w:hAnsi="Andes" w:cstheme="majorBidi"/>
          <w:bCs w:val="0"/>
          <w:color w:val="C45911"/>
          <w:sz w:val="32"/>
          <w:szCs w:val="32"/>
        </w:rPr>
        <w:t>contractuel</w:t>
      </w:r>
      <w:bookmarkEnd w:id="3462"/>
      <w:bookmarkEnd w:id="3463"/>
      <w:r>
        <w:rPr>
          <w:rFonts w:ascii="Andes" w:eastAsiaTheme="majorEastAsia" w:hAnsi="Andes" w:cstheme="majorBidi"/>
          <w:bCs w:val="0"/>
          <w:color w:val="C45911"/>
          <w:sz w:val="32"/>
          <w:szCs w:val="32"/>
        </w:rPr>
        <w:t>s</w:t>
      </w:r>
    </w:p>
    <w:p w14:paraId="5E511483" w14:textId="73EF2640" w:rsidR="006D600B" w:rsidRPr="000F54B7" w:rsidRDefault="006D600B" w:rsidP="006D600B">
      <w:pPr>
        <w:rPr>
          <w:rFonts w:ascii="Andes" w:hAnsi="Andes"/>
        </w:rPr>
      </w:pPr>
      <w:bookmarkStart w:id="3464" w:name="_Toc453170950"/>
      <w:r>
        <w:rPr>
          <w:rFonts w:ascii="Andes" w:hAnsi="Andes"/>
          <w:b/>
          <w:sz w:val="28"/>
          <w:szCs w:val="28"/>
        </w:rPr>
        <w:t>Accords</w:t>
      </w:r>
      <w:r w:rsidR="007F2289">
        <w:rPr>
          <w:rFonts w:ascii="Andes" w:hAnsi="Andes"/>
          <w:b/>
          <w:sz w:val="28"/>
          <w:szCs w:val="28"/>
        </w:rPr>
        <w:t>-</w:t>
      </w:r>
      <w:r>
        <w:rPr>
          <w:rFonts w:ascii="Andes" w:hAnsi="Andes"/>
          <w:b/>
          <w:sz w:val="28"/>
          <w:szCs w:val="28"/>
        </w:rPr>
        <w:t>C</w:t>
      </w:r>
      <w:r w:rsidRPr="000F54B7">
        <w:rPr>
          <w:rFonts w:ascii="Andes" w:hAnsi="Andes"/>
          <w:b/>
          <w:sz w:val="28"/>
          <w:szCs w:val="28"/>
        </w:rPr>
        <w:t>adre</w:t>
      </w:r>
      <w:bookmarkEnd w:id="3464"/>
      <w:r>
        <w:rPr>
          <w:rFonts w:ascii="Andes" w:hAnsi="Andes"/>
          <w:b/>
          <w:sz w:val="28"/>
          <w:szCs w:val="28"/>
        </w:rPr>
        <w:t>s</w:t>
      </w:r>
    </w:p>
    <w:p w14:paraId="678CD30F" w14:textId="40D569AF" w:rsidR="006D600B" w:rsidRPr="000F54B7" w:rsidRDefault="006D600B" w:rsidP="006D600B">
      <w:pPr>
        <w:pStyle w:val="Paragraphedeliste"/>
        <w:numPr>
          <w:ilvl w:val="0"/>
          <w:numId w:val="124"/>
        </w:numPr>
        <w:spacing w:before="0" w:line="240" w:lineRule="auto"/>
        <w:ind w:left="634" w:hanging="634"/>
        <w:contextualSpacing w:val="0"/>
        <w:rPr>
          <w:rFonts w:ascii="Andes" w:hAnsi="Andes" w:cs="Arial"/>
          <w:sz w:val="22"/>
          <w:szCs w:val="22"/>
        </w:rPr>
      </w:pPr>
      <w:r>
        <w:rPr>
          <w:rFonts w:ascii="Andes" w:hAnsi="Andes" w:cs="Arial"/>
          <w:sz w:val="22"/>
          <w:szCs w:val="22"/>
        </w:rPr>
        <w:t xml:space="preserve">Un Accord </w:t>
      </w:r>
      <w:r w:rsidRPr="000F54B7">
        <w:rPr>
          <w:rFonts w:ascii="Andes" w:hAnsi="Andes" w:cs="Arial"/>
          <w:sz w:val="22"/>
          <w:szCs w:val="22"/>
        </w:rPr>
        <w:t xml:space="preserve">Cadre (AC) est un accord conclu avec des </w:t>
      </w:r>
      <w:r>
        <w:rPr>
          <w:rFonts w:ascii="Andes" w:hAnsi="Andes" w:cs="Arial"/>
          <w:sz w:val="22"/>
          <w:szCs w:val="22"/>
        </w:rPr>
        <w:t xml:space="preserve">cabinets </w:t>
      </w:r>
      <w:r w:rsidRPr="000F54B7">
        <w:rPr>
          <w:rFonts w:ascii="Andes" w:hAnsi="Andes" w:cs="Arial"/>
          <w:sz w:val="22"/>
          <w:szCs w:val="22"/>
        </w:rPr>
        <w:t>ou des Consultants individuels (</w:t>
      </w:r>
      <w:r>
        <w:rPr>
          <w:rFonts w:ascii="Andes" w:hAnsi="Andes" w:cs="Arial"/>
          <w:sz w:val="22"/>
          <w:szCs w:val="22"/>
        </w:rPr>
        <w:t xml:space="preserve">panel </w:t>
      </w:r>
      <w:r w:rsidRPr="000F54B7">
        <w:rPr>
          <w:rFonts w:ascii="Andes" w:hAnsi="Andes" w:cs="Arial"/>
          <w:sz w:val="22"/>
          <w:szCs w:val="22"/>
        </w:rPr>
        <w:t xml:space="preserve">de Consultants), en tant que de besoin sur une </w:t>
      </w:r>
      <w:proofErr w:type="gramStart"/>
      <w:r w:rsidRPr="000F54B7">
        <w:rPr>
          <w:rFonts w:ascii="Andes" w:hAnsi="Andes" w:cs="Arial"/>
          <w:sz w:val="22"/>
          <w:szCs w:val="22"/>
        </w:rPr>
        <w:t>période de temps</w:t>
      </w:r>
      <w:proofErr w:type="gramEnd"/>
      <w:r w:rsidRPr="000F54B7">
        <w:rPr>
          <w:rFonts w:ascii="Andes" w:hAnsi="Andes" w:cs="Arial"/>
          <w:sz w:val="22"/>
          <w:szCs w:val="22"/>
        </w:rPr>
        <w:t xml:space="preserve"> donnée. L’AC fixe les </w:t>
      </w:r>
      <w:r>
        <w:rPr>
          <w:rFonts w:ascii="Andes" w:hAnsi="Andes" w:cs="Arial"/>
          <w:sz w:val="22"/>
          <w:szCs w:val="22"/>
        </w:rPr>
        <w:t xml:space="preserve">clauses et </w:t>
      </w:r>
      <w:r w:rsidRPr="000F54B7">
        <w:rPr>
          <w:rFonts w:ascii="Andes" w:hAnsi="Andes" w:cs="Arial"/>
          <w:sz w:val="22"/>
          <w:szCs w:val="22"/>
        </w:rPr>
        <w:t xml:space="preserve">conditions dans lesquelles des Services de Consultants peuvent être fournis par </w:t>
      </w:r>
      <w:r>
        <w:rPr>
          <w:rFonts w:ascii="Andes" w:hAnsi="Andes" w:cs="Arial"/>
          <w:sz w:val="22"/>
          <w:szCs w:val="22"/>
        </w:rPr>
        <w:t xml:space="preserve">sélection </w:t>
      </w:r>
      <w:r w:rsidRPr="000F54B7">
        <w:rPr>
          <w:rFonts w:ascii="Andes" w:hAnsi="Andes" w:cs="Arial"/>
          <w:sz w:val="22"/>
          <w:szCs w:val="22"/>
        </w:rPr>
        <w:t>directe ou mise en concurrence pendant la durée de l’accord</w:t>
      </w:r>
      <w:r>
        <w:rPr>
          <w:rFonts w:ascii="Andes" w:hAnsi="Andes" w:cs="Arial"/>
          <w:sz w:val="22"/>
          <w:szCs w:val="22"/>
        </w:rPr>
        <w:t xml:space="preserve"> </w:t>
      </w:r>
      <w:r w:rsidRPr="000F54B7">
        <w:rPr>
          <w:rFonts w:ascii="Andes" w:hAnsi="Andes" w:cs="Arial"/>
          <w:sz w:val="22"/>
          <w:szCs w:val="22"/>
        </w:rPr>
        <w:t xml:space="preserve">(marché à commandes). Un AC peut être approprié pour pouvoir </w:t>
      </w:r>
      <w:r>
        <w:rPr>
          <w:rFonts w:ascii="Andes" w:hAnsi="Andes" w:cs="Arial"/>
          <w:sz w:val="22"/>
          <w:szCs w:val="22"/>
        </w:rPr>
        <w:t xml:space="preserve">sélectionner </w:t>
      </w:r>
      <w:r w:rsidRPr="000F54B7">
        <w:rPr>
          <w:rFonts w:ascii="Andes" w:hAnsi="Andes" w:cs="Arial"/>
          <w:sz w:val="22"/>
          <w:szCs w:val="22"/>
        </w:rPr>
        <w:t>plusieurs fois de</w:t>
      </w:r>
      <w:r>
        <w:rPr>
          <w:rFonts w:ascii="Andes" w:hAnsi="Andes" w:cs="Arial"/>
          <w:sz w:val="22"/>
          <w:szCs w:val="22"/>
        </w:rPr>
        <w:t>s</w:t>
      </w:r>
      <w:r w:rsidRPr="000F54B7">
        <w:rPr>
          <w:rFonts w:ascii="Andes" w:hAnsi="Andes" w:cs="Arial"/>
          <w:sz w:val="22"/>
          <w:szCs w:val="22"/>
        </w:rPr>
        <w:t xml:space="preserve"> Services de Consultants ou pour établir un seul cahier des charges lorsque différentes entités de l’Emprunteur achètent le même type de Services de Consultants. Pour plus de détails, voir l’</w:t>
      </w:r>
      <w:r w:rsidR="00835E7C">
        <w:rPr>
          <w:rFonts w:ascii="Andes" w:hAnsi="Andes" w:cs="Arial"/>
          <w:sz w:val="22"/>
          <w:szCs w:val="22"/>
        </w:rPr>
        <w:t>A</w:t>
      </w:r>
      <w:r w:rsidRPr="000F54B7">
        <w:rPr>
          <w:rFonts w:ascii="Andes" w:hAnsi="Andes" w:cs="Arial"/>
          <w:sz w:val="22"/>
          <w:szCs w:val="22"/>
        </w:rPr>
        <w:t>nnexe XV Accords</w:t>
      </w:r>
      <w:r w:rsidR="007F2289">
        <w:rPr>
          <w:rFonts w:ascii="Andes" w:hAnsi="Andes" w:cs="Arial"/>
          <w:sz w:val="22"/>
          <w:szCs w:val="22"/>
        </w:rPr>
        <w:t>-</w:t>
      </w:r>
      <w:r w:rsidRPr="000F54B7">
        <w:rPr>
          <w:rFonts w:ascii="Andes" w:hAnsi="Andes" w:cs="Arial"/>
          <w:sz w:val="22"/>
          <w:szCs w:val="22"/>
        </w:rPr>
        <w:t>Cadres.</w:t>
      </w:r>
    </w:p>
    <w:p w14:paraId="2089CEC0" w14:textId="77777777" w:rsidR="006D600B" w:rsidRPr="000F54B7" w:rsidRDefault="006D600B" w:rsidP="006D600B">
      <w:pPr>
        <w:pStyle w:val="Style2"/>
        <w:keepNext/>
        <w:keepLines/>
        <w:widowControl/>
        <w:tabs>
          <w:tab w:val="left" w:pos="1710"/>
        </w:tabs>
        <w:autoSpaceDE/>
        <w:autoSpaceDN/>
        <w:adjustRightInd/>
        <w:spacing w:before="240" w:after="120" w:line="259" w:lineRule="auto"/>
        <w:contextualSpacing w:val="0"/>
        <w:outlineLvl w:val="0"/>
        <w:rPr>
          <w:rFonts w:ascii="Andes" w:eastAsiaTheme="majorEastAsia" w:hAnsi="Andes" w:cstheme="majorBidi"/>
          <w:bCs w:val="0"/>
          <w:color w:val="C45911"/>
          <w:sz w:val="32"/>
          <w:szCs w:val="32"/>
        </w:rPr>
      </w:pPr>
      <w:bookmarkStart w:id="3465" w:name="_Toc453170951"/>
      <w:bookmarkStart w:id="3466" w:name="_Toc453544327"/>
      <w:r w:rsidRPr="000F54B7">
        <w:rPr>
          <w:rFonts w:ascii="Andes" w:eastAsiaTheme="majorEastAsia" w:hAnsi="Andes" w:cstheme="majorBidi"/>
          <w:bCs w:val="0"/>
          <w:color w:val="C45911"/>
          <w:sz w:val="32"/>
          <w:szCs w:val="32"/>
        </w:rPr>
        <w:t>Méthodes de sélection agréées pour des Consultants individuels</w:t>
      </w:r>
      <w:bookmarkEnd w:id="3465"/>
      <w:bookmarkEnd w:id="3466"/>
    </w:p>
    <w:p w14:paraId="61CD6F98" w14:textId="77777777" w:rsidR="006D600B" w:rsidRPr="000F54B7" w:rsidRDefault="006D600B" w:rsidP="006D600B">
      <w:pPr>
        <w:pStyle w:val="Paragraphedeliste"/>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Des Consultants individuels sont sélectionnés en vue d’une mission pour laquelle :</w:t>
      </w:r>
    </w:p>
    <w:p w14:paraId="213EFDE0" w14:textId="77777777" w:rsidR="006D600B" w:rsidRPr="000F54B7" w:rsidRDefault="006D600B" w:rsidP="006D600B">
      <w:pPr>
        <w:pStyle w:val="Paragraphedeliste"/>
        <w:numPr>
          <w:ilvl w:val="0"/>
          <w:numId w:val="186"/>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une équipe d’experts n’est pas nécessaire ;</w:t>
      </w:r>
    </w:p>
    <w:p w14:paraId="089E442F" w14:textId="77777777" w:rsidR="006D600B" w:rsidRPr="000F54B7" w:rsidRDefault="006D600B" w:rsidP="006D600B">
      <w:pPr>
        <w:pStyle w:val="Paragraphedeliste"/>
        <w:numPr>
          <w:ilvl w:val="0"/>
          <w:numId w:val="186"/>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aucune assistance professionnelle supplémentaire du siège n’est nécessaire ; et</w:t>
      </w:r>
    </w:p>
    <w:p w14:paraId="3AAA6F54" w14:textId="77777777" w:rsidR="006D600B" w:rsidRPr="000F54B7" w:rsidRDefault="006D600B" w:rsidP="006D600B">
      <w:pPr>
        <w:pStyle w:val="Paragraphedeliste"/>
        <w:numPr>
          <w:ilvl w:val="0"/>
          <w:numId w:val="186"/>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l’expérience et les qualifications du Consultant individuel sont déterminantes. </w:t>
      </w:r>
    </w:p>
    <w:p w14:paraId="377DC275" w14:textId="77777777" w:rsidR="006D600B" w:rsidRPr="000F54B7" w:rsidRDefault="006D600B" w:rsidP="006D600B">
      <w:pPr>
        <w:pStyle w:val="Paragraphedeliste"/>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lastRenderedPageBreak/>
        <w:t>Lorsque le nombre de Consultants individuels risque de rendre difficile le travail de coordination et d’administration ou de compliquer la responsabilité collective, il est préférable de faire appel à un</w:t>
      </w:r>
      <w:r>
        <w:rPr>
          <w:rFonts w:ascii="Andes" w:hAnsi="Andes" w:cs="Arial"/>
          <w:sz w:val="22"/>
          <w:szCs w:val="22"/>
        </w:rPr>
        <w:t xml:space="preserve"> cabinet</w:t>
      </w:r>
      <w:r w:rsidRPr="000F54B7">
        <w:rPr>
          <w:rFonts w:ascii="Andes" w:hAnsi="Andes" w:cs="Arial"/>
          <w:sz w:val="22"/>
          <w:szCs w:val="22"/>
        </w:rPr>
        <w:t>. Lorsqu’aucun Consultant individuel possédant les qualifications requises n’est disponible ou n’est en mesure de signer un contrat directement avec un Emprunteur en raison d’un accord conclu précédemment avec un</w:t>
      </w:r>
      <w:r>
        <w:rPr>
          <w:rFonts w:ascii="Andes" w:hAnsi="Andes" w:cs="Arial"/>
          <w:sz w:val="22"/>
          <w:szCs w:val="22"/>
        </w:rPr>
        <w:t xml:space="preserve"> cabinet</w:t>
      </w:r>
      <w:r w:rsidRPr="000F54B7">
        <w:rPr>
          <w:rFonts w:ascii="Andes" w:hAnsi="Andes" w:cs="Arial"/>
          <w:sz w:val="22"/>
          <w:szCs w:val="22"/>
        </w:rPr>
        <w:t xml:space="preserve">, l’Emprunteur peut inviter des </w:t>
      </w:r>
      <w:r>
        <w:rPr>
          <w:rFonts w:ascii="Andes" w:hAnsi="Andes" w:cs="Arial"/>
          <w:sz w:val="22"/>
          <w:szCs w:val="22"/>
        </w:rPr>
        <w:t xml:space="preserve">cabinets de conseil </w:t>
      </w:r>
      <w:r w:rsidRPr="000F54B7">
        <w:rPr>
          <w:rFonts w:ascii="Andes" w:hAnsi="Andes" w:cs="Arial"/>
          <w:sz w:val="22"/>
          <w:szCs w:val="22"/>
        </w:rPr>
        <w:t>à fournir des Consultants indivi</w:t>
      </w:r>
      <w:r>
        <w:rPr>
          <w:rFonts w:ascii="Andes" w:hAnsi="Andes" w:cs="Arial"/>
          <w:sz w:val="22"/>
          <w:szCs w:val="22"/>
        </w:rPr>
        <w:t>duels qualifiés pour la mission.</w:t>
      </w:r>
      <w:r w:rsidRPr="000F54B7">
        <w:rPr>
          <w:rFonts w:ascii="Andes" w:hAnsi="Andes" w:cs="Arial"/>
          <w:sz w:val="22"/>
          <w:szCs w:val="22"/>
        </w:rPr>
        <w:t xml:space="preserve"> Dans tous les cas, les Consultants individuels sélectionnés pour être employés par l’Emprunteur seront les candidats les plus expérimentés et les plus qualifiés, et seront pleinement capables d’exécuter la mission. L’évaluation sera fondée sur les qualifications et l’expérience du Consultant individuel</w:t>
      </w:r>
      <w:r>
        <w:rPr>
          <w:rFonts w:ascii="Andes" w:hAnsi="Andes" w:cs="Arial"/>
          <w:sz w:val="22"/>
          <w:szCs w:val="22"/>
        </w:rPr>
        <w:t xml:space="preserve"> en rapport avec la mission</w:t>
      </w:r>
      <w:r w:rsidRPr="000F54B7">
        <w:rPr>
          <w:rFonts w:ascii="Andes" w:hAnsi="Andes" w:cs="Arial"/>
          <w:sz w:val="22"/>
          <w:szCs w:val="22"/>
        </w:rPr>
        <w:t>.</w:t>
      </w:r>
    </w:p>
    <w:p w14:paraId="6E99CD48" w14:textId="77777777" w:rsidR="006D600B" w:rsidRPr="000F54B7" w:rsidRDefault="006D600B" w:rsidP="006D600B">
      <w:pPr>
        <w:spacing w:before="240" w:line="240" w:lineRule="auto"/>
        <w:contextualSpacing w:val="0"/>
        <w:rPr>
          <w:rFonts w:ascii="Andes" w:hAnsi="Andes"/>
          <w:sz w:val="28"/>
        </w:rPr>
      </w:pPr>
      <w:bookmarkStart w:id="3467" w:name="_Toc453170952"/>
      <w:r w:rsidRPr="000F54B7">
        <w:rPr>
          <w:rFonts w:ascii="Andes" w:hAnsi="Andes"/>
          <w:b/>
          <w:sz w:val="28"/>
          <w:szCs w:val="28"/>
        </w:rPr>
        <w:t>Sélection de Consultants</w:t>
      </w:r>
      <w:bookmarkEnd w:id="3467"/>
      <w:r w:rsidRPr="000F54B7">
        <w:rPr>
          <w:rFonts w:ascii="Andes" w:hAnsi="Andes"/>
          <w:b/>
          <w:sz w:val="28"/>
          <w:szCs w:val="28"/>
        </w:rPr>
        <w:t xml:space="preserve"> individuels par mise en concurrence ouverte</w:t>
      </w:r>
    </w:p>
    <w:p w14:paraId="1D6527A3" w14:textId="77777777" w:rsidR="006D600B" w:rsidRPr="000F54B7" w:rsidRDefault="006D600B" w:rsidP="006D600B">
      <w:pPr>
        <w:pStyle w:val="Paragraphedeliste"/>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La publication d’un AMI est encouragée, en particulier lorsque l’</w:t>
      </w:r>
      <w:r>
        <w:rPr>
          <w:rFonts w:ascii="Andes" w:hAnsi="Andes" w:cs="Arial"/>
          <w:sz w:val="22"/>
          <w:szCs w:val="22"/>
        </w:rPr>
        <w:t>E</w:t>
      </w:r>
      <w:r w:rsidRPr="000F54B7">
        <w:rPr>
          <w:rFonts w:ascii="Andes" w:hAnsi="Andes" w:cs="Arial"/>
          <w:sz w:val="22"/>
          <w:szCs w:val="22"/>
        </w:rPr>
        <w:t xml:space="preserve">mprunteur ne connaît pas de Consultants individuels expérimentés et qualifiés ou ne sait pas s’ils sont disponibles, que les services sont complexes, qu’il peut être intéressant de prospecter plus largement, ou que cette publication est obligatoire en vertu du droit national. </w:t>
      </w:r>
    </w:p>
    <w:p w14:paraId="4CAE6205" w14:textId="77777777" w:rsidR="006D600B" w:rsidRPr="000F54B7" w:rsidRDefault="006D600B" w:rsidP="006D600B">
      <w:pPr>
        <w:pStyle w:val="Paragraphedeliste"/>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Les AMI doivent comprendre les </w:t>
      </w:r>
      <w:r w:rsidRPr="00D124D9">
        <w:rPr>
          <w:rFonts w:ascii="Andes" w:eastAsiaTheme="minorHAnsi" w:hAnsi="Andes" w:cs="Arial"/>
          <w:color w:val="000000"/>
          <w:sz w:val="22"/>
          <w:szCs w:val="22"/>
        </w:rPr>
        <w:t>T</w:t>
      </w:r>
      <w:r>
        <w:rPr>
          <w:rFonts w:ascii="Andes" w:eastAsiaTheme="minorHAnsi" w:hAnsi="Andes" w:cs="Arial"/>
          <w:color w:val="000000"/>
          <w:sz w:val="22"/>
          <w:szCs w:val="22"/>
        </w:rPr>
        <w:t>ermes de Référence</w:t>
      </w:r>
      <w:r w:rsidRPr="000F54B7">
        <w:rPr>
          <w:rFonts w:ascii="Andes" w:hAnsi="Andes" w:cs="Arial"/>
          <w:sz w:val="22"/>
          <w:szCs w:val="22"/>
        </w:rPr>
        <w:t xml:space="preserve"> complets. Les Consultants individuels sont sélectionnés parmi ceux ayant </w:t>
      </w:r>
      <w:r>
        <w:rPr>
          <w:rFonts w:ascii="Andes" w:hAnsi="Andes" w:cs="Arial"/>
          <w:sz w:val="22"/>
          <w:szCs w:val="22"/>
        </w:rPr>
        <w:t>répondu à l’</w:t>
      </w:r>
      <w:r w:rsidRPr="000F54B7">
        <w:rPr>
          <w:rFonts w:ascii="Andes" w:hAnsi="Andes" w:cs="Arial"/>
          <w:sz w:val="22"/>
          <w:szCs w:val="22"/>
        </w:rPr>
        <w:t>AMI.</w:t>
      </w:r>
    </w:p>
    <w:p w14:paraId="58F3306F" w14:textId="77777777" w:rsidR="006D600B" w:rsidRPr="000F54B7" w:rsidRDefault="006D600B" w:rsidP="006D600B">
      <w:pPr>
        <w:spacing w:before="240" w:line="240" w:lineRule="auto"/>
        <w:contextualSpacing w:val="0"/>
        <w:rPr>
          <w:rFonts w:ascii="Andes" w:hAnsi="Andes"/>
          <w:sz w:val="28"/>
        </w:rPr>
      </w:pPr>
      <w:bookmarkStart w:id="3468" w:name="_Toc453170953"/>
      <w:r w:rsidRPr="000F54B7">
        <w:rPr>
          <w:rFonts w:ascii="Andes" w:hAnsi="Andes"/>
          <w:b/>
          <w:sz w:val="28"/>
          <w:szCs w:val="28"/>
        </w:rPr>
        <w:t>Sélection de Consultants individuels par mise en concurrence restreinte</w:t>
      </w:r>
    </w:p>
    <w:bookmarkEnd w:id="3468"/>
    <w:p w14:paraId="0495EB45" w14:textId="77777777" w:rsidR="006D600B" w:rsidRPr="000F54B7" w:rsidRDefault="006D600B" w:rsidP="006D600B">
      <w:pPr>
        <w:pStyle w:val="Paragraphedeliste"/>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Lorsque l’Emprunteur connaît des Consultants individuels expérimentés et qualifiés et sait qu’ils sont disponibles, il peut, au lieu de publier un AMI, inviter les Consultants individuels qu’il juge qualifiés à fournir les Services de Consultants requis. Les </w:t>
      </w:r>
      <w:r w:rsidRPr="00D124D9">
        <w:rPr>
          <w:rFonts w:ascii="Andes" w:eastAsiaTheme="minorHAnsi" w:hAnsi="Andes" w:cs="Arial"/>
          <w:color w:val="000000"/>
          <w:sz w:val="22"/>
          <w:szCs w:val="22"/>
        </w:rPr>
        <w:t>T</w:t>
      </w:r>
      <w:r>
        <w:rPr>
          <w:rFonts w:ascii="Andes" w:eastAsiaTheme="minorHAnsi" w:hAnsi="Andes" w:cs="Arial"/>
          <w:color w:val="000000"/>
          <w:sz w:val="22"/>
          <w:szCs w:val="22"/>
        </w:rPr>
        <w:t>ermes de Référence</w:t>
      </w:r>
      <w:r w:rsidRPr="000F54B7">
        <w:rPr>
          <w:rFonts w:ascii="Andes" w:hAnsi="Andes" w:cs="Arial"/>
          <w:sz w:val="22"/>
          <w:szCs w:val="22"/>
        </w:rPr>
        <w:t xml:space="preserve"> complets doivent être transmis avec l’invitation. Les Consultants individuels seront sélectionnés parmi ceux ayant </w:t>
      </w:r>
      <w:r>
        <w:rPr>
          <w:rFonts w:ascii="Andes" w:hAnsi="Andes" w:cs="Arial"/>
          <w:sz w:val="22"/>
          <w:szCs w:val="22"/>
        </w:rPr>
        <w:t xml:space="preserve">répondu </w:t>
      </w:r>
      <w:r w:rsidRPr="000F54B7">
        <w:rPr>
          <w:rFonts w:ascii="Andes" w:hAnsi="Andes" w:cs="Arial"/>
          <w:sz w:val="22"/>
          <w:szCs w:val="22"/>
        </w:rPr>
        <w:t xml:space="preserve">à l’invitation. </w:t>
      </w:r>
    </w:p>
    <w:p w14:paraId="066F5A7C" w14:textId="77777777" w:rsidR="006D600B" w:rsidRPr="000F54B7" w:rsidRDefault="006D600B" w:rsidP="006D600B">
      <w:pPr>
        <w:spacing w:before="240" w:line="240" w:lineRule="auto"/>
        <w:contextualSpacing w:val="0"/>
        <w:rPr>
          <w:rFonts w:ascii="Andes" w:hAnsi="Andes"/>
          <w:sz w:val="28"/>
        </w:rPr>
      </w:pPr>
      <w:bookmarkStart w:id="3469" w:name="_Toc453170954"/>
      <w:r w:rsidRPr="000F54B7">
        <w:rPr>
          <w:rFonts w:ascii="Andes" w:hAnsi="Andes"/>
          <w:b/>
          <w:sz w:val="28"/>
          <w:szCs w:val="28"/>
        </w:rPr>
        <w:t xml:space="preserve">Sélection </w:t>
      </w:r>
      <w:r>
        <w:rPr>
          <w:rFonts w:ascii="Andes" w:hAnsi="Andes"/>
          <w:b/>
          <w:sz w:val="28"/>
          <w:szCs w:val="28"/>
        </w:rPr>
        <w:t xml:space="preserve">directe </w:t>
      </w:r>
      <w:r w:rsidRPr="000F54B7">
        <w:rPr>
          <w:rFonts w:ascii="Andes" w:hAnsi="Andes"/>
          <w:b/>
          <w:sz w:val="28"/>
          <w:szCs w:val="28"/>
        </w:rPr>
        <w:t>de Consultants</w:t>
      </w:r>
      <w:bookmarkEnd w:id="3469"/>
      <w:r w:rsidRPr="000F54B7">
        <w:rPr>
          <w:rFonts w:ascii="Andes" w:hAnsi="Andes"/>
          <w:b/>
          <w:sz w:val="28"/>
          <w:szCs w:val="28"/>
        </w:rPr>
        <w:t xml:space="preserve"> individuels</w:t>
      </w:r>
    </w:p>
    <w:p w14:paraId="78EF0529" w14:textId="77777777" w:rsidR="006D600B" w:rsidRPr="000F54B7" w:rsidRDefault="006D600B" w:rsidP="006D600B">
      <w:pPr>
        <w:pStyle w:val="Paragraphedeliste"/>
        <w:numPr>
          <w:ilvl w:val="0"/>
          <w:numId w:val="124"/>
        </w:numPr>
        <w:spacing w:before="0" w:line="240" w:lineRule="auto"/>
        <w:ind w:left="634" w:hanging="634"/>
        <w:contextualSpacing w:val="0"/>
        <w:rPr>
          <w:rFonts w:ascii="Andes" w:hAnsi="Andes" w:cs="Arial"/>
          <w:sz w:val="22"/>
          <w:szCs w:val="22"/>
        </w:rPr>
      </w:pPr>
      <w:r w:rsidRPr="000F54B7">
        <w:rPr>
          <w:rFonts w:ascii="Andes" w:hAnsi="Andes" w:cs="Arial"/>
          <w:sz w:val="22"/>
          <w:szCs w:val="22"/>
        </w:rPr>
        <w:t xml:space="preserve">Il est possible de </w:t>
      </w:r>
      <w:r>
        <w:rPr>
          <w:rFonts w:ascii="Andes" w:hAnsi="Andes" w:cs="Arial"/>
          <w:sz w:val="22"/>
          <w:szCs w:val="22"/>
        </w:rPr>
        <w:t xml:space="preserve">recruter </w:t>
      </w:r>
      <w:r w:rsidRPr="000F54B7">
        <w:rPr>
          <w:rFonts w:ascii="Andes" w:hAnsi="Andes" w:cs="Arial"/>
          <w:sz w:val="22"/>
          <w:szCs w:val="22"/>
        </w:rPr>
        <w:t xml:space="preserve">des Consultants individuels par </w:t>
      </w:r>
      <w:r>
        <w:rPr>
          <w:rFonts w:ascii="Andes" w:hAnsi="Andes" w:cs="Arial"/>
          <w:sz w:val="22"/>
          <w:szCs w:val="22"/>
        </w:rPr>
        <w:t xml:space="preserve">sélection </w:t>
      </w:r>
      <w:r w:rsidRPr="000F54B7">
        <w:rPr>
          <w:rFonts w:ascii="Andes" w:hAnsi="Andes" w:cs="Arial"/>
          <w:sz w:val="22"/>
          <w:szCs w:val="22"/>
        </w:rPr>
        <w:t>directe, sous réserve de fournir les justifications nécessaires, dans les situations suivantes :</w:t>
      </w:r>
    </w:p>
    <w:p w14:paraId="04A5E5FE" w14:textId="77777777" w:rsidR="006D600B" w:rsidRPr="000F54B7" w:rsidRDefault="006D600B" w:rsidP="006D600B">
      <w:pPr>
        <w:pStyle w:val="Paragraphedeliste"/>
        <w:numPr>
          <w:ilvl w:val="0"/>
          <w:numId w:val="262"/>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les missions qui sont le prolongement de travaux exécutés précédemment par le Consultant individuel sélectionné par une méthode avec mise en concurrence ; </w:t>
      </w:r>
    </w:p>
    <w:p w14:paraId="6B74EA8E" w14:textId="77777777" w:rsidR="006D600B" w:rsidRPr="000F54B7" w:rsidRDefault="006D600B" w:rsidP="006D600B">
      <w:pPr>
        <w:pStyle w:val="Paragraphedeliste"/>
        <w:numPr>
          <w:ilvl w:val="0"/>
          <w:numId w:val="262"/>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les missions d’une durée totale anticipée de moins de six mois ; </w:t>
      </w:r>
    </w:p>
    <w:p w14:paraId="7F574D02" w14:textId="77777777" w:rsidR="006D600B" w:rsidRPr="000F54B7" w:rsidRDefault="006D600B" w:rsidP="006D600B">
      <w:pPr>
        <w:pStyle w:val="Paragraphedeliste"/>
        <w:numPr>
          <w:ilvl w:val="0"/>
          <w:numId w:val="262"/>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 xml:space="preserve">les situations urgentes ; ou </w:t>
      </w:r>
    </w:p>
    <w:p w14:paraId="533236A5" w14:textId="77777777" w:rsidR="006D600B" w:rsidRPr="000F54B7" w:rsidRDefault="006D600B" w:rsidP="006D600B">
      <w:pPr>
        <w:pStyle w:val="Paragraphedeliste"/>
        <w:numPr>
          <w:ilvl w:val="0"/>
          <w:numId w:val="262"/>
        </w:numPr>
        <w:spacing w:before="0" w:line="240" w:lineRule="auto"/>
        <w:contextualSpacing w:val="0"/>
        <w:rPr>
          <w:rFonts w:ascii="Andes" w:eastAsiaTheme="minorHAnsi" w:hAnsi="Andes" w:cs="Arial"/>
          <w:color w:val="000000"/>
          <w:sz w:val="22"/>
          <w:szCs w:val="22"/>
        </w:rPr>
      </w:pPr>
      <w:r w:rsidRPr="000F54B7">
        <w:rPr>
          <w:rFonts w:ascii="Andes" w:eastAsiaTheme="minorHAnsi" w:hAnsi="Andes" w:cs="Arial"/>
          <w:color w:val="000000"/>
          <w:sz w:val="22"/>
          <w:szCs w:val="22"/>
        </w:rPr>
        <w:t>lorsqu’un Consultant individuel possède une expérience et des qualifications d’une valeur exceptionnelle pour la mission.</w:t>
      </w:r>
    </w:p>
    <w:p w14:paraId="48672797" w14:textId="2EFEF368" w:rsidR="00717F2A" w:rsidRDefault="00717F2A">
      <w:pPr>
        <w:spacing w:before="0" w:after="200"/>
        <w:contextualSpacing w:val="0"/>
        <w:jc w:val="left"/>
        <w:rPr>
          <w:rFonts w:ascii="Andes" w:eastAsiaTheme="minorHAnsi" w:hAnsi="Andes" w:cs="Arial"/>
          <w:color w:val="000000"/>
          <w:sz w:val="22"/>
          <w:szCs w:val="22"/>
        </w:rPr>
      </w:pPr>
      <w:r>
        <w:rPr>
          <w:rFonts w:ascii="Andes" w:eastAsiaTheme="minorHAnsi" w:hAnsi="Andes" w:cs="Arial"/>
          <w:color w:val="000000"/>
          <w:sz w:val="22"/>
          <w:szCs w:val="22"/>
        </w:rPr>
        <w:br w:type="page"/>
      </w:r>
    </w:p>
    <w:p w14:paraId="05CC9C40" w14:textId="28273D9F" w:rsidR="00717F2A" w:rsidRDefault="00717F2A">
      <w:pPr>
        <w:spacing w:before="0" w:after="200"/>
        <w:contextualSpacing w:val="0"/>
        <w:jc w:val="left"/>
        <w:rPr>
          <w:rFonts w:ascii="Andes" w:eastAsiaTheme="minorHAnsi" w:hAnsi="Andes" w:cs="Arial"/>
          <w:color w:val="000000"/>
          <w:sz w:val="22"/>
          <w:szCs w:val="22"/>
        </w:rPr>
      </w:pPr>
      <w:r>
        <w:rPr>
          <w:rFonts w:ascii="Andes" w:eastAsiaTheme="minorHAnsi" w:hAnsi="Andes" w:cs="Arial"/>
          <w:color w:val="000000"/>
          <w:sz w:val="22"/>
          <w:szCs w:val="22"/>
        </w:rPr>
        <w:lastRenderedPageBreak/>
        <w:br w:type="page"/>
      </w:r>
    </w:p>
    <w:p w14:paraId="0473CB24" w14:textId="77777777" w:rsidR="006D600B" w:rsidRPr="000F54B7" w:rsidRDefault="006D600B" w:rsidP="006D600B">
      <w:pPr>
        <w:pStyle w:val="Paragraphedeliste"/>
        <w:numPr>
          <w:ilvl w:val="0"/>
          <w:numId w:val="125"/>
        </w:numPr>
        <w:spacing w:before="0" w:line="240" w:lineRule="auto"/>
        <w:contextualSpacing w:val="0"/>
        <w:jc w:val="left"/>
        <w:rPr>
          <w:rFonts w:ascii="Andes" w:eastAsiaTheme="minorHAnsi" w:hAnsi="Andes" w:cs="Arial"/>
          <w:color w:val="000000"/>
          <w:sz w:val="22"/>
          <w:szCs w:val="22"/>
        </w:rPr>
        <w:sectPr w:rsidR="006D600B" w:rsidRPr="000F54B7" w:rsidSect="000B5EC0">
          <w:headerReference w:type="default" r:id="rId25"/>
          <w:pgSz w:w="12240" w:h="15840"/>
          <w:pgMar w:top="1872" w:right="1440" w:bottom="1440" w:left="1411" w:header="720" w:footer="720" w:gutter="0"/>
          <w:cols w:space="720"/>
          <w:docGrid w:linePitch="360"/>
        </w:sectPr>
      </w:pPr>
    </w:p>
    <w:p w14:paraId="3F78DD6C" w14:textId="77777777" w:rsidR="00A14AEA" w:rsidRPr="007656EB" w:rsidRDefault="00F00D96" w:rsidP="00706C4D">
      <w:pPr>
        <w:pStyle w:val="Titre1"/>
        <w:spacing w:before="0" w:after="0" w:line="240" w:lineRule="auto"/>
        <w:ind w:left="360"/>
        <w:jc w:val="center"/>
        <w:rPr>
          <w:rFonts w:ascii="Andes" w:hAnsi="Andes" w:cs="Arial"/>
          <w:sz w:val="32"/>
          <w:szCs w:val="32"/>
          <w:lang w:val="en-US"/>
        </w:rPr>
      </w:pPr>
      <w:r w:rsidRPr="008F0584">
        <w:rPr>
          <w:rFonts w:ascii="Andes" w:hAnsi="Andes" w:cs="Microsoft Sans Serif"/>
          <w:caps/>
          <w:noProof/>
          <w:color w:val="002060"/>
          <w:lang w:val="en-US"/>
        </w:rPr>
        <w:lastRenderedPageBreak/>
        <mc:AlternateContent>
          <mc:Choice Requires="wps">
            <w:drawing>
              <wp:anchor distT="0" distB="0" distL="114300" distR="114300" simplePos="0" relativeHeight="251635712" behindDoc="0" locked="0" layoutInCell="1" allowOverlap="1" wp14:anchorId="2997164D" wp14:editId="2904686E">
                <wp:simplePos x="0" y="0"/>
                <wp:positionH relativeFrom="page">
                  <wp:posOffset>-1905</wp:posOffset>
                </wp:positionH>
                <wp:positionV relativeFrom="paragraph">
                  <wp:posOffset>-1187186</wp:posOffset>
                </wp:positionV>
                <wp:extent cx="8151963" cy="1466491"/>
                <wp:effectExtent l="0" t="0" r="1905" b="635"/>
                <wp:wrapNone/>
                <wp:docPr id="16" name="Rectangle 16"/>
                <wp:cNvGraphicFramePr/>
                <a:graphic xmlns:a="http://schemas.openxmlformats.org/drawingml/2006/main">
                  <a:graphicData uri="http://schemas.microsoft.com/office/word/2010/wordprocessingShape">
                    <wps:wsp>
                      <wps:cNvSpPr/>
                      <wps:spPr>
                        <a:xfrm>
                          <a:off x="0" y="0"/>
                          <a:ext cx="8151963" cy="1466491"/>
                        </a:xfrm>
                        <a:prstGeom prst="rect">
                          <a:avLst/>
                        </a:prstGeom>
                        <a:solidFill>
                          <a:srgbClr val="C45911"/>
                        </a:solidFill>
                        <a:ln w="12700" cap="flat" cmpd="sng" algn="ctr">
                          <a:noFill/>
                          <a:prstDash val="solid"/>
                          <a:miter lim="800000"/>
                        </a:ln>
                        <a:effectLst/>
                      </wps:spPr>
                      <wps:txbx>
                        <w:txbxContent>
                          <w:p w14:paraId="1D624105" w14:textId="5BF1B309" w:rsidR="00A41794" w:rsidRPr="008F0584" w:rsidRDefault="00A41794" w:rsidP="00304FE2">
                            <w:pPr>
                              <w:tabs>
                                <w:tab w:val="left" w:pos="3060"/>
                              </w:tabs>
                              <w:ind w:left="1260"/>
                              <w:rPr>
                                <w:rFonts w:ascii="Andes" w:hAnsi="Andes"/>
                                <w:color w:val="FFFFFF" w:themeColor="background1"/>
                                <w:sz w:val="44"/>
                                <w:szCs w:val="44"/>
                              </w:rPr>
                            </w:pPr>
                            <w:r w:rsidRPr="008F0584">
                              <w:rPr>
                                <w:rFonts w:ascii="Andes" w:hAnsi="Andes"/>
                                <w:color w:val="FFFFFF" w:themeColor="background1"/>
                                <w:sz w:val="44"/>
                                <w:szCs w:val="44"/>
                              </w:rPr>
                              <w:t>Annex</w:t>
                            </w:r>
                            <w:r>
                              <w:rPr>
                                <w:rFonts w:ascii="Andes" w:hAnsi="Andes"/>
                                <w:color w:val="FFFFFF" w:themeColor="background1"/>
                                <w:sz w:val="44"/>
                                <w:szCs w:val="44"/>
                              </w:rPr>
                              <w:t>e</w:t>
                            </w:r>
                            <w:r w:rsidRPr="008F0584">
                              <w:rPr>
                                <w:rFonts w:ascii="Andes" w:hAnsi="Andes"/>
                                <w:color w:val="FFFFFF" w:themeColor="background1"/>
                                <w:sz w:val="44"/>
                                <w:szCs w:val="44"/>
                              </w:rPr>
                              <w:t xml:space="preserve"> I</w:t>
                            </w:r>
                            <w:r>
                              <w:rPr>
                                <w:rFonts w:ascii="Andes" w:hAnsi="Andes"/>
                                <w:color w:val="FFFFFF" w:themeColor="background1"/>
                                <w:sz w:val="44"/>
                                <w:szCs w:val="44"/>
                              </w:rPr>
                              <w:t xml:space="preserve">.  </w:t>
                            </w:r>
                            <w:r w:rsidRPr="008F0584">
                              <w:rPr>
                                <w:rFonts w:ascii="Andes" w:hAnsi="Andes"/>
                                <w:color w:val="FFFFFF" w:themeColor="background1"/>
                                <w:sz w:val="44"/>
                                <w:szCs w:val="44"/>
                              </w:rPr>
                              <w:tab/>
                            </w:r>
                            <w:r>
                              <w:rPr>
                                <w:rFonts w:ascii="Andes" w:hAnsi="Andes"/>
                                <w:color w:val="FFFFFF" w:themeColor="background1"/>
                                <w:sz w:val="44"/>
                                <w:szCs w:val="44"/>
                              </w:rPr>
                              <w:t>Optimisation des ressources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7164D" id="Rectangle 16" o:spid="_x0000_s1037" style="position:absolute;left:0;text-align:left;margin-left:-.15pt;margin-top:-93.5pt;width:641.9pt;height:115.4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" fillcolor="#c45911" stroked="f" strokeweight="1pt">
                <v:textbox>
                  <w:txbxContent>
                    <w:p w14:paraId="1D624105" w14:textId="5BF1B309" w:rsidR="00A41794" w:rsidRPr="008F0584" w:rsidRDefault="00A41794" w:rsidP="00304FE2">
                      <w:pPr>
                        <w:tabs>
                          <w:tab w:val="left" w:pos="3060"/>
                        </w:tabs>
                        <w:ind w:left="1260"/>
                        <w:rPr>
                          <w:rFonts w:ascii="Andes" w:hAnsi="Andes"/>
                          <w:color w:val="FFFFFF" w:themeColor="background1"/>
                          <w:sz w:val="44"/>
                          <w:szCs w:val="44"/>
                        </w:rPr>
                      </w:pPr>
                      <w:r w:rsidRPr="008F0584">
                        <w:rPr>
                          <w:rFonts w:ascii="Andes" w:hAnsi="Andes"/>
                          <w:color w:val="FFFFFF" w:themeColor="background1"/>
                          <w:sz w:val="44"/>
                          <w:szCs w:val="44"/>
                        </w:rPr>
                        <w:t>Annex</w:t>
                      </w:r>
                      <w:r>
                        <w:rPr>
                          <w:rFonts w:ascii="Andes" w:hAnsi="Andes"/>
                          <w:color w:val="FFFFFF" w:themeColor="background1"/>
                          <w:sz w:val="44"/>
                          <w:szCs w:val="44"/>
                        </w:rPr>
                        <w:t>e</w:t>
                      </w:r>
                      <w:r w:rsidRPr="008F0584">
                        <w:rPr>
                          <w:rFonts w:ascii="Andes" w:hAnsi="Andes"/>
                          <w:color w:val="FFFFFF" w:themeColor="background1"/>
                          <w:sz w:val="44"/>
                          <w:szCs w:val="44"/>
                        </w:rPr>
                        <w:t xml:space="preserve"> I</w:t>
                      </w:r>
                      <w:r>
                        <w:rPr>
                          <w:rFonts w:ascii="Andes" w:hAnsi="Andes"/>
                          <w:color w:val="FFFFFF" w:themeColor="background1"/>
                          <w:sz w:val="44"/>
                          <w:szCs w:val="44"/>
                        </w:rPr>
                        <w:t xml:space="preserve">.  </w:t>
                      </w:r>
                      <w:r w:rsidRPr="008F0584">
                        <w:rPr>
                          <w:rFonts w:ascii="Andes" w:hAnsi="Andes"/>
                          <w:color w:val="FFFFFF" w:themeColor="background1"/>
                          <w:sz w:val="44"/>
                          <w:szCs w:val="44"/>
                        </w:rPr>
                        <w:tab/>
                      </w:r>
                      <w:r>
                        <w:rPr>
                          <w:rFonts w:ascii="Andes" w:hAnsi="Andes"/>
                          <w:color w:val="FFFFFF" w:themeColor="background1"/>
                          <w:sz w:val="44"/>
                          <w:szCs w:val="44"/>
                        </w:rPr>
                        <w:t>Optimisation des ressources</w:t>
                      </w:r>
                    </w:p>
                  </w:txbxContent>
                </v:textbox>
                <w10:wrap anchorx="page"/>
              </v:rect>
            </w:pict>
          </mc:Fallback>
        </mc:AlternateContent>
      </w:r>
      <w:r w:rsidR="00765E55" w:rsidRPr="007656EB">
        <w:rPr>
          <w:rFonts w:ascii="Andes" w:hAnsi="Andes" w:cs="Arial"/>
          <w:sz w:val="32"/>
          <w:szCs w:val="32"/>
          <w:lang w:val="en-US"/>
        </w:rPr>
        <w:t xml:space="preserve">Annex </w:t>
      </w:r>
      <w:r w:rsidR="000B5EC0" w:rsidRPr="007656EB">
        <w:rPr>
          <w:rFonts w:ascii="Andes" w:hAnsi="Andes" w:cs="Arial"/>
          <w:sz w:val="32"/>
          <w:szCs w:val="32"/>
          <w:lang w:val="en-US"/>
        </w:rPr>
        <w:t>I</w:t>
      </w:r>
      <w:r w:rsidR="00687669">
        <w:rPr>
          <w:rFonts w:ascii="Andes" w:hAnsi="Andes" w:cs="Arial"/>
          <w:sz w:val="32"/>
          <w:szCs w:val="32"/>
          <w:lang w:val="en-US"/>
        </w:rPr>
        <w:t xml:space="preserve">.  </w:t>
      </w:r>
      <w:r w:rsidR="00A14AEA" w:rsidRPr="007656EB">
        <w:rPr>
          <w:rFonts w:ascii="Andes" w:hAnsi="Andes" w:cs="Arial"/>
          <w:sz w:val="32"/>
          <w:szCs w:val="32"/>
          <w:lang w:val="en-US"/>
        </w:rPr>
        <w:t xml:space="preserve">Value for </w:t>
      </w:r>
      <w:r w:rsidR="006818B5" w:rsidRPr="007656EB">
        <w:rPr>
          <w:rFonts w:ascii="Andes" w:hAnsi="Andes" w:cs="Arial"/>
          <w:sz w:val="32"/>
          <w:szCs w:val="32"/>
          <w:lang w:val="en-US"/>
        </w:rPr>
        <w:t>M</w:t>
      </w:r>
      <w:r w:rsidR="00A14AEA" w:rsidRPr="007656EB">
        <w:rPr>
          <w:rFonts w:ascii="Andes" w:hAnsi="Andes" w:cs="Arial"/>
          <w:sz w:val="32"/>
          <w:szCs w:val="32"/>
          <w:lang w:val="en-US"/>
        </w:rPr>
        <w:t>oney</w:t>
      </w:r>
      <w:bookmarkEnd w:id="2624"/>
      <w:bookmarkEnd w:id="2625"/>
    </w:p>
    <w:p w14:paraId="67B27837" w14:textId="77777777" w:rsidR="007743F9" w:rsidRPr="00833B69" w:rsidRDefault="007743F9" w:rsidP="007743F9">
      <w:pPr>
        <w:pStyle w:val="Paragraphedeliste"/>
        <w:numPr>
          <w:ilvl w:val="3"/>
          <w:numId w:val="107"/>
        </w:numPr>
        <w:spacing w:before="36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Objet</w:t>
      </w:r>
    </w:p>
    <w:p w14:paraId="44BABCDB" w14:textId="6441A926" w:rsidR="007743F9" w:rsidRPr="00833B69" w:rsidRDefault="007743F9" w:rsidP="007743F9">
      <w:pPr>
        <w:pStyle w:val="Paragraphedeliste"/>
        <w:numPr>
          <w:ilvl w:val="0"/>
          <w:numId w:val="81"/>
        </w:numPr>
        <w:spacing w:before="0" w:line="240" w:lineRule="auto"/>
        <w:ind w:left="630" w:hanging="630"/>
        <w:contextualSpacing w:val="0"/>
        <w:rPr>
          <w:rFonts w:ascii="Andes" w:hAnsi="Andes" w:cs="Arial"/>
          <w:sz w:val="22"/>
          <w:szCs w:val="22"/>
        </w:rPr>
      </w:pPr>
      <w:r w:rsidRPr="00833B69">
        <w:rPr>
          <w:rFonts w:ascii="Andes" w:hAnsi="Andes" w:cs="Arial"/>
          <w:sz w:val="22"/>
          <w:szCs w:val="22"/>
        </w:rPr>
        <w:t>La présente Annexe expose les conditions à observer pour assurer l’optimisation des ressources (</w:t>
      </w:r>
      <w:r w:rsidR="000B5CB2">
        <w:rPr>
          <w:rFonts w:ascii="Andes" w:hAnsi="Andes" w:cs="Arial"/>
          <w:sz w:val="22"/>
          <w:szCs w:val="22"/>
        </w:rPr>
        <w:t>ODR</w:t>
      </w:r>
      <w:r w:rsidRPr="00833B69">
        <w:rPr>
          <w:rFonts w:ascii="Andes" w:hAnsi="Andes" w:cs="Arial"/>
          <w:sz w:val="22"/>
          <w:szCs w:val="22"/>
        </w:rPr>
        <w:t>) dans le cadre des FPI.</w:t>
      </w:r>
    </w:p>
    <w:p w14:paraId="4AEC0675" w14:textId="77777777" w:rsidR="007743F9" w:rsidRPr="00833B69" w:rsidRDefault="007743F9" w:rsidP="007743F9">
      <w:pPr>
        <w:pStyle w:val="Paragraphedeliste"/>
        <w:numPr>
          <w:ilvl w:val="3"/>
          <w:numId w:val="107"/>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Aperçu</w:t>
      </w:r>
    </w:p>
    <w:p w14:paraId="5BC09BBB" w14:textId="59351494" w:rsidR="007743F9" w:rsidRPr="004967F3" w:rsidRDefault="0087023C" w:rsidP="004967F3">
      <w:pPr>
        <w:spacing w:before="0" w:line="240" w:lineRule="auto"/>
        <w:ind w:left="540" w:hanging="540"/>
        <w:contextualSpacing w:val="0"/>
        <w:rPr>
          <w:rFonts w:ascii="Andes" w:hAnsi="Andes" w:cs="Arial"/>
          <w:sz w:val="22"/>
          <w:szCs w:val="22"/>
        </w:rPr>
      </w:pPr>
      <w:r>
        <w:rPr>
          <w:rFonts w:ascii="Andes" w:hAnsi="Andes" w:cs="Arial"/>
          <w:sz w:val="22"/>
          <w:szCs w:val="22"/>
        </w:rPr>
        <w:t xml:space="preserve">2.1 </w:t>
      </w:r>
      <w:r w:rsidR="007743F9" w:rsidRPr="004967F3">
        <w:rPr>
          <w:rFonts w:ascii="Andes" w:hAnsi="Andes" w:cs="Arial"/>
          <w:sz w:val="22"/>
          <w:szCs w:val="22"/>
        </w:rPr>
        <w:t>L’optimisation des ressources est prise en compte à tous les stades du processus de passation des marchés. Pour plus de détails, voir l’Annexe V, Stratégie de Passation des Marchés du Projet pour Promouvoir le Développement  ; l’Annexe VIII, Types de contrats ; l’Annexe X, Critères d’évaluation ; l’Annexe XI, Gestion du marché ou du contrat et l’Annexe XII, Méthodes de sélection.</w:t>
      </w:r>
    </w:p>
    <w:p w14:paraId="07233DFD" w14:textId="77777777" w:rsidR="007743F9" w:rsidRPr="00833B69" w:rsidRDefault="007743F9" w:rsidP="004967F3">
      <w:pPr>
        <w:pStyle w:val="Paragraphedeliste"/>
        <w:numPr>
          <w:ilvl w:val="1"/>
          <w:numId w:val="206"/>
        </w:numPr>
        <w:spacing w:before="0" w:line="240" w:lineRule="auto"/>
        <w:ind w:hanging="450"/>
        <w:contextualSpacing w:val="0"/>
        <w:rPr>
          <w:rFonts w:ascii="Andes" w:hAnsi="Andes" w:cs="Arial"/>
          <w:sz w:val="22"/>
          <w:szCs w:val="22"/>
        </w:rPr>
      </w:pPr>
      <w:r w:rsidRPr="00833B69">
        <w:rPr>
          <w:rFonts w:ascii="Andes" w:hAnsi="Andes" w:cs="Arial"/>
          <w:sz w:val="22"/>
          <w:szCs w:val="22"/>
        </w:rPr>
        <w:t xml:space="preserve">L’optimisation des ressources implique un emploi efficace, efficient et économique des ressources qui passe par une estimation des coûts et avantages assortie d’une évaluation des risques, des caractéristiques non monétaires et des coûts de cycle de vie, le cas échéant. L’élément de prix, à lui seul, ne marque pas nécessairement l’optimisation des ressources.  </w:t>
      </w:r>
    </w:p>
    <w:p w14:paraId="6E0DB959" w14:textId="77777777" w:rsidR="007743F9" w:rsidRPr="00833B69" w:rsidRDefault="007743F9" w:rsidP="007743F9">
      <w:pPr>
        <w:pStyle w:val="Paragraphedeliste"/>
        <w:numPr>
          <w:ilvl w:val="1"/>
          <w:numId w:val="206"/>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L’optimisation des ressources est obtenue par l’application des principes suivants : </w:t>
      </w:r>
    </w:p>
    <w:p w14:paraId="1F8C6C24" w14:textId="77777777" w:rsidR="007743F9" w:rsidRPr="00833B69" w:rsidRDefault="007743F9" w:rsidP="007743F9">
      <w:pPr>
        <w:pStyle w:val="Paragraphedeliste"/>
        <w:numPr>
          <w:ilvl w:val="0"/>
          <w:numId w:val="187"/>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veiller à l’intégrité tout au long du processus de passation des marchés ; </w:t>
      </w:r>
    </w:p>
    <w:p w14:paraId="691D6EA0" w14:textId="77777777" w:rsidR="007743F9" w:rsidRPr="00833B69" w:rsidRDefault="007743F9" w:rsidP="007743F9">
      <w:pPr>
        <w:pStyle w:val="Paragraphedeliste"/>
        <w:numPr>
          <w:ilvl w:val="0"/>
          <w:numId w:val="187"/>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donner une définition claire des besoins et objectifs de la passation des marchés ; </w:t>
      </w:r>
    </w:p>
    <w:p w14:paraId="2929F041" w14:textId="77777777" w:rsidR="007743F9" w:rsidRPr="00833B69" w:rsidRDefault="007743F9" w:rsidP="007743F9">
      <w:pPr>
        <w:pStyle w:val="Paragraphedeliste"/>
        <w:numPr>
          <w:ilvl w:val="0"/>
          <w:numId w:val="187"/>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adopter une méthode de passation des marchés adaptée aux risques, à la valeur, au contexte, à la nature et à la complexité de la situation ;</w:t>
      </w:r>
    </w:p>
    <w:p w14:paraId="48F2B851" w14:textId="77777777" w:rsidR="007743F9" w:rsidRPr="00833B69" w:rsidRDefault="007743F9" w:rsidP="007743F9">
      <w:pPr>
        <w:pStyle w:val="Paragraphedeliste"/>
        <w:numPr>
          <w:ilvl w:val="0"/>
          <w:numId w:val="187"/>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énoncer adéquatement les conditions requises ;  </w:t>
      </w:r>
    </w:p>
    <w:p w14:paraId="2295D8F0" w14:textId="77777777" w:rsidR="007743F9" w:rsidRPr="00833B69" w:rsidRDefault="007743F9" w:rsidP="007743F9">
      <w:pPr>
        <w:pStyle w:val="Paragraphedeliste"/>
        <w:numPr>
          <w:ilvl w:val="0"/>
          <w:numId w:val="187"/>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choisir des modalités contractuelles adaptées ;</w:t>
      </w:r>
    </w:p>
    <w:p w14:paraId="69B03D09" w14:textId="51DF3964" w:rsidR="007743F9" w:rsidRPr="00833B69" w:rsidRDefault="000338D2" w:rsidP="007743F9">
      <w:pPr>
        <w:pStyle w:val="Paragraphedeliste"/>
        <w:numPr>
          <w:ilvl w:val="0"/>
          <w:numId w:val="187"/>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 xml:space="preserve">retenir des </w:t>
      </w:r>
      <w:r w:rsidR="005B7063">
        <w:rPr>
          <w:rFonts w:ascii="Andes" w:eastAsiaTheme="minorHAnsi" w:hAnsi="Andes" w:cs="Arial"/>
          <w:color w:val="000000"/>
          <w:sz w:val="22"/>
          <w:szCs w:val="22"/>
        </w:rPr>
        <w:t>C</w:t>
      </w:r>
      <w:r w:rsidR="007743F9" w:rsidRPr="00833B69">
        <w:rPr>
          <w:rFonts w:ascii="Andes" w:eastAsiaTheme="minorHAnsi" w:hAnsi="Andes" w:cs="Arial"/>
          <w:color w:val="000000"/>
          <w:sz w:val="22"/>
          <w:szCs w:val="22"/>
        </w:rPr>
        <w:t>ritères d’</w:t>
      </w:r>
      <w:r w:rsidR="005B7063">
        <w:rPr>
          <w:rFonts w:ascii="Andes" w:eastAsiaTheme="minorHAnsi" w:hAnsi="Andes" w:cs="Arial"/>
          <w:color w:val="000000"/>
          <w:sz w:val="22"/>
          <w:szCs w:val="22"/>
        </w:rPr>
        <w:t>E</w:t>
      </w:r>
      <w:r w:rsidR="007743F9" w:rsidRPr="00833B69">
        <w:rPr>
          <w:rFonts w:ascii="Andes" w:eastAsiaTheme="minorHAnsi" w:hAnsi="Andes" w:cs="Arial"/>
          <w:color w:val="000000"/>
          <w:sz w:val="22"/>
          <w:szCs w:val="22"/>
        </w:rPr>
        <w:t>valuation adéquats</w:t>
      </w:r>
      <w:r w:rsidR="00171365">
        <w:rPr>
          <w:rFonts w:ascii="Andes" w:eastAsiaTheme="minorHAnsi" w:hAnsi="Andes" w:cs="Arial"/>
          <w:color w:val="000000"/>
          <w:sz w:val="22"/>
          <w:szCs w:val="22"/>
        </w:rPr>
        <w:t xml:space="preserve">, y compris </w:t>
      </w:r>
      <w:r>
        <w:rPr>
          <w:rFonts w:ascii="Andes" w:eastAsiaTheme="minorHAnsi" w:hAnsi="Andes" w:cs="Arial"/>
          <w:color w:val="000000"/>
          <w:sz w:val="22"/>
          <w:szCs w:val="22"/>
        </w:rPr>
        <w:t xml:space="preserve">des Critères </w:t>
      </w:r>
      <w:r w:rsidR="00820551">
        <w:rPr>
          <w:rFonts w:ascii="Andes" w:eastAsiaTheme="minorHAnsi" w:hAnsi="Andes" w:cs="Arial"/>
          <w:color w:val="000000"/>
          <w:sz w:val="22"/>
          <w:szCs w:val="22"/>
        </w:rPr>
        <w:t>notés et les pondérations</w:t>
      </w:r>
      <w:r w:rsidR="007743F9" w:rsidRPr="00833B69">
        <w:rPr>
          <w:rFonts w:ascii="Andes" w:eastAsiaTheme="minorHAnsi" w:hAnsi="Andes" w:cs="Arial"/>
          <w:color w:val="000000"/>
          <w:sz w:val="22"/>
          <w:szCs w:val="22"/>
        </w:rPr>
        <w:t> ;</w:t>
      </w:r>
    </w:p>
    <w:p w14:paraId="292277E9" w14:textId="77777777" w:rsidR="007743F9" w:rsidRPr="00833B69" w:rsidRDefault="007743F9" w:rsidP="007743F9">
      <w:pPr>
        <w:pStyle w:val="Paragraphedeliste"/>
        <w:numPr>
          <w:ilvl w:val="0"/>
          <w:numId w:val="187"/>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sélectionner l’entreprise qui répond le mieux aux besoins et objectifs de la passation de marché ;</w:t>
      </w:r>
    </w:p>
    <w:p w14:paraId="2A5EDFDE" w14:textId="77777777" w:rsidR="007743F9" w:rsidRPr="00833B69" w:rsidRDefault="007743F9" w:rsidP="007743F9">
      <w:pPr>
        <w:pStyle w:val="Paragraphedeliste"/>
        <w:numPr>
          <w:ilvl w:val="0"/>
          <w:numId w:val="187"/>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assurer une gestion efficace des marchés de manière à garantir leur bonne exécution et l’obtention des résultats fixés au contrat.</w:t>
      </w:r>
    </w:p>
    <w:p w14:paraId="14BF004C" w14:textId="77777777" w:rsidR="007743F9" w:rsidRPr="00833B69" w:rsidRDefault="007743F9" w:rsidP="007743F9">
      <w:pPr>
        <w:pStyle w:val="Paragraphedeliste"/>
        <w:numPr>
          <w:ilvl w:val="3"/>
          <w:numId w:val="107"/>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Planification</w:t>
      </w:r>
    </w:p>
    <w:p w14:paraId="7E7B235F" w14:textId="6D7C52C6" w:rsidR="007743F9" w:rsidRPr="00833B69" w:rsidRDefault="007743F9" w:rsidP="007743F9">
      <w:pPr>
        <w:pStyle w:val="Paragraphedeliste"/>
        <w:numPr>
          <w:ilvl w:val="0"/>
          <w:numId w:val="139"/>
        </w:numPr>
        <w:spacing w:before="0" w:line="240" w:lineRule="auto"/>
        <w:ind w:left="630"/>
        <w:contextualSpacing w:val="0"/>
        <w:rPr>
          <w:rFonts w:ascii="Andes" w:hAnsi="Andes" w:cs="Arial"/>
          <w:sz w:val="22"/>
          <w:szCs w:val="22"/>
        </w:rPr>
      </w:pPr>
      <w:r w:rsidRPr="00833B69">
        <w:rPr>
          <w:rFonts w:ascii="Andes" w:hAnsi="Andes" w:cs="Arial"/>
          <w:sz w:val="22"/>
          <w:szCs w:val="22"/>
        </w:rPr>
        <w:t xml:space="preserve">L’optimisation des ressources commence par une conception optimale du processus dans le cadre de la Stratégie de passation des marchés </w:t>
      </w:r>
      <w:r w:rsidR="00ED67FE">
        <w:rPr>
          <w:rFonts w:ascii="Andes" w:hAnsi="Andes" w:cs="Arial"/>
          <w:sz w:val="22"/>
          <w:szCs w:val="22"/>
        </w:rPr>
        <w:t>du</w:t>
      </w:r>
      <w:r w:rsidRPr="00833B69">
        <w:rPr>
          <w:rFonts w:ascii="Andes" w:hAnsi="Andes" w:cs="Arial"/>
          <w:sz w:val="22"/>
          <w:szCs w:val="22"/>
        </w:rPr>
        <w:t xml:space="preserve"> projet </w:t>
      </w:r>
      <w:r w:rsidR="00ED67FE">
        <w:rPr>
          <w:rFonts w:ascii="Andes" w:hAnsi="Andes" w:cs="Arial"/>
          <w:sz w:val="22"/>
          <w:szCs w:val="22"/>
        </w:rPr>
        <w:t xml:space="preserve">pour </w:t>
      </w:r>
      <w:r w:rsidR="0034021C">
        <w:rPr>
          <w:rFonts w:ascii="Andes" w:hAnsi="Andes" w:cs="Arial"/>
          <w:sz w:val="22"/>
          <w:szCs w:val="22"/>
        </w:rPr>
        <w:t>promouvoir le</w:t>
      </w:r>
      <w:r w:rsidR="00ED67FE" w:rsidRPr="00833B69">
        <w:rPr>
          <w:rFonts w:ascii="Andes" w:hAnsi="Andes" w:cs="Arial"/>
          <w:sz w:val="22"/>
          <w:szCs w:val="22"/>
        </w:rPr>
        <w:t xml:space="preserve"> </w:t>
      </w:r>
      <w:r w:rsidRPr="00833B69">
        <w:rPr>
          <w:rFonts w:ascii="Andes" w:hAnsi="Andes" w:cs="Arial"/>
          <w:sz w:val="22"/>
          <w:szCs w:val="22"/>
        </w:rPr>
        <w:t>développement (</w:t>
      </w:r>
      <w:r w:rsidR="0034021C">
        <w:rPr>
          <w:rFonts w:ascii="Andes" w:hAnsi="Andes" w:cs="Arial"/>
          <w:sz w:val="22"/>
          <w:szCs w:val="22"/>
        </w:rPr>
        <w:t xml:space="preserve">SPMPD ou </w:t>
      </w:r>
      <w:r w:rsidR="00AE4C01">
        <w:rPr>
          <w:rFonts w:ascii="Andes" w:hAnsi="Andes" w:cs="Arial"/>
          <w:sz w:val="22"/>
          <w:szCs w:val="22"/>
        </w:rPr>
        <w:t>« </w:t>
      </w:r>
      <w:r w:rsidR="000B5CB2">
        <w:rPr>
          <w:rFonts w:ascii="Andes" w:hAnsi="Andes" w:cs="Arial"/>
          <w:sz w:val="22"/>
          <w:szCs w:val="22"/>
        </w:rPr>
        <w:t>PPSD</w:t>
      </w:r>
      <w:r w:rsidR="00AE4C01">
        <w:rPr>
          <w:rFonts w:ascii="Andes" w:hAnsi="Andes" w:cs="Arial"/>
          <w:sz w:val="22"/>
          <w:szCs w:val="22"/>
        </w:rPr>
        <w:t> »</w:t>
      </w:r>
      <w:r w:rsidR="000B5CB2">
        <w:rPr>
          <w:rFonts w:ascii="Andes" w:hAnsi="Andes" w:cs="Arial"/>
          <w:sz w:val="22"/>
          <w:szCs w:val="22"/>
        </w:rPr>
        <w:t xml:space="preserve"> pour son sigle en </w:t>
      </w:r>
      <w:r w:rsidR="00AE4C01">
        <w:rPr>
          <w:rFonts w:ascii="Andes" w:hAnsi="Andes" w:cs="Arial"/>
          <w:sz w:val="22"/>
          <w:szCs w:val="22"/>
        </w:rPr>
        <w:t>a</w:t>
      </w:r>
      <w:r w:rsidR="000B5CB2">
        <w:rPr>
          <w:rFonts w:ascii="Andes" w:hAnsi="Andes" w:cs="Arial"/>
          <w:sz w:val="22"/>
          <w:szCs w:val="22"/>
        </w:rPr>
        <w:t>nglais)</w:t>
      </w:r>
      <w:r w:rsidRPr="00833B69">
        <w:rPr>
          <w:rFonts w:ascii="Andes" w:hAnsi="Andes" w:cs="Arial"/>
          <w:sz w:val="22"/>
          <w:szCs w:val="22"/>
        </w:rPr>
        <w:t xml:space="preserve">) qui détermine comment dépenser les fonds alloués de manière à dégager une valeur optimale.  </w:t>
      </w:r>
    </w:p>
    <w:p w14:paraId="5508E374" w14:textId="55806F63" w:rsidR="007743F9" w:rsidRPr="00833B69" w:rsidRDefault="007743F9" w:rsidP="007743F9">
      <w:pPr>
        <w:pStyle w:val="Paragraphedeliste"/>
        <w:numPr>
          <w:ilvl w:val="0"/>
          <w:numId w:val="139"/>
        </w:numPr>
        <w:spacing w:before="0" w:line="240" w:lineRule="auto"/>
        <w:ind w:left="630"/>
        <w:contextualSpacing w:val="0"/>
        <w:rPr>
          <w:rFonts w:ascii="Andes" w:hAnsi="Andes" w:cs="Arial"/>
          <w:sz w:val="22"/>
          <w:szCs w:val="22"/>
        </w:rPr>
      </w:pPr>
      <w:r w:rsidRPr="00833B69">
        <w:rPr>
          <w:rFonts w:ascii="Andes" w:hAnsi="Andes" w:cs="Arial"/>
          <w:sz w:val="22"/>
          <w:szCs w:val="22"/>
        </w:rPr>
        <w:t xml:space="preserve">La </w:t>
      </w:r>
      <w:r w:rsidR="006634EF">
        <w:rPr>
          <w:rFonts w:ascii="Andes" w:hAnsi="Andes" w:cs="Arial"/>
          <w:sz w:val="22"/>
          <w:szCs w:val="22"/>
        </w:rPr>
        <w:t>SPMPD</w:t>
      </w:r>
      <w:r w:rsidR="000B5CB2" w:rsidRPr="00833B69">
        <w:rPr>
          <w:rFonts w:ascii="Andes" w:hAnsi="Andes" w:cs="Arial"/>
          <w:sz w:val="22"/>
          <w:szCs w:val="22"/>
        </w:rPr>
        <w:t xml:space="preserve"> </w:t>
      </w:r>
      <w:r w:rsidRPr="00833B69">
        <w:rPr>
          <w:rFonts w:ascii="Andes" w:hAnsi="Andes" w:cs="Arial"/>
          <w:sz w:val="22"/>
          <w:szCs w:val="22"/>
        </w:rPr>
        <w:t>sert à définir les objectifs</w:t>
      </w:r>
      <w:r w:rsidR="006E0CED">
        <w:rPr>
          <w:rFonts w:ascii="Andes" w:hAnsi="Andes" w:cs="Arial"/>
          <w:sz w:val="22"/>
          <w:szCs w:val="22"/>
        </w:rPr>
        <w:t xml:space="preserve"> de la passation des marchés</w:t>
      </w:r>
      <w:r w:rsidRPr="00833B69">
        <w:rPr>
          <w:rFonts w:ascii="Andes" w:hAnsi="Andes" w:cs="Arial"/>
          <w:sz w:val="22"/>
          <w:szCs w:val="22"/>
        </w:rPr>
        <w:t xml:space="preserve">, à identifier les risques </w:t>
      </w:r>
      <w:r w:rsidR="00A32817">
        <w:rPr>
          <w:rFonts w:ascii="Andes" w:hAnsi="Andes" w:cs="Arial"/>
          <w:sz w:val="22"/>
          <w:szCs w:val="22"/>
        </w:rPr>
        <w:t>ainsi que leu</w:t>
      </w:r>
      <w:r w:rsidR="00657377">
        <w:rPr>
          <w:rFonts w:ascii="Andes" w:hAnsi="Andes" w:cs="Arial"/>
          <w:sz w:val="22"/>
          <w:szCs w:val="22"/>
        </w:rPr>
        <w:t xml:space="preserve">rs mesures d’atténuation, </w:t>
      </w:r>
      <w:r w:rsidRPr="00833B69">
        <w:rPr>
          <w:rFonts w:ascii="Andes" w:hAnsi="Andes" w:cs="Arial"/>
          <w:sz w:val="22"/>
          <w:szCs w:val="22"/>
        </w:rPr>
        <w:t>et les opportunités par le biais de l’étude de marché, en fonction du contexte opérationnel du projet. Le choix des méthodes de sélection et des approches de marché est ensuite affiné pour tenir compte des risques et de la valeur de la passation des marchés, du contexte opérationnel et de la situation du marché afin d’aboutir à l’optimisation des ressources.</w:t>
      </w:r>
    </w:p>
    <w:p w14:paraId="510AC15D" w14:textId="31CBB2EC" w:rsidR="007743F9" w:rsidRPr="00833B69" w:rsidRDefault="007743F9" w:rsidP="007743F9">
      <w:pPr>
        <w:pStyle w:val="Paragraphedeliste"/>
        <w:spacing w:before="240" w:line="240" w:lineRule="auto"/>
        <w:contextualSpacing w:val="0"/>
        <w:rPr>
          <w:rFonts w:ascii="Andes" w:hAnsi="Andes" w:cs="Arial"/>
          <w:color w:val="000000" w:themeColor="text1"/>
          <w:sz w:val="28"/>
          <w:szCs w:val="28"/>
        </w:rPr>
      </w:pPr>
      <w:r w:rsidRPr="00833B69">
        <w:rPr>
          <w:rFonts w:ascii="Andes" w:hAnsi="Andes" w:cs="Arial"/>
          <w:b/>
          <w:color w:val="000000" w:themeColor="text1"/>
          <w:sz w:val="28"/>
          <w:szCs w:val="28"/>
        </w:rPr>
        <w:lastRenderedPageBreak/>
        <w:t>Mode d’approche du marché</w:t>
      </w:r>
    </w:p>
    <w:p w14:paraId="24A90007" w14:textId="77777777" w:rsidR="007743F9" w:rsidRPr="00833B69" w:rsidRDefault="007743F9" w:rsidP="007743F9">
      <w:pPr>
        <w:pStyle w:val="Paragraphedeliste"/>
        <w:numPr>
          <w:ilvl w:val="0"/>
          <w:numId w:val="139"/>
        </w:numPr>
        <w:spacing w:before="0" w:line="240" w:lineRule="auto"/>
        <w:ind w:left="630"/>
        <w:contextualSpacing w:val="0"/>
        <w:rPr>
          <w:rFonts w:ascii="Andes" w:hAnsi="Andes" w:cs="Arial"/>
          <w:sz w:val="22"/>
          <w:szCs w:val="22"/>
        </w:rPr>
      </w:pPr>
      <w:r w:rsidRPr="00833B69">
        <w:rPr>
          <w:rFonts w:ascii="Andes" w:hAnsi="Andes" w:cs="Arial"/>
          <w:sz w:val="22"/>
          <w:szCs w:val="22"/>
        </w:rPr>
        <w:t>L’optimisation des ressources nécessite un mode d’approche clair et ciblé permettant de répondre aux objectifs de la passation des marchés. Les éléments ci-dessous sont à prendre en compte :</w:t>
      </w:r>
    </w:p>
    <w:p w14:paraId="0272CDF6" w14:textId="0C0DBEA8" w:rsidR="007743F9" w:rsidRPr="00833B69" w:rsidRDefault="007743F9" w:rsidP="007743F9">
      <w:pPr>
        <w:pStyle w:val="Paragraphedeliste"/>
        <w:numPr>
          <w:ilvl w:val="0"/>
          <w:numId w:val="188"/>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méthodes et modalités de sélection les mieux à même de susciter des réponses concurrentielles de la part des Soumissionnaires/Proposants </w:t>
      </w:r>
      <w:r w:rsidR="00F07887">
        <w:rPr>
          <w:rFonts w:ascii="Andes" w:eastAsiaTheme="minorHAnsi" w:hAnsi="Andes" w:cs="Arial"/>
          <w:color w:val="000000"/>
          <w:sz w:val="22"/>
          <w:szCs w:val="22"/>
        </w:rPr>
        <w:t>les plus qualifiés</w:t>
      </w:r>
      <w:r w:rsidR="00C43DE1">
        <w:rPr>
          <w:rFonts w:ascii="Andes" w:eastAsiaTheme="minorHAnsi" w:hAnsi="Andes" w:cs="Arial"/>
          <w:color w:val="000000"/>
          <w:sz w:val="22"/>
          <w:szCs w:val="22"/>
        </w:rPr>
        <w:t xml:space="preserve"> </w:t>
      </w:r>
      <w:r w:rsidRPr="00833B69">
        <w:rPr>
          <w:rFonts w:ascii="Andes" w:eastAsiaTheme="minorHAnsi" w:hAnsi="Andes" w:cs="Arial"/>
          <w:color w:val="000000"/>
          <w:sz w:val="22"/>
          <w:szCs w:val="22"/>
        </w:rPr>
        <w:t>;</w:t>
      </w:r>
    </w:p>
    <w:p w14:paraId="0953F970" w14:textId="77777777" w:rsidR="007743F9" w:rsidRPr="00833B69" w:rsidRDefault="007743F9" w:rsidP="007743F9">
      <w:pPr>
        <w:pStyle w:val="Paragraphedeliste"/>
        <w:numPr>
          <w:ilvl w:val="0"/>
          <w:numId w:val="188"/>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exigences fondées sur un cahier des charges technique détaillé ou exigences fonctionnelles/de performance, selon le cas ;</w:t>
      </w:r>
    </w:p>
    <w:p w14:paraId="7594F176" w14:textId="601EE692" w:rsidR="007743F9" w:rsidRPr="00833B69" w:rsidRDefault="007743F9" w:rsidP="007743F9">
      <w:pPr>
        <w:pStyle w:val="Paragraphedeliste"/>
        <w:numPr>
          <w:ilvl w:val="0"/>
          <w:numId w:val="188"/>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critères d’évaluation, y compris le prix, le coût du cycle de vie, </w:t>
      </w:r>
      <w:r w:rsidR="00096F4B">
        <w:rPr>
          <w:rFonts w:ascii="Andes" w:eastAsiaTheme="minorHAnsi" w:hAnsi="Andes" w:cs="Arial"/>
          <w:color w:val="000000"/>
          <w:sz w:val="22"/>
          <w:szCs w:val="22"/>
        </w:rPr>
        <w:t>C</w:t>
      </w:r>
      <w:r w:rsidRPr="00833B69">
        <w:rPr>
          <w:rFonts w:ascii="Andes" w:eastAsiaTheme="minorHAnsi" w:hAnsi="Andes" w:cs="Arial"/>
          <w:color w:val="000000"/>
          <w:sz w:val="22"/>
          <w:szCs w:val="22"/>
        </w:rPr>
        <w:t xml:space="preserve">ritères </w:t>
      </w:r>
      <w:r>
        <w:rPr>
          <w:rFonts w:ascii="Andes" w:eastAsiaTheme="minorHAnsi" w:hAnsi="Andes" w:cs="Arial"/>
          <w:color w:val="000000"/>
          <w:sz w:val="22"/>
          <w:szCs w:val="22"/>
        </w:rPr>
        <w:t>notés</w:t>
      </w:r>
      <w:r w:rsidR="00987CB0">
        <w:rPr>
          <w:rFonts w:ascii="Andes" w:eastAsiaTheme="minorHAnsi" w:hAnsi="Andes" w:cs="Arial"/>
          <w:color w:val="000000"/>
          <w:sz w:val="22"/>
          <w:szCs w:val="22"/>
        </w:rPr>
        <w:t xml:space="preserve"> (avec les pondérations)</w:t>
      </w:r>
      <w:r w:rsidRPr="00833B69">
        <w:rPr>
          <w:rFonts w:ascii="Andes" w:eastAsiaTheme="minorHAnsi" w:hAnsi="Andes" w:cs="Arial"/>
          <w:color w:val="000000"/>
          <w:sz w:val="22"/>
          <w:szCs w:val="22"/>
        </w:rPr>
        <w:t>, qui permettront aux Soumissionnaires/Proposants de mettre en valeur leur offre</w:t>
      </w:r>
      <w:r w:rsidR="00B97456">
        <w:rPr>
          <w:rFonts w:ascii="Andes" w:eastAsiaTheme="minorHAnsi" w:hAnsi="Andes" w:cs="Arial"/>
          <w:color w:val="000000"/>
          <w:sz w:val="22"/>
          <w:szCs w:val="22"/>
        </w:rPr>
        <w:t> </w:t>
      </w:r>
      <w:r w:rsidRPr="00833B69">
        <w:rPr>
          <w:rFonts w:ascii="Andes" w:eastAsiaTheme="minorHAnsi" w:hAnsi="Andes" w:cs="Arial"/>
          <w:color w:val="000000"/>
          <w:sz w:val="22"/>
          <w:szCs w:val="22"/>
        </w:rPr>
        <w:t xml:space="preserve">; </w:t>
      </w:r>
    </w:p>
    <w:p w14:paraId="6E004067" w14:textId="1C805146" w:rsidR="007743F9" w:rsidRPr="00833B69" w:rsidRDefault="007743F9" w:rsidP="007743F9">
      <w:pPr>
        <w:pStyle w:val="Paragraphedeliste"/>
        <w:numPr>
          <w:ilvl w:val="0"/>
          <w:numId w:val="188"/>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normes et cahier des charges technique selon le </w:t>
      </w:r>
      <w:r w:rsidR="00AE4C01">
        <w:rPr>
          <w:rFonts w:ascii="Andes" w:eastAsiaTheme="minorHAnsi" w:hAnsi="Andes" w:cs="Arial"/>
          <w:color w:val="000000"/>
          <w:sz w:val="22"/>
          <w:szCs w:val="22"/>
        </w:rPr>
        <w:t>P</w:t>
      </w:r>
      <w:r w:rsidRPr="00833B69">
        <w:rPr>
          <w:rFonts w:ascii="Andes" w:eastAsiaTheme="minorHAnsi" w:hAnsi="Andes" w:cs="Arial"/>
          <w:color w:val="000000"/>
          <w:sz w:val="22"/>
          <w:szCs w:val="22"/>
        </w:rPr>
        <w:t>aragraphe 5.26</w:t>
      </w:r>
      <w:r w:rsidR="00B97456">
        <w:rPr>
          <w:rFonts w:ascii="Andes" w:eastAsiaTheme="minorHAnsi" w:hAnsi="Andes" w:cs="Arial"/>
          <w:color w:val="000000"/>
          <w:sz w:val="22"/>
          <w:szCs w:val="22"/>
        </w:rPr>
        <w:t> </w:t>
      </w:r>
      <w:r w:rsidRPr="00833B69">
        <w:rPr>
          <w:rFonts w:ascii="Andes" w:eastAsiaTheme="minorHAnsi" w:hAnsi="Andes" w:cs="Arial"/>
          <w:color w:val="000000"/>
          <w:sz w:val="22"/>
          <w:szCs w:val="22"/>
        </w:rPr>
        <w:t>;</w:t>
      </w:r>
    </w:p>
    <w:p w14:paraId="1AB3ACC7" w14:textId="2C7486B5" w:rsidR="007743F9" w:rsidRPr="00833B69" w:rsidRDefault="007743F9" w:rsidP="007743F9">
      <w:pPr>
        <w:pStyle w:val="Paragraphedeliste"/>
        <w:numPr>
          <w:ilvl w:val="0"/>
          <w:numId w:val="188"/>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type de contrat le mieux adapté à la passation du marché concerné. Pour plus de détails, voir l’Annexe VIII, Types de contrat.</w:t>
      </w:r>
    </w:p>
    <w:p w14:paraId="79F7FD6B" w14:textId="0D60A5CC" w:rsidR="007743F9" w:rsidRPr="00833B69" w:rsidRDefault="007743F9" w:rsidP="007743F9">
      <w:pPr>
        <w:pStyle w:val="Paragraphedeliste"/>
        <w:numPr>
          <w:ilvl w:val="0"/>
          <w:numId w:val="139"/>
        </w:numPr>
        <w:spacing w:before="0" w:line="240" w:lineRule="auto"/>
        <w:ind w:left="630"/>
        <w:contextualSpacing w:val="0"/>
        <w:rPr>
          <w:rFonts w:ascii="Andes" w:hAnsi="Andes" w:cs="Arial"/>
          <w:sz w:val="22"/>
          <w:szCs w:val="22"/>
        </w:rPr>
      </w:pPr>
      <w:r w:rsidRPr="00833B69">
        <w:rPr>
          <w:rFonts w:ascii="Andes" w:hAnsi="Andes" w:cs="Arial"/>
          <w:sz w:val="22"/>
          <w:szCs w:val="22"/>
        </w:rPr>
        <w:t xml:space="preserve">Le mode d’approche du marché recommandé est justifié et argumenté dans la </w:t>
      </w:r>
      <w:r w:rsidR="006634EF">
        <w:rPr>
          <w:rFonts w:ascii="Andes" w:hAnsi="Andes" w:cs="Arial"/>
          <w:sz w:val="22"/>
          <w:szCs w:val="22"/>
        </w:rPr>
        <w:t>SPMPD</w:t>
      </w:r>
      <w:r w:rsidRPr="00833B69">
        <w:rPr>
          <w:rFonts w:ascii="Andes" w:hAnsi="Andes" w:cs="Arial"/>
          <w:sz w:val="22"/>
          <w:szCs w:val="22"/>
        </w:rPr>
        <w:t>. Pour plus de détails, voir l’Annexe V, « Stratégie de Passation des Marchés du Projet pour Promouvoir le Développement ».</w:t>
      </w:r>
    </w:p>
    <w:p w14:paraId="39C1FBBD" w14:textId="5E416DD7" w:rsidR="007743F9" w:rsidRPr="00833B69" w:rsidRDefault="007743F9" w:rsidP="007743F9">
      <w:pPr>
        <w:pStyle w:val="Paragraphedeliste"/>
        <w:numPr>
          <w:ilvl w:val="0"/>
          <w:numId w:val="139"/>
        </w:numPr>
        <w:spacing w:before="0" w:line="240" w:lineRule="auto"/>
        <w:ind w:left="630"/>
        <w:contextualSpacing w:val="0"/>
        <w:rPr>
          <w:rFonts w:ascii="Andes" w:hAnsi="Andes" w:cs="Arial"/>
          <w:sz w:val="22"/>
          <w:szCs w:val="22"/>
        </w:rPr>
      </w:pPr>
      <w:r w:rsidRPr="00833B69">
        <w:rPr>
          <w:rFonts w:ascii="Andes" w:hAnsi="Andes" w:cs="Arial"/>
          <w:sz w:val="22"/>
          <w:szCs w:val="22"/>
        </w:rPr>
        <w:t>Les critères d’évaluation</w:t>
      </w:r>
      <w:r w:rsidR="00B97456">
        <w:rPr>
          <w:rFonts w:ascii="Andes" w:hAnsi="Andes" w:cs="Arial"/>
          <w:sz w:val="22"/>
          <w:szCs w:val="22"/>
        </w:rPr>
        <w:t xml:space="preserve">, y compris les </w:t>
      </w:r>
      <w:r w:rsidR="00B97456" w:rsidRPr="00833B69">
        <w:rPr>
          <w:rFonts w:ascii="Andes" w:eastAsiaTheme="minorHAnsi" w:hAnsi="Andes" w:cs="Arial"/>
          <w:color w:val="000000"/>
          <w:sz w:val="22"/>
          <w:szCs w:val="22"/>
        </w:rPr>
        <w:t xml:space="preserve">critères </w:t>
      </w:r>
      <w:r w:rsidR="00B97456">
        <w:rPr>
          <w:rFonts w:ascii="Andes" w:eastAsiaTheme="minorHAnsi" w:hAnsi="Andes" w:cs="Arial"/>
          <w:color w:val="000000"/>
          <w:sz w:val="22"/>
          <w:szCs w:val="22"/>
        </w:rPr>
        <w:t>notés/qualitatifs</w:t>
      </w:r>
      <w:r w:rsidR="00B97456" w:rsidRPr="00833B69">
        <w:rPr>
          <w:rFonts w:ascii="Andes" w:eastAsiaTheme="minorHAnsi" w:hAnsi="Andes" w:cs="Arial"/>
          <w:color w:val="000000"/>
          <w:sz w:val="22"/>
          <w:szCs w:val="22"/>
        </w:rPr>
        <w:t>,</w:t>
      </w:r>
      <w:r w:rsidR="007510AE">
        <w:rPr>
          <w:rFonts w:ascii="Andes" w:eastAsiaTheme="minorHAnsi" w:hAnsi="Andes" w:cs="Arial"/>
          <w:color w:val="000000"/>
          <w:sz w:val="22"/>
          <w:szCs w:val="22"/>
        </w:rPr>
        <w:t xml:space="preserve"> </w:t>
      </w:r>
      <w:r w:rsidR="00706575">
        <w:rPr>
          <w:rFonts w:ascii="Andes" w:eastAsiaTheme="minorHAnsi" w:hAnsi="Andes" w:cs="Arial"/>
          <w:color w:val="000000"/>
          <w:sz w:val="22"/>
          <w:szCs w:val="22"/>
        </w:rPr>
        <w:t xml:space="preserve">si applicables, </w:t>
      </w:r>
      <w:r w:rsidR="0035018F">
        <w:rPr>
          <w:rFonts w:ascii="Andes" w:eastAsiaTheme="minorHAnsi" w:hAnsi="Andes" w:cs="Arial"/>
          <w:color w:val="000000"/>
          <w:sz w:val="22"/>
          <w:szCs w:val="22"/>
        </w:rPr>
        <w:t>ainsi que leurs priorisation et pondération,</w:t>
      </w:r>
      <w:r w:rsidRPr="00833B69">
        <w:rPr>
          <w:rFonts w:ascii="Andes" w:hAnsi="Andes" w:cs="Arial"/>
          <w:sz w:val="22"/>
          <w:szCs w:val="22"/>
        </w:rPr>
        <w:t xml:space="preserve"> </w:t>
      </w:r>
      <w:r w:rsidR="00C11602">
        <w:rPr>
          <w:rFonts w:ascii="Andes" w:hAnsi="Andes" w:cs="Arial"/>
          <w:sz w:val="22"/>
          <w:szCs w:val="22"/>
        </w:rPr>
        <w:t>doive</w:t>
      </w:r>
      <w:r w:rsidRPr="00833B69">
        <w:rPr>
          <w:rFonts w:ascii="Andes" w:hAnsi="Andes" w:cs="Arial"/>
          <w:sz w:val="22"/>
          <w:szCs w:val="22"/>
        </w:rPr>
        <w:t xml:space="preserve">nt </w:t>
      </w:r>
      <w:r w:rsidR="00C11602">
        <w:rPr>
          <w:rFonts w:ascii="Andes" w:hAnsi="Andes" w:cs="Arial"/>
          <w:sz w:val="22"/>
          <w:szCs w:val="22"/>
        </w:rPr>
        <w:t xml:space="preserve">être </w:t>
      </w:r>
      <w:r w:rsidRPr="00833B69">
        <w:rPr>
          <w:rFonts w:ascii="Andes" w:hAnsi="Andes" w:cs="Arial"/>
          <w:sz w:val="22"/>
          <w:szCs w:val="22"/>
        </w:rPr>
        <w:t>conçus de manière à permettre à l’Emprunteur d’optimiser les ressources dans le cadre des opérations de FPI. Pour plus de détails, voir l’Annexe X, Critères d’</w:t>
      </w:r>
      <w:r w:rsidR="00C11602">
        <w:rPr>
          <w:rFonts w:ascii="Andes" w:hAnsi="Andes" w:cs="Arial"/>
          <w:sz w:val="22"/>
          <w:szCs w:val="22"/>
        </w:rPr>
        <w:t>E</w:t>
      </w:r>
      <w:r w:rsidRPr="00833B69">
        <w:rPr>
          <w:rFonts w:ascii="Andes" w:hAnsi="Andes" w:cs="Arial"/>
          <w:sz w:val="22"/>
          <w:szCs w:val="22"/>
        </w:rPr>
        <w:t>valuation.</w:t>
      </w:r>
    </w:p>
    <w:p w14:paraId="61E363E4" w14:textId="77777777" w:rsidR="007743F9" w:rsidRPr="00833B69" w:rsidRDefault="007743F9" w:rsidP="007743F9">
      <w:pPr>
        <w:pStyle w:val="Paragraphedeliste"/>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Gestion des marchés et contrats dans une optique d’optimisation des ressources</w:t>
      </w:r>
    </w:p>
    <w:p w14:paraId="6B7C00AF" w14:textId="77777777" w:rsidR="007743F9" w:rsidRPr="00833B69" w:rsidRDefault="007743F9" w:rsidP="007743F9">
      <w:pPr>
        <w:pStyle w:val="Paragraphedeliste"/>
        <w:numPr>
          <w:ilvl w:val="0"/>
          <w:numId w:val="139"/>
        </w:numPr>
        <w:spacing w:before="0" w:line="240" w:lineRule="auto"/>
        <w:ind w:left="630"/>
        <w:contextualSpacing w:val="0"/>
        <w:rPr>
          <w:rFonts w:ascii="Andes" w:hAnsi="Andes" w:cs="Arial"/>
          <w:sz w:val="22"/>
          <w:szCs w:val="22"/>
        </w:rPr>
      </w:pPr>
      <w:r w:rsidRPr="00833B69">
        <w:rPr>
          <w:rFonts w:ascii="Andes" w:hAnsi="Andes" w:cs="Arial"/>
          <w:sz w:val="22"/>
          <w:szCs w:val="22"/>
        </w:rPr>
        <w:t>L’Emprunteur détermine le type de contrat et les conditions contractuelles qui conviennent le mieux en tenant compte de la nature, des risques et de la complexité de l’activité, des considérations d’adaptation à l’objectif visé, de la répartition optimale des risques et des engagements, des rôles et des responsabilités des parties contractantes.</w:t>
      </w:r>
    </w:p>
    <w:p w14:paraId="06B44D06" w14:textId="72A476F7" w:rsidR="008F0584" w:rsidRPr="00B1581D" w:rsidRDefault="007743F9" w:rsidP="007743F9">
      <w:pPr>
        <w:pStyle w:val="Paragraphedeliste"/>
        <w:numPr>
          <w:ilvl w:val="0"/>
          <w:numId w:val="139"/>
        </w:numPr>
        <w:spacing w:before="0" w:line="240" w:lineRule="auto"/>
        <w:ind w:left="630"/>
        <w:contextualSpacing w:val="0"/>
        <w:rPr>
          <w:rFonts w:ascii="Andes" w:hAnsi="Andes" w:cs="Arial"/>
          <w:sz w:val="22"/>
          <w:szCs w:val="22"/>
        </w:rPr>
      </w:pPr>
      <w:r w:rsidRPr="00833B69">
        <w:rPr>
          <w:rFonts w:ascii="Andes" w:hAnsi="Andes" w:cs="Arial"/>
          <w:sz w:val="22"/>
          <w:szCs w:val="22"/>
        </w:rPr>
        <w:t xml:space="preserve">S’agissant des contrats mentionnés dans la </w:t>
      </w:r>
      <w:r w:rsidR="006634EF">
        <w:rPr>
          <w:rFonts w:ascii="Andes" w:hAnsi="Andes" w:cs="Arial"/>
          <w:sz w:val="22"/>
          <w:szCs w:val="22"/>
        </w:rPr>
        <w:t>SPMPD</w:t>
      </w:r>
      <w:r w:rsidRPr="00833B69">
        <w:rPr>
          <w:rFonts w:ascii="Andes" w:hAnsi="Andes" w:cs="Arial"/>
          <w:sz w:val="22"/>
          <w:szCs w:val="22"/>
        </w:rPr>
        <w:t>, afin d’assurer une gestion efficace de leur exécution, l’Emprunteur met sur pied un Plan de gestion du marché ou du contrat comprenant des indicateurs de performance clés et un échéancier. L’Emprunteur assure le suivi des résultats et de la progression des marchés, en conformité avec le Plan de gestion du marché ou du contrat et transmet des rapports à la Banque dans les délais impartis. La Banque se réserve le droit d’utiliser les informations recueillies pour évaluer les performances. Pour plus de détails, voir l’Annexe XI, Gestion du marché ou du contrat</w:t>
      </w:r>
      <w:r>
        <w:rPr>
          <w:rFonts w:ascii="Andes" w:hAnsi="Andes" w:cs="Arial"/>
          <w:sz w:val="22"/>
          <w:szCs w:val="22"/>
        </w:rPr>
        <w:t>.</w:t>
      </w:r>
      <w:r w:rsidR="00687669" w:rsidRPr="00B1581D">
        <w:rPr>
          <w:rFonts w:ascii="Andes" w:hAnsi="Andes" w:cs="Arial"/>
          <w:sz w:val="22"/>
          <w:szCs w:val="22"/>
        </w:rPr>
        <w:t xml:space="preserve"> </w:t>
      </w:r>
    </w:p>
    <w:p w14:paraId="4DFBA3D0" w14:textId="77777777" w:rsidR="008F0584" w:rsidRPr="00B1581D" w:rsidRDefault="008F0584" w:rsidP="00EA4749">
      <w:pPr>
        <w:pStyle w:val="Paragraphedeliste"/>
        <w:numPr>
          <w:ilvl w:val="0"/>
          <w:numId w:val="139"/>
        </w:numPr>
        <w:spacing w:before="0" w:line="240" w:lineRule="auto"/>
        <w:ind w:left="630"/>
        <w:contextualSpacing w:val="0"/>
        <w:jc w:val="left"/>
        <w:rPr>
          <w:rFonts w:ascii="Andes" w:hAnsi="Andes" w:cs="Arial"/>
          <w:sz w:val="22"/>
          <w:szCs w:val="22"/>
        </w:rPr>
        <w:sectPr w:rsidR="008F0584" w:rsidRPr="00B1581D" w:rsidSect="000B5EC0">
          <w:headerReference w:type="default" r:id="rId26"/>
          <w:pgSz w:w="12240" w:h="15840"/>
          <w:pgMar w:top="1872" w:right="1440" w:bottom="1440" w:left="1411" w:header="720" w:footer="720" w:gutter="0"/>
          <w:cols w:space="720"/>
          <w:docGrid w:linePitch="360"/>
        </w:sectPr>
      </w:pPr>
    </w:p>
    <w:p w14:paraId="49C84B16" w14:textId="77777777" w:rsidR="00046BA5" w:rsidRPr="007656EB" w:rsidRDefault="00F00D96" w:rsidP="00A5557C">
      <w:pPr>
        <w:pStyle w:val="Titre1"/>
        <w:spacing w:before="0" w:after="0" w:line="240" w:lineRule="auto"/>
        <w:ind w:left="360"/>
        <w:jc w:val="left"/>
        <w:rPr>
          <w:rFonts w:ascii="Andes" w:hAnsi="Andes" w:cs="Arial"/>
          <w:sz w:val="32"/>
          <w:szCs w:val="32"/>
          <w:lang w:val="en-US"/>
        </w:rPr>
      </w:pPr>
      <w:bookmarkStart w:id="3470" w:name="_Toc453170959"/>
      <w:bookmarkStart w:id="3471" w:name="_Toc453544329"/>
      <w:r w:rsidRPr="004A283E">
        <w:rPr>
          <w:rFonts w:ascii="Andes" w:hAnsi="Andes" w:cs="Microsoft Sans Serif"/>
          <w:caps/>
          <w:noProof/>
          <w:color w:val="002060"/>
          <w:lang w:val="en-US"/>
        </w:rPr>
        <w:lastRenderedPageBreak/>
        <mc:AlternateContent>
          <mc:Choice Requires="wps">
            <w:drawing>
              <wp:anchor distT="0" distB="0" distL="114300" distR="114300" simplePos="0" relativeHeight="251638784" behindDoc="0" locked="0" layoutInCell="1" allowOverlap="1" wp14:anchorId="2B92FD06" wp14:editId="292701B4">
                <wp:simplePos x="0" y="0"/>
                <wp:positionH relativeFrom="page">
                  <wp:posOffset>6614</wp:posOffset>
                </wp:positionH>
                <wp:positionV relativeFrom="paragraph">
                  <wp:posOffset>-1186180</wp:posOffset>
                </wp:positionV>
                <wp:extent cx="8151963" cy="1466491"/>
                <wp:effectExtent l="0" t="0" r="1905" b="635"/>
                <wp:wrapNone/>
                <wp:docPr id="18" name="Rectangle 18"/>
                <wp:cNvGraphicFramePr/>
                <a:graphic xmlns:a="http://schemas.openxmlformats.org/drawingml/2006/main">
                  <a:graphicData uri="http://schemas.microsoft.com/office/word/2010/wordprocessingShape">
                    <wps:wsp>
                      <wps:cNvSpPr/>
                      <wps:spPr>
                        <a:xfrm>
                          <a:off x="0" y="0"/>
                          <a:ext cx="8151963" cy="1466491"/>
                        </a:xfrm>
                        <a:prstGeom prst="rect">
                          <a:avLst/>
                        </a:prstGeom>
                        <a:solidFill>
                          <a:srgbClr val="C45911"/>
                        </a:solidFill>
                        <a:ln w="12700" cap="flat" cmpd="sng" algn="ctr">
                          <a:noFill/>
                          <a:prstDash val="solid"/>
                          <a:miter lim="800000"/>
                        </a:ln>
                        <a:effectLst/>
                      </wps:spPr>
                      <wps:txbx>
                        <w:txbxContent>
                          <w:p w14:paraId="098DBAA7" w14:textId="60812C18" w:rsidR="00A41794" w:rsidRPr="00D41270" w:rsidRDefault="00A41794" w:rsidP="00D41270">
                            <w:pPr>
                              <w:tabs>
                                <w:tab w:val="left" w:pos="3060"/>
                              </w:tabs>
                              <w:ind w:left="1260"/>
                              <w:rPr>
                                <w:rFonts w:ascii="Andes" w:hAnsi="Andes"/>
                                <w:color w:val="FFFFFF" w:themeColor="background1"/>
                                <w:sz w:val="44"/>
                                <w:szCs w:val="44"/>
                              </w:rPr>
                            </w:pPr>
                            <w:r w:rsidRPr="00EF7732">
                              <w:rPr>
                                <w:rFonts w:ascii="Andes" w:hAnsi="Andes"/>
                                <w:color w:val="FFFFFF" w:themeColor="background1"/>
                                <w:sz w:val="44"/>
                                <w:szCs w:val="44"/>
                              </w:rPr>
                              <w:t xml:space="preserve">Annexe II.  </w:t>
                            </w:r>
                            <w:r w:rsidRPr="00EF7732">
                              <w:rPr>
                                <w:rFonts w:ascii="Andes" w:hAnsi="Andes"/>
                                <w:color w:val="FFFFFF" w:themeColor="background1"/>
                                <w:sz w:val="44"/>
                                <w:szCs w:val="44"/>
                              </w:rPr>
                              <w:tab/>
                              <w:t xml:space="preserve">Contrôle de la </w:t>
                            </w:r>
                            <w:proofErr w:type="spellStart"/>
                            <w:r w:rsidRPr="00EF7732">
                              <w:rPr>
                                <w:rFonts w:ascii="Andes" w:hAnsi="Andes"/>
                                <w:color w:val="FFFFFF" w:themeColor="background1"/>
                                <w:sz w:val="44"/>
                                <w:szCs w:val="44"/>
                              </w:rPr>
                              <w:t>pass</w:t>
                            </w:r>
                            <w:proofErr w:type="spellEnd"/>
                            <w:r w:rsidRPr="00EF7732">
                              <w:rPr>
                                <w:rFonts w:ascii="Andes" w:hAnsi="Andes"/>
                                <w:color w:val="FFFFFF" w:themeColor="background1"/>
                                <w:sz w:val="44"/>
                                <w:szCs w:val="44"/>
                              </w:rPr>
                              <w:tab/>
                            </w:r>
                            <w:proofErr w:type="spellStart"/>
                            <w:r w:rsidRPr="00EF7732">
                              <w:rPr>
                                <w:rFonts w:ascii="Andes" w:hAnsi="Andes"/>
                                <w:color w:val="FFFFFF" w:themeColor="background1"/>
                                <w:sz w:val="44"/>
                                <w:szCs w:val="44"/>
                              </w:rPr>
                              <w:t>ation</w:t>
                            </w:r>
                            <w:proofErr w:type="spellEnd"/>
                            <w:r w:rsidRPr="00EF7732">
                              <w:rPr>
                                <w:rFonts w:ascii="Andes" w:hAnsi="Andes"/>
                                <w:color w:val="FFFFFF" w:themeColor="background1"/>
                                <w:sz w:val="44"/>
                                <w:szCs w:val="44"/>
                              </w:rPr>
                              <w:t xml:space="preserve"> des marchés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2FD06" id="Rectangle 18" o:spid="_x0000_s1038" style="position:absolute;left:0;text-align:left;margin-left:.5pt;margin-top:-93.4pt;width:641.9pt;height:115.4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" fillcolor="#c45911" stroked="f" strokeweight="1pt">
                <v:textbox>
                  <w:txbxContent>
                    <w:p w14:paraId="098DBAA7" w14:textId="60812C18" w:rsidR="00A41794" w:rsidRPr="00D41270" w:rsidRDefault="00A41794" w:rsidP="00D41270">
                      <w:pPr>
                        <w:tabs>
                          <w:tab w:val="left" w:pos="3060"/>
                        </w:tabs>
                        <w:ind w:left="1260"/>
                        <w:rPr>
                          <w:rFonts w:ascii="Andes" w:hAnsi="Andes"/>
                          <w:color w:val="FFFFFF" w:themeColor="background1"/>
                          <w:sz w:val="44"/>
                          <w:szCs w:val="44"/>
                        </w:rPr>
                      </w:pPr>
                      <w:r w:rsidRPr="00EF7732">
                        <w:rPr>
                          <w:rFonts w:ascii="Andes" w:hAnsi="Andes"/>
                          <w:color w:val="FFFFFF" w:themeColor="background1"/>
                          <w:sz w:val="44"/>
                          <w:szCs w:val="44"/>
                        </w:rPr>
                        <w:t xml:space="preserve">Annexe II.  </w:t>
                      </w:r>
                      <w:r w:rsidRPr="00EF7732">
                        <w:rPr>
                          <w:rFonts w:ascii="Andes" w:hAnsi="Andes"/>
                          <w:color w:val="FFFFFF" w:themeColor="background1"/>
                          <w:sz w:val="44"/>
                          <w:szCs w:val="44"/>
                        </w:rPr>
                        <w:tab/>
                        <w:t xml:space="preserve">Contrôle de la </w:t>
                      </w:r>
                      <w:proofErr w:type="spellStart"/>
                      <w:r w:rsidRPr="00EF7732">
                        <w:rPr>
                          <w:rFonts w:ascii="Andes" w:hAnsi="Andes"/>
                          <w:color w:val="FFFFFF" w:themeColor="background1"/>
                          <w:sz w:val="44"/>
                          <w:szCs w:val="44"/>
                        </w:rPr>
                        <w:t>pass</w:t>
                      </w:r>
                      <w:proofErr w:type="spellEnd"/>
                      <w:r w:rsidRPr="00EF7732">
                        <w:rPr>
                          <w:rFonts w:ascii="Andes" w:hAnsi="Andes"/>
                          <w:color w:val="FFFFFF" w:themeColor="background1"/>
                          <w:sz w:val="44"/>
                          <w:szCs w:val="44"/>
                        </w:rPr>
                        <w:tab/>
                      </w:r>
                      <w:proofErr w:type="spellStart"/>
                      <w:r w:rsidRPr="00EF7732">
                        <w:rPr>
                          <w:rFonts w:ascii="Andes" w:hAnsi="Andes"/>
                          <w:color w:val="FFFFFF" w:themeColor="background1"/>
                          <w:sz w:val="44"/>
                          <w:szCs w:val="44"/>
                        </w:rPr>
                        <w:t>ation</w:t>
                      </w:r>
                      <w:proofErr w:type="spellEnd"/>
                      <w:r w:rsidRPr="00EF7732">
                        <w:rPr>
                          <w:rFonts w:ascii="Andes" w:hAnsi="Andes"/>
                          <w:color w:val="FFFFFF" w:themeColor="background1"/>
                          <w:sz w:val="44"/>
                          <w:szCs w:val="44"/>
                        </w:rPr>
                        <w:t xml:space="preserve"> des marchés</w:t>
                      </w:r>
                    </w:p>
                  </w:txbxContent>
                </v:textbox>
                <w10:wrap anchorx="page"/>
              </v:rect>
            </w:pict>
          </mc:Fallback>
        </mc:AlternateContent>
      </w:r>
      <w:r w:rsidR="00046BA5" w:rsidRPr="007656EB">
        <w:rPr>
          <w:rFonts w:ascii="Andes" w:hAnsi="Andes" w:cs="Arial"/>
          <w:sz w:val="32"/>
          <w:szCs w:val="32"/>
          <w:lang w:val="en-US"/>
        </w:rPr>
        <w:t>Annex II</w:t>
      </w:r>
      <w:r w:rsidR="00687669">
        <w:rPr>
          <w:rFonts w:ascii="Andes" w:hAnsi="Andes" w:cs="Arial"/>
          <w:sz w:val="32"/>
          <w:szCs w:val="32"/>
          <w:lang w:val="en-US"/>
        </w:rPr>
        <w:t xml:space="preserve">.  </w:t>
      </w:r>
      <w:r w:rsidR="004A283E">
        <w:rPr>
          <w:rFonts w:ascii="Andes" w:hAnsi="Andes" w:cs="Arial"/>
          <w:sz w:val="32"/>
          <w:szCs w:val="32"/>
          <w:lang w:val="en-US"/>
        </w:rPr>
        <w:t>P</w:t>
      </w:r>
      <w:r w:rsidR="00046BA5" w:rsidRPr="007656EB">
        <w:rPr>
          <w:rFonts w:ascii="Andes" w:hAnsi="Andes" w:cs="Arial"/>
          <w:sz w:val="32"/>
          <w:szCs w:val="32"/>
          <w:lang w:val="en-US"/>
        </w:rPr>
        <w:t>rocurement Oversight</w:t>
      </w:r>
      <w:bookmarkEnd w:id="3470"/>
      <w:bookmarkEnd w:id="3471"/>
    </w:p>
    <w:p w14:paraId="5C5C8F9D" w14:textId="77777777" w:rsidR="00F05647" w:rsidRPr="00833B69" w:rsidRDefault="00F05647" w:rsidP="00F05647">
      <w:pPr>
        <w:pStyle w:val="Paragraphedeliste"/>
        <w:numPr>
          <w:ilvl w:val="0"/>
          <w:numId w:val="126"/>
        </w:numPr>
        <w:spacing w:before="36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Objet</w:t>
      </w:r>
    </w:p>
    <w:p w14:paraId="65FE6F25" w14:textId="77777777" w:rsidR="00F05647" w:rsidRPr="00833B69" w:rsidRDefault="00F05647" w:rsidP="00F05647">
      <w:pPr>
        <w:pStyle w:val="Paragraphedeliste"/>
        <w:numPr>
          <w:ilvl w:val="0"/>
          <w:numId w:val="82"/>
        </w:numPr>
        <w:spacing w:before="0" w:after="200" w:line="240" w:lineRule="auto"/>
        <w:ind w:left="634" w:hanging="634"/>
        <w:contextualSpacing w:val="0"/>
        <w:rPr>
          <w:rFonts w:ascii="Andes" w:hAnsi="Andes" w:cs="Arial"/>
          <w:sz w:val="22"/>
          <w:szCs w:val="22"/>
        </w:rPr>
      </w:pPr>
      <w:r w:rsidRPr="00833B69">
        <w:rPr>
          <w:rFonts w:ascii="Andes" w:hAnsi="Andes" w:cs="Arial"/>
          <w:sz w:val="22"/>
          <w:szCs w:val="22"/>
        </w:rPr>
        <w:t xml:space="preserve">La présente Annexe porte sur la fonction de contrôle de la passation des marchés assurée par la Banque au titre des responsabilités fiduciaires qui lui sont dévolues par ses Statuts. </w:t>
      </w:r>
    </w:p>
    <w:p w14:paraId="6CFADAF8" w14:textId="45B81D86" w:rsidR="00F05647" w:rsidRPr="00833B69" w:rsidRDefault="00F05647" w:rsidP="00F05647">
      <w:pPr>
        <w:pStyle w:val="Paragraphedeliste"/>
        <w:numPr>
          <w:ilvl w:val="0"/>
          <w:numId w:val="126"/>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Prescriptions</w:t>
      </w:r>
    </w:p>
    <w:p w14:paraId="6EAF57F3" w14:textId="77777777" w:rsidR="00F05647" w:rsidRPr="00833B69" w:rsidRDefault="00F05647" w:rsidP="00F05647">
      <w:pPr>
        <w:pStyle w:val="Paragraphedeliste"/>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La Banque exerce son rôle de contrôle de la passation des marchés selon une méthode basée sur les risques incluant des examens préalables, des examens a posteriori et des examens indépendants, le cas échéant.</w:t>
      </w:r>
    </w:p>
    <w:p w14:paraId="57CDE8DB" w14:textId="77777777" w:rsidR="00F05647" w:rsidRPr="00833B69" w:rsidRDefault="00F05647" w:rsidP="00F05647">
      <w:pPr>
        <w:pStyle w:val="Paragraphedeliste"/>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 xml:space="preserve">En cas de recours à des modalités alternatives de passation des marchés, les conditions de contrôle sont définies dans l’Accord Juridique correspondant. </w:t>
      </w:r>
    </w:p>
    <w:p w14:paraId="116B02D6" w14:textId="77777777" w:rsidR="00F05647" w:rsidRPr="00833B69" w:rsidRDefault="00F05647" w:rsidP="00F05647">
      <w:pPr>
        <w:pStyle w:val="Paragraphedeliste"/>
        <w:numPr>
          <w:ilvl w:val="0"/>
          <w:numId w:val="126"/>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Examen préalable</w:t>
      </w:r>
    </w:p>
    <w:p w14:paraId="51588716" w14:textId="2A74E262" w:rsidR="00F05647" w:rsidRPr="00833B69" w:rsidRDefault="00F05647" w:rsidP="00F05647">
      <w:pPr>
        <w:pStyle w:val="Paragraphedeliste"/>
        <w:numPr>
          <w:ilvl w:val="0"/>
          <w:numId w:val="195"/>
        </w:numPr>
        <w:spacing w:before="0" w:after="200" w:line="240" w:lineRule="auto"/>
        <w:ind w:left="634" w:hanging="634"/>
        <w:contextualSpacing w:val="0"/>
        <w:rPr>
          <w:rFonts w:ascii="Andes" w:hAnsi="Andes" w:cs="Arial"/>
          <w:sz w:val="22"/>
          <w:szCs w:val="22"/>
        </w:rPr>
      </w:pPr>
      <w:r w:rsidRPr="00833B69">
        <w:rPr>
          <w:rFonts w:ascii="Andes" w:hAnsi="Andes" w:cs="Arial"/>
          <w:sz w:val="22"/>
          <w:szCs w:val="22"/>
        </w:rPr>
        <w:t xml:space="preserve">La Banque fixe des seuils d’examen préalable obligatoire, en fonction des risques présentés par les opérations de passation des marchés du projet. À titre exceptionnel, une activité ou un marché qui n’atteint pas le seuil fixé sera néanmoins soumis à un examen préalable si la Banque juge que ladite activité ou ledit marché présente des modalités de passation de marchés </w:t>
      </w:r>
      <w:r w:rsidR="006C76EB">
        <w:rPr>
          <w:rFonts w:ascii="Andes" w:hAnsi="Andes" w:cs="Arial"/>
          <w:sz w:val="22"/>
          <w:szCs w:val="22"/>
        </w:rPr>
        <w:t xml:space="preserve">plus difficiles à mettre en œuvre </w:t>
      </w:r>
      <w:r w:rsidRPr="00833B69">
        <w:rPr>
          <w:rFonts w:ascii="Andes" w:hAnsi="Andes" w:cs="Arial"/>
          <w:sz w:val="22"/>
          <w:szCs w:val="22"/>
        </w:rPr>
        <w:t xml:space="preserve">(par ex. recours à des négociations dans le cadre d’un processus concurrentiel de passation de marchés de Fournitures, de Travaux et de Services Autres que des Services de Consultants, meilleure offre finale, Dialogue </w:t>
      </w:r>
      <w:r w:rsidR="00AF0AAC">
        <w:rPr>
          <w:rFonts w:ascii="Andes" w:hAnsi="Andes" w:cs="Arial"/>
          <w:sz w:val="22"/>
          <w:szCs w:val="22"/>
        </w:rPr>
        <w:t>Compétitif</w:t>
      </w:r>
      <w:r w:rsidRPr="00833B69">
        <w:rPr>
          <w:rFonts w:ascii="Andes" w:hAnsi="Andes" w:cs="Arial"/>
          <w:sz w:val="22"/>
          <w:szCs w:val="22"/>
        </w:rPr>
        <w:t>).</w:t>
      </w:r>
      <w:r w:rsidRPr="00833B69">
        <w:rPr>
          <w:rFonts w:ascii="Andes" w:eastAsiaTheme="minorHAnsi" w:hAnsi="Andes" w:cs="Arial"/>
          <w:color w:val="000000"/>
          <w:sz w:val="22"/>
          <w:szCs w:val="22"/>
        </w:rPr>
        <w:t xml:space="preserve"> </w:t>
      </w:r>
    </w:p>
    <w:p w14:paraId="4C432B70" w14:textId="4B90A684" w:rsidR="00F05647" w:rsidRPr="00833B69" w:rsidRDefault="00F05647" w:rsidP="00F05647">
      <w:pPr>
        <w:pStyle w:val="Paragraphedeliste"/>
        <w:numPr>
          <w:ilvl w:val="0"/>
          <w:numId w:val="195"/>
        </w:numPr>
        <w:spacing w:before="0" w:after="200" w:line="240" w:lineRule="auto"/>
        <w:ind w:left="634" w:hanging="634"/>
        <w:contextualSpacing w:val="0"/>
        <w:rPr>
          <w:rFonts w:ascii="Andes" w:hAnsi="Andes" w:cs="Arial"/>
          <w:sz w:val="22"/>
          <w:szCs w:val="22"/>
        </w:rPr>
      </w:pPr>
      <w:r w:rsidRPr="00833B69">
        <w:rPr>
          <w:rFonts w:ascii="Andes" w:hAnsi="Andes" w:cs="Arial"/>
          <w:sz w:val="22"/>
          <w:szCs w:val="22"/>
        </w:rPr>
        <w:t>Si l’activité ou le contrat évalué présente un risque faible ou modéré, la Banque peut décider que des marchés dépassant les seuils applicables seront soumis à un examen a posteriori et inclus dans le Plan de Passation des Marchés. Ces opérations seront exécutées sur la base des D</w:t>
      </w:r>
      <w:r w:rsidR="001B28B9">
        <w:rPr>
          <w:rFonts w:ascii="Andes" w:hAnsi="Andes" w:cs="Arial"/>
          <w:sz w:val="22"/>
          <w:szCs w:val="22"/>
        </w:rPr>
        <w:t>TPM</w:t>
      </w:r>
      <w:r w:rsidRPr="00833B69">
        <w:rPr>
          <w:rFonts w:ascii="Andes" w:hAnsi="Andes" w:cs="Arial"/>
          <w:sz w:val="22"/>
          <w:szCs w:val="22"/>
        </w:rPr>
        <w:t xml:space="preserve">. </w:t>
      </w:r>
    </w:p>
    <w:p w14:paraId="47E6365D" w14:textId="611D9ECB" w:rsidR="00F05647" w:rsidRDefault="00F05647" w:rsidP="00F05647">
      <w:pPr>
        <w:pStyle w:val="Paragraphedeliste"/>
        <w:numPr>
          <w:ilvl w:val="0"/>
          <w:numId w:val="195"/>
        </w:numPr>
        <w:spacing w:before="0" w:after="200" w:line="240" w:lineRule="auto"/>
        <w:ind w:left="634" w:hanging="634"/>
        <w:contextualSpacing w:val="0"/>
        <w:rPr>
          <w:rFonts w:ascii="Andes" w:hAnsi="Andes" w:cs="Arial"/>
          <w:sz w:val="22"/>
          <w:szCs w:val="22"/>
        </w:rPr>
      </w:pPr>
      <w:r w:rsidRPr="00833B69">
        <w:rPr>
          <w:rFonts w:ascii="Andes" w:hAnsi="Andes" w:cs="Arial"/>
          <w:sz w:val="22"/>
          <w:szCs w:val="22"/>
        </w:rPr>
        <w:t xml:space="preserve">S’agissant des marchés soumis à examen préalable, attribués par sélection directe, l’Emprunteur soumet à la Banque, pour </w:t>
      </w:r>
      <w:r w:rsidR="00491B53">
        <w:rPr>
          <w:rFonts w:ascii="Andes" w:hAnsi="Andes" w:cs="Arial"/>
          <w:sz w:val="22"/>
          <w:szCs w:val="22"/>
        </w:rPr>
        <w:t>examen</w:t>
      </w:r>
      <w:r w:rsidR="00491B53" w:rsidRPr="00833B69">
        <w:rPr>
          <w:rFonts w:ascii="Andes" w:hAnsi="Andes" w:cs="Arial"/>
          <w:sz w:val="22"/>
          <w:szCs w:val="22"/>
        </w:rPr>
        <w:t xml:space="preserve"> </w:t>
      </w:r>
      <w:r w:rsidRPr="00833B69">
        <w:rPr>
          <w:rFonts w:ascii="Andes" w:hAnsi="Andes" w:cs="Arial"/>
          <w:sz w:val="22"/>
          <w:szCs w:val="22"/>
        </w:rPr>
        <w:t>et avis de non-objection, une justification détaillée du choix avant d’inviter l’entreprise à des négociations. La justification doit inclure la raison du recours à la méthode de sélection directe en lieu et place d’un processus concurrentiel de passation des marchés et les arguments en faveur d’une entreprise particulière. Lorsque les négociations sont terminées, l’Emprunteur soumet à la Banque le projet de contrat négocié et le procès-verbal des négociations pour examen préalable.</w:t>
      </w:r>
    </w:p>
    <w:p w14:paraId="0438FCFE" w14:textId="6905A860" w:rsidR="001B28B9" w:rsidRPr="00833B69" w:rsidRDefault="001B28B9" w:rsidP="00F05647">
      <w:pPr>
        <w:pStyle w:val="Paragraphedeliste"/>
        <w:numPr>
          <w:ilvl w:val="0"/>
          <w:numId w:val="195"/>
        </w:numPr>
        <w:spacing w:before="0" w:after="200" w:line="240" w:lineRule="auto"/>
        <w:ind w:left="634" w:hanging="634"/>
        <w:contextualSpacing w:val="0"/>
        <w:rPr>
          <w:rFonts w:ascii="Andes" w:hAnsi="Andes" w:cs="Arial"/>
          <w:sz w:val="22"/>
          <w:szCs w:val="22"/>
        </w:rPr>
      </w:pPr>
      <w:r>
        <w:rPr>
          <w:rFonts w:ascii="Andes" w:hAnsi="Andes" w:cs="Arial"/>
          <w:sz w:val="22"/>
          <w:szCs w:val="22"/>
        </w:rPr>
        <w:t xml:space="preserve">Sauf si autrement convenu avec la Banque, </w:t>
      </w:r>
      <w:r w:rsidR="00491B53">
        <w:rPr>
          <w:rFonts w:ascii="Andes" w:hAnsi="Andes" w:cs="Arial"/>
          <w:sz w:val="22"/>
          <w:szCs w:val="22"/>
        </w:rPr>
        <w:t>l’examen</w:t>
      </w:r>
      <w:r>
        <w:rPr>
          <w:rFonts w:ascii="Andes" w:hAnsi="Andes" w:cs="Arial"/>
          <w:sz w:val="22"/>
          <w:szCs w:val="22"/>
        </w:rPr>
        <w:t xml:space="preserve"> a priori sera effectué pour </w:t>
      </w:r>
      <w:r w:rsidR="00B75077">
        <w:rPr>
          <w:rFonts w:ascii="Andes" w:hAnsi="Andes" w:cs="Arial"/>
          <w:sz w:val="22"/>
          <w:szCs w:val="22"/>
        </w:rPr>
        <w:t>chaque passation</w:t>
      </w:r>
      <w:r>
        <w:rPr>
          <w:rFonts w:ascii="Andes" w:hAnsi="Andes" w:cs="Arial"/>
          <w:sz w:val="22"/>
          <w:szCs w:val="22"/>
        </w:rPr>
        <w:t xml:space="preserve"> des marchés de Travaux</w:t>
      </w:r>
      <w:r w:rsidR="00B629BB">
        <w:rPr>
          <w:rFonts w:ascii="Andes" w:hAnsi="Andes" w:cs="Arial"/>
          <w:sz w:val="22"/>
          <w:szCs w:val="22"/>
        </w:rPr>
        <w:t xml:space="preserve"> utilis</w:t>
      </w:r>
      <w:r w:rsidR="00B01277">
        <w:rPr>
          <w:rFonts w:ascii="Andes" w:hAnsi="Andes" w:cs="Arial"/>
          <w:sz w:val="22"/>
          <w:szCs w:val="22"/>
        </w:rPr>
        <w:t>a</w:t>
      </w:r>
      <w:r w:rsidR="00B629BB">
        <w:rPr>
          <w:rFonts w:ascii="Andes" w:hAnsi="Andes" w:cs="Arial"/>
          <w:sz w:val="22"/>
          <w:szCs w:val="22"/>
        </w:rPr>
        <w:t xml:space="preserve">nt les DTPM </w:t>
      </w:r>
      <w:r>
        <w:rPr>
          <w:rFonts w:ascii="Andes" w:hAnsi="Andes" w:cs="Arial"/>
          <w:sz w:val="22"/>
          <w:szCs w:val="22"/>
        </w:rPr>
        <w:t>dans le cadre des projets classés à hauts risques pour les aspects EAS/HS.</w:t>
      </w:r>
    </w:p>
    <w:p w14:paraId="65C05CFB" w14:textId="77777777" w:rsidR="00F05647" w:rsidRPr="00833B69" w:rsidRDefault="00F05647" w:rsidP="003000E4">
      <w:pPr>
        <w:pStyle w:val="Paragraphedeliste"/>
        <w:keepNext/>
        <w:numPr>
          <w:ilvl w:val="0"/>
          <w:numId w:val="126"/>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Examen a posteriori</w:t>
      </w:r>
    </w:p>
    <w:p w14:paraId="1FBC092A" w14:textId="77777777" w:rsidR="00F05647" w:rsidRPr="00833B69" w:rsidRDefault="00F05647" w:rsidP="00F05647">
      <w:pPr>
        <w:pStyle w:val="Paragraphedeliste"/>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 xml:space="preserve">La Banque effectue des examens a posteriori des processus de passation des marchés engagés par l’Emprunteur afin de s’assurer que ceux-ci sont conformes aux conditions de l’Accord Juridique. La Banque peut recourir à un tiers agréé par la Banque (institution supérieure de contrôle, par </w:t>
      </w:r>
      <w:r w:rsidRPr="00833B69">
        <w:rPr>
          <w:rFonts w:ascii="Andes" w:hAnsi="Andes" w:cs="Arial"/>
          <w:sz w:val="22"/>
          <w:szCs w:val="22"/>
        </w:rPr>
        <w:lastRenderedPageBreak/>
        <w:t xml:space="preserve">exemple) pour la réalisation des examens a posteriori. Ledit tiers est tenu de réaliser ces examens en conformité avec le mandat qui lui est confié par la Banque. </w:t>
      </w:r>
    </w:p>
    <w:p w14:paraId="0BB84D07" w14:textId="77777777" w:rsidR="00F05647" w:rsidRPr="00833B69" w:rsidRDefault="00F05647" w:rsidP="00F05647">
      <w:pPr>
        <w:pStyle w:val="Paragraphedeliste"/>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 xml:space="preserve">L’examen a posteriori de la passation des marchés a les objectifs suivants : </w:t>
      </w:r>
    </w:p>
    <w:p w14:paraId="386FC4EF" w14:textId="77777777" w:rsidR="00F05647" w:rsidRPr="00833B69" w:rsidRDefault="00F05647" w:rsidP="00F05647">
      <w:pPr>
        <w:pStyle w:val="Paragraphedeliste"/>
        <w:numPr>
          <w:ilvl w:val="0"/>
          <w:numId w:val="189"/>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vérifier que les opérations de passation des marchés engagées par l’Emprunteur sont conformes à l’Accord Juridique ;</w:t>
      </w:r>
    </w:p>
    <w:p w14:paraId="32E2D1ED" w14:textId="77777777" w:rsidR="00F05647" w:rsidRPr="00833B69" w:rsidRDefault="00F05647" w:rsidP="00F05647">
      <w:pPr>
        <w:pStyle w:val="Paragraphedeliste"/>
        <w:numPr>
          <w:ilvl w:val="0"/>
          <w:numId w:val="189"/>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s’assurer que l’Emprunteur continue de respecter les modalités convenues pour la passation des marchés et met notamment en œuvre de manière rapide et efficace les mesures fixées par le plan de gestion/d’atténuation des risques ; </w:t>
      </w:r>
    </w:p>
    <w:p w14:paraId="429C476A" w14:textId="77777777" w:rsidR="00F05647" w:rsidRPr="00833B69" w:rsidRDefault="00F05647" w:rsidP="00F05647">
      <w:pPr>
        <w:pStyle w:val="Paragraphedeliste"/>
        <w:numPr>
          <w:ilvl w:val="0"/>
          <w:numId w:val="189"/>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vérifier que l’exécution se fait dans le respect permanent du contrat, en particulier en matière de conformité technique ;</w:t>
      </w:r>
    </w:p>
    <w:p w14:paraId="006C90F1" w14:textId="77777777" w:rsidR="00F05647" w:rsidRPr="00833B69" w:rsidRDefault="00F05647" w:rsidP="00F05647">
      <w:pPr>
        <w:pStyle w:val="Paragraphedeliste"/>
        <w:numPr>
          <w:ilvl w:val="0"/>
          <w:numId w:val="189"/>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repérer les signes de fraude et de corruption et en transmettre les preuves à la Vice-Présidence de l’intégrité de la Banque (INT) ;</w:t>
      </w:r>
    </w:p>
    <w:p w14:paraId="60012273" w14:textId="77777777" w:rsidR="00F05647" w:rsidRPr="00833B69" w:rsidRDefault="00F05647" w:rsidP="00F05647">
      <w:pPr>
        <w:pStyle w:val="Paragraphedeliste"/>
        <w:numPr>
          <w:ilvl w:val="0"/>
          <w:numId w:val="189"/>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identifier des mesures d’atténuation des risques ou des actions permettant de corriger des défauts de la passation des marchés et les recommander à la Banque. </w:t>
      </w:r>
    </w:p>
    <w:p w14:paraId="269378C3" w14:textId="77777777" w:rsidR="00F05647" w:rsidRPr="00833B69" w:rsidRDefault="00F05647" w:rsidP="00F05647">
      <w:pPr>
        <w:pStyle w:val="Paragraphedeliste"/>
        <w:numPr>
          <w:ilvl w:val="0"/>
          <w:numId w:val="126"/>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 xml:space="preserve">Examens indépendants </w:t>
      </w:r>
    </w:p>
    <w:p w14:paraId="028C8DC3" w14:textId="77777777" w:rsidR="00F05647" w:rsidRPr="00833B69" w:rsidRDefault="00F05647" w:rsidP="00F05647">
      <w:pPr>
        <w:pStyle w:val="Paragraphedeliste"/>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Des examens indépendants sont effectués par des tiers indépendants nommés par la Banque si cette dernière estime qu’un examen de ce type est nécessaire sur la base de l’évaluation des risques. Cette mesure s’applique aux marchés soumis à examen préalable ou a posteriori.</w:t>
      </w:r>
    </w:p>
    <w:p w14:paraId="249DA9BC" w14:textId="0953E6CD" w:rsidR="00F05647" w:rsidRPr="00833B69" w:rsidRDefault="00F05647" w:rsidP="00F05647">
      <w:pPr>
        <w:pStyle w:val="Paragraphedeliste"/>
        <w:numPr>
          <w:ilvl w:val="0"/>
          <w:numId w:val="126"/>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 xml:space="preserve">Documents </w:t>
      </w:r>
      <w:r w:rsidR="0057199A">
        <w:rPr>
          <w:rFonts w:ascii="Andes" w:eastAsiaTheme="majorEastAsia" w:hAnsi="Andes"/>
          <w:b/>
          <w:color w:val="C45911"/>
          <w:sz w:val="32"/>
          <w:szCs w:val="32"/>
        </w:rPr>
        <w:t>soumi</w:t>
      </w:r>
      <w:r w:rsidR="0057199A" w:rsidRPr="00833B69">
        <w:rPr>
          <w:rFonts w:ascii="Andes" w:eastAsiaTheme="majorEastAsia" w:hAnsi="Andes"/>
          <w:b/>
          <w:color w:val="C45911"/>
          <w:sz w:val="32"/>
          <w:szCs w:val="32"/>
        </w:rPr>
        <w:t xml:space="preserve">s </w:t>
      </w:r>
      <w:r w:rsidRPr="00833B69">
        <w:rPr>
          <w:rFonts w:ascii="Andes" w:eastAsiaTheme="majorEastAsia" w:hAnsi="Andes"/>
          <w:b/>
          <w:color w:val="C45911"/>
          <w:sz w:val="32"/>
          <w:szCs w:val="32"/>
        </w:rPr>
        <w:t xml:space="preserve">à l’examen préalable </w:t>
      </w:r>
    </w:p>
    <w:p w14:paraId="4F85649E" w14:textId="77777777" w:rsidR="00F05647" w:rsidRPr="00833B69" w:rsidRDefault="00F05647" w:rsidP="00F05647">
      <w:pPr>
        <w:pStyle w:val="Paragraphedeliste"/>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Pour les passations de marchés soumises à un examen préalable, l’Emprunteur transmet à la Banque les documents ci-dessous pour examen préalable et avis de non-objection :</w:t>
      </w:r>
    </w:p>
    <w:p w14:paraId="4B71DAA3" w14:textId="77777777" w:rsidR="00F05647" w:rsidRPr="00833B69" w:rsidRDefault="00F05647" w:rsidP="00F05647">
      <w:pPr>
        <w:pStyle w:val="Paragraphedeliste"/>
        <w:numPr>
          <w:ilvl w:val="0"/>
          <w:numId w:val="19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l’Avis Général et l’Avis Particulier de Passation de Marchés, selon le cas ;</w:t>
      </w:r>
    </w:p>
    <w:p w14:paraId="69DD85DD" w14:textId="3E1504A0" w:rsidR="00F05647" w:rsidRPr="00833B69" w:rsidRDefault="00F05647" w:rsidP="00F05647">
      <w:pPr>
        <w:pStyle w:val="Paragraphedeliste"/>
        <w:numPr>
          <w:ilvl w:val="0"/>
          <w:numId w:val="190"/>
        </w:numPr>
        <w:spacing w:before="0" w:line="240" w:lineRule="auto"/>
        <w:contextualSpacing w:val="0"/>
        <w:rPr>
          <w:rFonts w:ascii="Andes" w:eastAsiaTheme="minorHAnsi" w:hAnsi="Andes" w:cs="Arial"/>
          <w:sz w:val="22"/>
          <w:szCs w:val="22"/>
        </w:rPr>
      </w:pPr>
      <w:r w:rsidRPr="00833B69">
        <w:rPr>
          <w:rFonts w:ascii="Andes" w:eastAsiaTheme="minorHAnsi" w:hAnsi="Andes" w:cs="Arial"/>
          <w:color w:val="000000"/>
          <w:sz w:val="22"/>
          <w:szCs w:val="22"/>
        </w:rPr>
        <w:t xml:space="preserve">en cas de recours à la </w:t>
      </w:r>
      <w:r w:rsidR="000A7F1B">
        <w:rPr>
          <w:rFonts w:ascii="Andes" w:eastAsiaTheme="minorHAnsi" w:hAnsi="Andes" w:cs="Arial"/>
          <w:color w:val="000000"/>
          <w:sz w:val="22"/>
          <w:szCs w:val="22"/>
        </w:rPr>
        <w:t>Préqualification</w:t>
      </w:r>
      <w:r w:rsidRPr="00833B69">
        <w:rPr>
          <w:rFonts w:ascii="Andes" w:eastAsiaTheme="minorHAnsi" w:hAnsi="Andes" w:cs="Arial"/>
          <w:color w:val="000000"/>
          <w:sz w:val="22"/>
          <w:szCs w:val="22"/>
        </w:rPr>
        <w:t xml:space="preserve"> ou à la Sélection Initiale, l’invitation correspondante, le dossier de </w:t>
      </w:r>
      <w:r w:rsidR="000A7F1B">
        <w:rPr>
          <w:rFonts w:ascii="Andes" w:eastAsiaTheme="minorHAnsi" w:hAnsi="Andes" w:cs="Arial"/>
          <w:color w:val="000000"/>
          <w:sz w:val="22"/>
          <w:szCs w:val="22"/>
        </w:rPr>
        <w:t>Préqualification</w:t>
      </w:r>
      <w:r w:rsidRPr="00833B69">
        <w:rPr>
          <w:rFonts w:ascii="Andes" w:eastAsiaTheme="minorHAnsi" w:hAnsi="Andes" w:cs="Arial"/>
          <w:color w:val="000000"/>
          <w:sz w:val="22"/>
          <w:szCs w:val="22"/>
        </w:rPr>
        <w:t xml:space="preserve"> ou de </w:t>
      </w:r>
      <w:r w:rsidR="00CE75CB">
        <w:rPr>
          <w:rFonts w:ascii="Andes" w:eastAsiaTheme="minorHAnsi" w:hAnsi="Andes" w:cs="Arial"/>
          <w:color w:val="000000"/>
          <w:sz w:val="22"/>
          <w:szCs w:val="22"/>
        </w:rPr>
        <w:t>S</w:t>
      </w:r>
      <w:r w:rsidRPr="00833B69">
        <w:rPr>
          <w:rFonts w:ascii="Andes" w:eastAsiaTheme="minorHAnsi" w:hAnsi="Andes" w:cs="Arial"/>
          <w:color w:val="000000"/>
          <w:sz w:val="22"/>
          <w:szCs w:val="22"/>
        </w:rPr>
        <w:t xml:space="preserve">élection </w:t>
      </w:r>
      <w:r w:rsidR="00CE75CB">
        <w:rPr>
          <w:rFonts w:ascii="Andes" w:eastAsiaTheme="minorHAnsi" w:hAnsi="Andes" w:cs="Arial"/>
          <w:color w:val="000000"/>
          <w:sz w:val="22"/>
          <w:szCs w:val="22"/>
        </w:rPr>
        <w:t>I</w:t>
      </w:r>
      <w:r w:rsidRPr="00833B69">
        <w:rPr>
          <w:rFonts w:ascii="Andes" w:eastAsiaTheme="minorHAnsi" w:hAnsi="Andes" w:cs="Arial"/>
          <w:color w:val="000000"/>
          <w:sz w:val="22"/>
          <w:szCs w:val="22"/>
        </w:rPr>
        <w:t xml:space="preserve">nitiale (avec mention des modifications éventuelles) ainsi que le rapport d’évaluation de la </w:t>
      </w:r>
      <w:r w:rsidR="000A7F1B">
        <w:rPr>
          <w:rFonts w:ascii="Andes" w:eastAsiaTheme="minorHAnsi" w:hAnsi="Andes" w:cs="Arial"/>
          <w:color w:val="000000"/>
          <w:sz w:val="22"/>
          <w:szCs w:val="22"/>
        </w:rPr>
        <w:t>Préqualification</w:t>
      </w:r>
      <w:r w:rsidRPr="00833B69">
        <w:rPr>
          <w:rFonts w:ascii="Andes" w:eastAsiaTheme="minorHAnsi" w:hAnsi="Andes" w:cs="Arial"/>
          <w:color w:val="000000"/>
          <w:sz w:val="22"/>
          <w:szCs w:val="22"/>
        </w:rPr>
        <w:t xml:space="preserve"> ou de la </w:t>
      </w:r>
      <w:r w:rsidR="00AD0DDF">
        <w:rPr>
          <w:rFonts w:ascii="Andes" w:eastAsiaTheme="minorHAnsi" w:hAnsi="Andes" w:cs="Arial"/>
          <w:color w:val="000000"/>
          <w:sz w:val="22"/>
          <w:szCs w:val="22"/>
        </w:rPr>
        <w:t>S</w:t>
      </w:r>
      <w:r w:rsidRPr="00833B69">
        <w:rPr>
          <w:rFonts w:ascii="Andes" w:eastAsiaTheme="minorHAnsi" w:hAnsi="Andes" w:cs="Arial"/>
          <w:color w:val="000000"/>
          <w:sz w:val="22"/>
          <w:szCs w:val="22"/>
        </w:rPr>
        <w:t xml:space="preserve">élection </w:t>
      </w:r>
      <w:r w:rsidR="00AD0DDF">
        <w:rPr>
          <w:rFonts w:ascii="Andes" w:eastAsiaTheme="minorHAnsi" w:hAnsi="Andes" w:cs="Arial"/>
          <w:color w:val="000000"/>
          <w:sz w:val="22"/>
          <w:szCs w:val="22"/>
        </w:rPr>
        <w:t>I</w:t>
      </w:r>
      <w:r w:rsidRPr="00833B69">
        <w:rPr>
          <w:rFonts w:ascii="Andes" w:eastAsiaTheme="minorHAnsi" w:hAnsi="Andes" w:cs="Arial"/>
          <w:color w:val="000000"/>
          <w:sz w:val="22"/>
          <w:szCs w:val="22"/>
        </w:rPr>
        <w:t>nitiale ; pour les Services de Consultants, la demande de manifestation d’</w:t>
      </w:r>
      <w:r>
        <w:rPr>
          <w:rFonts w:ascii="Andes" w:eastAsiaTheme="minorHAnsi" w:hAnsi="Andes" w:cs="Arial"/>
          <w:color w:val="000000"/>
          <w:sz w:val="22"/>
          <w:szCs w:val="22"/>
        </w:rPr>
        <w:t>intérêt avec les Termes de R</w:t>
      </w:r>
      <w:r w:rsidRPr="00833B69">
        <w:rPr>
          <w:rFonts w:ascii="Andes" w:eastAsiaTheme="minorHAnsi" w:hAnsi="Andes" w:cs="Arial"/>
          <w:color w:val="000000"/>
          <w:sz w:val="22"/>
          <w:szCs w:val="22"/>
        </w:rPr>
        <w:t xml:space="preserve">éférence complets, ainsi que le rapport d’évaluation de la </w:t>
      </w:r>
      <w:r w:rsidRPr="005269CF">
        <w:rPr>
          <w:rFonts w:ascii="Andes" w:eastAsiaTheme="minorHAnsi" w:hAnsi="Andes" w:cs="Arial"/>
          <w:color w:val="000000"/>
          <w:sz w:val="22"/>
          <w:szCs w:val="22"/>
        </w:rPr>
        <w:t>Présélection</w:t>
      </w:r>
      <w:r w:rsidRPr="00833B69">
        <w:rPr>
          <w:rFonts w:ascii="Andes" w:eastAsiaTheme="minorHAnsi" w:hAnsi="Andes" w:cs="Arial"/>
          <w:color w:val="000000"/>
          <w:sz w:val="22"/>
          <w:szCs w:val="22"/>
        </w:rPr>
        <w:t> ;</w:t>
      </w:r>
    </w:p>
    <w:p w14:paraId="726569A4" w14:textId="1DA9FAB9" w:rsidR="00F05647" w:rsidRPr="00882278" w:rsidRDefault="00F05647" w:rsidP="002F3E32">
      <w:pPr>
        <w:pStyle w:val="Paragraphedeliste"/>
        <w:numPr>
          <w:ilvl w:val="0"/>
          <w:numId w:val="19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les dossiers d’</w:t>
      </w:r>
      <w:r w:rsidR="00710B41">
        <w:rPr>
          <w:rFonts w:ascii="Andes" w:eastAsiaTheme="minorHAnsi" w:hAnsi="Andes" w:cs="Arial"/>
          <w:color w:val="000000"/>
          <w:sz w:val="22"/>
          <w:szCs w:val="22"/>
        </w:rPr>
        <w:t>A</w:t>
      </w:r>
      <w:r w:rsidRPr="00833B69">
        <w:rPr>
          <w:rFonts w:ascii="Andes" w:eastAsiaTheme="minorHAnsi" w:hAnsi="Andes" w:cs="Arial"/>
          <w:color w:val="000000"/>
          <w:sz w:val="22"/>
          <w:szCs w:val="22"/>
        </w:rPr>
        <w:t>ppel d’</w:t>
      </w:r>
      <w:r w:rsidR="00710B41">
        <w:rPr>
          <w:rFonts w:ascii="Andes" w:eastAsiaTheme="minorHAnsi" w:hAnsi="Andes" w:cs="Arial"/>
          <w:color w:val="000000"/>
          <w:sz w:val="22"/>
          <w:szCs w:val="22"/>
        </w:rPr>
        <w:t>O</w:t>
      </w:r>
      <w:r w:rsidRPr="00833B69">
        <w:rPr>
          <w:rFonts w:ascii="Andes" w:eastAsiaTheme="minorHAnsi" w:hAnsi="Andes" w:cs="Arial"/>
          <w:color w:val="000000"/>
          <w:sz w:val="22"/>
          <w:szCs w:val="22"/>
        </w:rPr>
        <w:t>ffres ou d’</w:t>
      </w:r>
      <w:r w:rsidR="00404BE3">
        <w:rPr>
          <w:rFonts w:ascii="Andes" w:eastAsiaTheme="minorHAnsi" w:hAnsi="Andes" w:cs="Arial"/>
          <w:color w:val="000000"/>
          <w:sz w:val="22"/>
          <w:szCs w:val="22"/>
        </w:rPr>
        <w:t>A</w:t>
      </w:r>
      <w:r w:rsidRPr="00833B69">
        <w:rPr>
          <w:rFonts w:ascii="Andes" w:eastAsiaTheme="minorHAnsi" w:hAnsi="Andes" w:cs="Arial"/>
          <w:color w:val="000000"/>
          <w:sz w:val="22"/>
          <w:szCs w:val="22"/>
        </w:rPr>
        <w:t xml:space="preserve">ppel à </w:t>
      </w:r>
      <w:r w:rsidR="00404BE3">
        <w:rPr>
          <w:rFonts w:ascii="Andes" w:eastAsiaTheme="minorHAnsi" w:hAnsi="Andes" w:cs="Arial"/>
          <w:color w:val="000000"/>
          <w:sz w:val="22"/>
          <w:szCs w:val="22"/>
        </w:rPr>
        <w:t>P</w:t>
      </w:r>
      <w:r w:rsidRPr="00833B69">
        <w:rPr>
          <w:rFonts w:ascii="Andes" w:eastAsiaTheme="minorHAnsi" w:hAnsi="Andes" w:cs="Arial"/>
          <w:color w:val="000000"/>
          <w:sz w:val="22"/>
          <w:szCs w:val="22"/>
        </w:rPr>
        <w:t>ropositions, avec mention des modifications éventuelles </w:t>
      </w:r>
      <w:r w:rsidR="00423B98" w:rsidRPr="00882278">
        <w:rPr>
          <w:rFonts w:ascii="Andes" w:eastAsiaTheme="minorHAnsi" w:hAnsi="Andes" w:cs="Arial"/>
          <w:color w:val="000000"/>
          <w:sz w:val="22"/>
          <w:szCs w:val="22"/>
        </w:rPr>
        <w:t xml:space="preserve">(pour les marchés internationaux pour lesquels il est nécessaire </w:t>
      </w:r>
      <w:r w:rsidR="002F3E32">
        <w:rPr>
          <w:rFonts w:ascii="Andes" w:eastAsiaTheme="minorHAnsi" w:hAnsi="Andes" w:cs="Arial"/>
          <w:color w:val="000000"/>
          <w:sz w:val="22"/>
          <w:szCs w:val="22"/>
        </w:rPr>
        <w:t>d’</w:t>
      </w:r>
      <w:r w:rsidR="00423B98" w:rsidRPr="00882278">
        <w:rPr>
          <w:rFonts w:ascii="Andes" w:eastAsiaTheme="minorHAnsi" w:hAnsi="Andes" w:cs="Arial"/>
          <w:color w:val="000000"/>
          <w:sz w:val="22"/>
          <w:szCs w:val="22"/>
        </w:rPr>
        <w:t>utiliser les</w:t>
      </w:r>
      <w:r w:rsidR="002F3E32">
        <w:rPr>
          <w:rFonts w:ascii="Andes" w:eastAsiaTheme="minorHAnsi" w:hAnsi="Andes" w:cs="Arial"/>
          <w:color w:val="000000"/>
          <w:sz w:val="22"/>
          <w:szCs w:val="22"/>
        </w:rPr>
        <w:t xml:space="preserve"> DTPM de la Banque</w:t>
      </w:r>
      <w:r w:rsidR="00423B98" w:rsidRPr="00882278">
        <w:rPr>
          <w:rFonts w:ascii="Andes" w:eastAsiaTheme="minorHAnsi" w:hAnsi="Andes" w:cs="Arial"/>
          <w:color w:val="000000"/>
          <w:sz w:val="22"/>
          <w:szCs w:val="22"/>
        </w:rPr>
        <w:t>, ces do</w:t>
      </w:r>
      <w:r w:rsidR="005211C1">
        <w:rPr>
          <w:rFonts w:ascii="Andes" w:eastAsiaTheme="minorHAnsi" w:hAnsi="Andes" w:cs="Arial"/>
          <w:color w:val="000000"/>
          <w:sz w:val="22"/>
          <w:szCs w:val="22"/>
        </w:rPr>
        <w:t>ssier</w:t>
      </w:r>
      <w:r w:rsidR="00423B98" w:rsidRPr="00882278">
        <w:rPr>
          <w:rFonts w:ascii="Andes" w:eastAsiaTheme="minorHAnsi" w:hAnsi="Andes" w:cs="Arial"/>
          <w:color w:val="000000"/>
          <w:sz w:val="22"/>
          <w:szCs w:val="22"/>
        </w:rPr>
        <w:t xml:space="preserve">s doivent également inclure les </w:t>
      </w:r>
      <w:r w:rsidR="005211C1">
        <w:rPr>
          <w:rFonts w:ascii="Andes" w:eastAsiaTheme="minorHAnsi" w:hAnsi="Andes" w:cs="Arial"/>
          <w:color w:val="000000"/>
          <w:sz w:val="22"/>
          <w:szCs w:val="22"/>
        </w:rPr>
        <w:t>C</w:t>
      </w:r>
      <w:r w:rsidR="00423B98" w:rsidRPr="00882278">
        <w:rPr>
          <w:rFonts w:ascii="Andes" w:eastAsiaTheme="minorHAnsi" w:hAnsi="Andes" w:cs="Arial"/>
          <w:color w:val="000000"/>
          <w:sz w:val="22"/>
          <w:szCs w:val="22"/>
        </w:rPr>
        <w:t xml:space="preserve">ritères d'évaluation, y compris les </w:t>
      </w:r>
      <w:r w:rsidR="000A00EC">
        <w:rPr>
          <w:rFonts w:ascii="Andes" w:eastAsiaTheme="minorHAnsi" w:hAnsi="Andes" w:cs="Arial"/>
          <w:color w:val="000000"/>
          <w:sz w:val="22"/>
          <w:szCs w:val="22"/>
        </w:rPr>
        <w:t>C</w:t>
      </w:r>
      <w:r w:rsidR="00423B98" w:rsidRPr="00882278">
        <w:rPr>
          <w:rFonts w:ascii="Andes" w:eastAsiaTheme="minorHAnsi" w:hAnsi="Andes" w:cs="Arial"/>
          <w:color w:val="000000"/>
          <w:sz w:val="22"/>
          <w:szCs w:val="22"/>
        </w:rPr>
        <w:t>ritères notés, les pondérations, les seuils de qualité minimum, etc</w:t>
      </w:r>
      <w:r w:rsidR="000A00EC">
        <w:rPr>
          <w:rFonts w:ascii="Andes" w:eastAsiaTheme="minorHAnsi" w:hAnsi="Andes" w:cs="Arial"/>
          <w:color w:val="000000"/>
          <w:sz w:val="22"/>
          <w:szCs w:val="22"/>
        </w:rPr>
        <w:t>.</w:t>
      </w:r>
      <w:r w:rsidR="00423B98" w:rsidRPr="00882278">
        <w:rPr>
          <w:rFonts w:ascii="Andes" w:eastAsiaTheme="minorHAnsi" w:hAnsi="Andes" w:cs="Arial"/>
          <w:color w:val="000000"/>
          <w:sz w:val="22"/>
          <w:szCs w:val="22"/>
        </w:rPr>
        <w:t>)</w:t>
      </w:r>
      <w:r w:rsidRPr="00882278">
        <w:rPr>
          <w:rFonts w:ascii="Andes" w:eastAsiaTheme="minorHAnsi" w:hAnsi="Andes" w:cs="Arial"/>
          <w:color w:val="000000"/>
          <w:sz w:val="22"/>
          <w:szCs w:val="22"/>
        </w:rPr>
        <w:t>;</w:t>
      </w:r>
    </w:p>
    <w:p w14:paraId="3792AA2C" w14:textId="0C18F9BF" w:rsidR="00F05647" w:rsidRPr="00833B69" w:rsidRDefault="00F05647" w:rsidP="00F05647">
      <w:pPr>
        <w:pStyle w:val="Paragraphedeliste"/>
        <w:numPr>
          <w:ilvl w:val="0"/>
          <w:numId w:val="19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la première demande de prorogation de la période de validité de l’offre/de la proposition adressée par l’Emprunteur aux Soumissionnaires/Proposants</w:t>
      </w:r>
      <w:r w:rsidR="00555124">
        <w:rPr>
          <w:rFonts w:ascii="Andes" w:eastAsiaTheme="minorHAnsi" w:hAnsi="Andes" w:cs="Arial"/>
          <w:color w:val="000000"/>
          <w:sz w:val="22"/>
          <w:szCs w:val="22"/>
        </w:rPr>
        <w:t>/Consultants</w:t>
      </w:r>
      <w:r w:rsidRPr="00833B69">
        <w:rPr>
          <w:rFonts w:ascii="Andes" w:eastAsiaTheme="minorHAnsi" w:hAnsi="Andes" w:cs="Arial"/>
          <w:color w:val="000000"/>
          <w:sz w:val="22"/>
          <w:szCs w:val="22"/>
        </w:rPr>
        <w:t xml:space="preserve"> si celle-ci porte sur plus de quatre (4) semaines, ainsi que toute demande de prorogation ultérieure, quelle qu’en soit la durée ;</w:t>
      </w:r>
    </w:p>
    <w:p w14:paraId="10971B8D" w14:textId="6A37A239" w:rsidR="00F05647" w:rsidRPr="00833B69" w:rsidRDefault="00F05647" w:rsidP="00F05647">
      <w:pPr>
        <w:pStyle w:val="Paragraphedeliste"/>
        <w:numPr>
          <w:ilvl w:val="0"/>
          <w:numId w:val="19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le rapport d’évaluation des offres ou propositions et les recommandations d’attribution des marchés, y compris les documents démontrant que les éventuelles plaintes relatives à la </w:t>
      </w:r>
      <w:r w:rsidRPr="00833B69">
        <w:rPr>
          <w:rFonts w:ascii="Andes" w:eastAsiaTheme="minorHAnsi" w:hAnsi="Andes" w:cs="Arial"/>
          <w:color w:val="000000"/>
          <w:sz w:val="22"/>
          <w:szCs w:val="22"/>
        </w:rPr>
        <w:lastRenderedPageBreak/>
        <w:t>passation des marchés ont été traitées d’une manière jugée satisfaisante par la Banque ;</w:t>
      </w:r>
      <w:r w:rsidRPr="00833B69">
        <w:rPr>
          <w:rFonts w:ascii="Andes" w:eastAsiaTheme="minorHAnsi" w:hAnsi="Andes" w:cs="Arial"/>
          <w:sz w:val="22"/>
          <w:szCs w:val="22"/>
        </w:rPr>
        <w:t xml:space="preserve"> </w:t>
      </w:r>
      <w:r w:rsidRPr="00833B69">
        <w:rPr>
          <w:rFonts w:ascii="Andes" w:eastAsiaTheme="minorHAnsi" w:hAnsi="Andes" w:cs="Arial"/>
          <w:color w:val="000000"/>
          <w:sz w:val="22"/>
          <w:szCs w:val="22"/>
        </w:rPr>
        <w:t xml:space="preserve">pour les processus de sélection par double enveloppe ou en plusieurs étapes, l’Emprunteur soumet à la Banque, pour examen préalable et avis de non-objection, le rapport d’évaluation des offres/propositions pour chaque enveloppe/étape avant de passer à l’étape suivante du </w:t>
      </w:r>
      <w:r w:rsidR="00D127D1">
        <w:rPr>
          <w:rFonts w:ascii="Andes" w:eastAsiaTheme="minorHAnsi" w:hAnsi="Andes" w:cs="Arial"/>
          <w:color w:val="000000"/>
          <w:sz w:val="22"/>
          <w:szCs w:val="22"/>
        </w:rPr>
        <w:t>P</w:t>
      </w:r>
      <w:r w:rsidRPr="00833B69">
        <w:rPr>
          <w:rFonts w:ascii="Andes" w:eastAsiaTheme="minorHAnsi" w:hAnsi="Andes" w:cs="Arial"/>
          <w:color w:val="000000"/>
          <w:sz w:val="22"/>
          <w:szCs w:val="22"/>
        </w:rPr>
        <w:t xml:space="preserve">rocessus de </w:t>
      </w:r>
      <w:r w:rsidR="00D127D1">
        <w:rPr>
          <w:rFonts w:ascii="Andes" w:eastAsiaTheme="minorHAnsi" w:hAnsi="Andes" w:cs="Arial"/>
          <w:color w:val="000000"/>
          <w:sz w:val="22"/>
          <w:szCs w:val="22"/>
        </w:rPr>
        <w:t>P</w:t>
      </w:r>
      <w:r w:rsidRPr="00833B69">
        <w:rPr>
          <w:rFonts w:ascii="Andes" w:eastAsiaTheme="minorHAnsi" w:hAnsi="Andes" w:cs="Arial"/>
          <w:color w:val="000000"/>
          <w:sz w:val="22"/>
          <w:szCs w:val="22"/>
        </w:rPr>
        <w:t xml:space="preserve">assation des </w:t>
      </w:r>
      <w:r w:rsidR="00D127D1">
        <w:rPr>
          <w:rFonts w:ascii="Andes" w:eastAsiaTheme="minorHAnsi" w:hAnsi="Andes" w:cs="Arial"/>
          <w:color w:val="000000"/>
          <w:sz w:val="22"/>
          <w:szCs w:val="22"/>
        </w:rPr>
        <w:t>M</w:t>
      </w:r>
      <w:r w:rsidRPr="00833B69">
        <w:rPr>
          <w:rFonts w:ascii="Andes" w:eastAsiaTheme="minorHAnsi" w:hAnsi="Andes" w:cs="Arial"/>
          <w:color w:val="000000"/>
          <w:sz w:val="22"/>
          <w:szCs w:val="22"/>
        </w:rPr>
        <w:t>archés ;</w:t>
      </w:r>
    </w:p>
    <w:p w14:paraId="1008A13B" w14:textId="77AAD423" w:rsidR="00F05647" w:rsidRPr="00833B69" w:rsidRDefault="00F05647" w:rsidP="00F05647">
      <w:pPr>
        <w:pStyle w:val="Paragraphedeliste"/>
        <w:numPr>
          <w:ilvl w:val="0"/>
          <w:numId w:val="19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toutes les demandes d’annulation d’un </w:t>
      </w:r>
      <w:r w:rsidR="00DD31C5">
        <w:rPr>
          <w:rFonts w:ascii="Andes" w:eastAsiaTheme="minorHAnsi" w:hAnsi="Andes" w:cs="Arial"/>
          <w:color w:val="000000"/>
          <w:sz w:val="22"/>
          <w:szCs w:val="22"/>
        </w:rPr>
        <w:t>P</w:t>
      </w:r>
      <w:r w:rsidRPr="00833B69">
        <w:rPr>
          <w:rFonts w:ascii="Andes" w:eastAsiaTheme="minorHAnsi" w:hAnsi="Andes" w:cs="Arial"/>
          <w:color w:val="000000"/>
          <w:sz w:val="22"/>
          <w:szCs w:val="22"/>
        </w:rPr>
        <w:t xml:space="preserve">rocessus de </w:t>
      </w:r>
      <w:r w:rsidR="00DD31C5">
        <w:rPr>
          <w:rFonts w:ascii="Andes" w:eastAsiaTheme="minorHAnsi" w:hAnsi="Andes" w:cs="Arial"/>
          <w:color w:val="000000"/>
          <w:sz w:val="22"/>
          <w:szCs w:val="22"/>
        </w:rPr>
        <w:t>P</w:t>
      </w:r>
      <w:r w:rsidRPr="00833B69">
        <w:rPr>
          <w:rFonts w:ascii="Andes" w:eastAsiaTheme="minorHAnsi" w:hAnsi="Andes" w:cs="Arial"/>
          <w:color w:val="000000"/>
          <w:sz w:val="22"/>
          <w:szCs w:val="22"/>
        </w:rPr>
        <w:t>assation d’un marché et toutes les relances d’un appel d’offres ou d’un appel à propositions ;</w:t>
      </w:r>
    </w:p>
    <w:p w14:paraId="361DFFF8" w14:textId="60F0942B" w:rsidR="00F05647" w:rsidRPr="00833B69" w:rsidRDefault="00555124" w:rsidP="00F05647">
      <w:pPr>
        <w:pStyle w:val="Paragraphedeliste"/>
        <w:numPr>
          <w:ilvl w:val="0"/>
          <w:numId w:val="190"/>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 xml:space="preserve">L’Emprunteur </w:t>
      </w:r>
      <w:r w:rsidR="00000874">
        <w:rPr>
          <w:rFonts w:ascii="Andes" w:eastAsiaTheme="minorHAnsi" w:hAnsi="Andes" w:cs="Arial"/>
          <w:color w:val="000000"/>
          <w:sz w:val="22"/>
          <w:szCs w:val="22"/>
        </w:rPr>
        <w:t xml:space="preserve">ne devra pas engager l’étape ou la phase suivante du processus de passation, y compris l’attribution d’un marché, avant d’avoir préalablement reçu la confirmation par la Banque que les plaintes ont été traitées de manière satisfaisante. </w:t>
      </w:r>
      <w:r w:rsidR="00F05647" w:rsidRPr="00833B69">
        <w:rPr>
          <w:rFonts w:ascii="Andes" w:eastAsiaTheme="minorHAnsi" w:hAnsi="Andes" w:cs="Arial"/>
          <w:color w:val="000000"/>
          <w:sz w:val="22"/>
          <w:szCs w:val="22"/>
        </w:rPr>
        <w:t xml:space="preserve">Si, après l’examen préalable et l’avis de non-objection de la Banque, le traitement d’une plainte conduit l’Emprunteur à modifier sa recommandation d’attribution du marché, il transmet à la Banque, qui doit émettre un nouvel avis de non-objection, les raisons du changement de sa décision ainsi qu’un rapport d’évaluation révisé ; </w:t>
      </w:r>
    </w:p>
    <w:p w14:paraId="37F19507" w14:textId="2027B08C" w:rsidR="00F05647" w:rsidRPr="00833B69" w:rsidRDefault="00F05647" w:rsidP="00F05647">
      <w:pPr>
        <w:pStyle w:val="Paragraphedeliste"/>
        <w:numPr>
          <w:ilvl w:val="0"/>
          <w:numId w:val="19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si le </w:t>
      </w:r>
      <w:r w:rsidR="00E27E15">
        <w:rPr>
          <w:rFonts w:ascii="Andes" w:eastAsiaTheme="minorHAnsi" w:hAnsi="Andes" w:cs="Arial"/>
          <w:color w:val="000000"/>
          <w:sz w:val="22"/>
          <w:szCs w:val="22"/>
        </w:rPr>
        <w:t>P</w:t>
      </w:r>
      <w:r w:rsidRPr="00833B69">
        <w:rPr>
          <w:rFonts w:ascii="Andes" w:eastAsiaTheme="minorHAnsi" w:hAnsi="Andes" w:cs="Arial"/>
          <w:color w:val="000000"/>
          <w:sz w:val="22"/>
          <w:szCs w:val="22"/>
        </w:rPr>
        <w:t xml:space="preserve">rocessus de </w:t>
      </w:r>
      <w:r w:rsidR="00E27E15">
        <w:rPr>
          <w:rFonts w:ascii="Andes" w:eastAsiaTheme="minorHAnsi" w:hAnsi="Andes" w:cs="Arial"/>
          <w:color w:val="000000"/>
          <w:sz w:val="22"/>
          <w:szCs w:val="22"/>
        </w:rPr>
        <w:t>P</w:t>
      </w:r>
      <w:r w:rsidRPr="00833B69">
        <w:rPr>
          <w:rFonts w:ascii="Andes" w:eastAsiaTheme="minorHAnsi" w:hAnsi="Andes" w:cs="Arial"/>
          <w:color w:val="000000"/>
          <w:sz w:val="22"/>
          <w:szCs w:val="22"/>
        </w:rPr>
        <w:t xml:space="preserve">assation des </w:t>
      </w:r>
      <w:r w:rsidR="00E27E15">
        <w:rPr>
          <w:rFonts w:ascii="Andes" w:eastAsiaTheme="minorHAnsi" w:hAnsi="Andes" w:cs="Arial"/>
          <w:color w:val="000000"/>
          <w:sz w:val="22"/>
          <w:szCs w:val="22"/>
        </w:rPr>
        <w:t>M</w:t>
      </w:r>
      <w:r w:rsidRPr="00833B69">
        <w:rPr>
          <w:rFonts w:ascii="Andes" w:eastAsiaTheme="minorHAnsi" w:hAnsi="Andes" w:cs="Arial"/>
          <w:color w:val="000000"/>
          <w:sz w:val="22"/>
          <w:szCs w:val="22"/>
        </w:rPr>
        <w:t>archés inclut des négociations entre l’Emprunteur et le Soumissionnaire/Proposant/Consultant, le procès-verbal des négociations et le projet de contrat paraphé par les deux parties ; si un contrôle de probité est requis, le procès-verbal des négociations est accompagné du rapport de contrôle de probité ;</w:t>
      </w:r>
    </w:p>
    <w:p w14:paraId="49EEEF68" w14:textId="77777777" w:rsidR="00F05647" w:rsidRPr="00833B69" w:rsidRDefault="00F05647" w:rsidP="00F05647">
      <w:pPr>
        <w:pStyle w:val="Paragraphedeliste"/>
        <w:numPr>
          <w:ilvl w:val="0"/>
          <w:numId w:val="19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en cas de recours à une procédure de meilleure offre finale (MOF), le rapport d’évaluation en amont de la demande de MOF et le rapport d’évaluation final avant attribution du marché ;</w:t>
      </w:r>
    </w:p>
    <w:p w14:paraId="6E6335A8" w14:textId="760BB777" w:rsidR="00F05647" w:rsidRPr="00833B69" w:rsidRDefault="00F05647" w:rsidP="00F05647">
      <w:pPr>
        <w:pStyle w:val="Paragraphedeliste"/>
        <w:numPr>
          <w:ilvl w:val="0"/>
          <w:numId w:val="19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sur demande de la Banque, le Plan de gestion du marché ou du contrat, comprenant les indicateurs de performance clés (IPC) et, sur demande de la Banque, les rapports d’avancement en cours sur la base des IPC convenus</w:t>
      </w:r>
      <w:r w:rsidR="001B28B9">
        <w:rPr>
          <w:rFonts w:ascii="Andes" w:eastAsiaTheme="minorHAnsi" w:hAnsi="Andes" w:cs="Arial"/>
          <w:color w:val="000000"/>
          <w:sz w:val="22"/>
          <w:szCs w:val="22"/>
        </w:rPr>
        <w:t xml:space="preserve"> pour la revue et les commentaires de la Banque</w:t>
      </w:r>
      <w:r w:rsidRPr="00833B69">
        <w:rPr>
          <w:rFonts w:ascii="Andes" w:eastAsiaTheme="minorHAnsi" w:hAnsi="Andes" w:cs="Arial"/>
          <w:color w:val="000000"/>
          <w:sz w:val="22"/>
          <w:szCs w:val="22"/>
        </w:rPr>
        <w:t>.</w:t>
      </w:r>
    </w:p>
    <w:p w14:paraId="6F0E55CE" w14:textId="77777777" w:rsidR="00F05647" w:rsidRPr="00833B69" w:rsidRDefault="00F05647" w:rsidP="00F05647">
      <w:pPr>
        <w:pStyle w:val="Paragraphedeliste"/>
        <w:numPr>
          <w:ilvl w:val="1"/>
          <w:numId w:val="126"/>
        </w:numPr>
        <w:spacing w:before="0" w:after="200" w:line="240" w:lineRule="auto"/>
        <w:ind w:left="630" w:hanging="630"/>
        <w:contextualSpacing w:val="0"/>
        <w:rPr>
          <w:rFonts w:ascii="Andes" w:eastAsiaTheme="minorHAnsi" w:hAnsi="Andes" w:cs="Arial"/>
          <w:sz w:val="22"/>
          <w:szCs w:val="22"/>
        </w:rPr>
      </w:pPr>
      <w:r w:rsidRPr="00833B69">
        <w:rPr>
          <w:rFonts w:ascii="Andes" w:eastAsiaTheme="minorHAnsi" w:hAnsi="Andes" w:cs="Arial"/>
          <w:color w:val="000000"/>
          <w:sz w:val="22"/>
          <w:szCs w:val="22"/>
        </w:rPr>
        <w:t>Une copie conforme du contrat, de la garantie pour avance de paiement et de la garantie de bonne exécution, si elles ont été demandées, sera fournie à la Banque dans les plus brefs délais après la signature et avant l’exécution du premier versement.</w:t>
      </w:r>
      <w:r w:rsidRPr="00833B69">
        <w:rPr>
          <w:rFonts w:ascii="Andes" w:hAnsi="Andes" w:cs="Arial"/>
          <w:sz w:val="22"/>
          <w:szCs w:val="22"/>
        </w:rPr>
        <w:t xml:space="preserve"> </w:t>
      </w:r>
    </w:p>
    <w:p w14:paraId="13FEAFB5" w14:textId="2E6F73DC" w:rsidR="00F05647" w:rsidRPr="00833B69" w:rsidRDefault="00F05647" w:rsidP="00F05647">
      <w:pPr>
        <w:pStyle w:val="Paragraphedeliste"/>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 xml:space="preserve">Sans examen préalable et avis de non-objection de la Banque, les conditions d’un contrat ne sauraient s’éloigner significativement des conditions de base de l’appel d’offres ou de l’appel à propositions ou, le cas échéant, de celles de l’invitation à la </w:t>
      </w:r>
      <w:r w:rsidR="000A7F1B">
        <w:rPr>
          <w:rFonts w:ascii="Andes" w:hAnsi="Andes" w:cs="Arial"/>
          <w:sz w:val="22"/>
          <w:szCs w:val="22"/>
        </w:rPr>
        <w:t>Préqualification</w:t>
      </w:r>
      <w:r w:rsidRPr="00833B69">
        <w:rPr>
          <w:rFonts w:ascii="Andes" w:hAnsi="Andes" w:cs="Arial"/>
          <w:sz w:val="22"/>
          <w:szCs w:val="22"/>
        </w:rPr>
        <w:t xml:space="preserve"> ou à la Sélection Initiale.</w:t>
      </w:r>
      <w:r w:rsidRPr="00833B69">
        <w:rPr>
          <w:rFonts w:ascii="Andes" w:eastAsiaTheme="minorHAnsi" w:hAnsi="Andes" w:cs="Arial"/>
          <w:sz w:val="22"/>
          <w:szCs w:val="22"/>
        </w:rPr>
        <w:t xml:space="preserve"> </w:t>
      </w:r>
    </w:p>
    <w:p w14:paraId="2CA76D93" w14:textId="77777777" w:rsidR="00F05647" w:rsidRPr="00833B69" w:rsidRDefault="00F05647" w:rsidP="00F05647">
      <w:pPr>
        <w:pStyle w:val="Paragraphedeliste"/>
        <w:numPr>
          <w:ilvl w:val="0"/>
          <w:numId w:val="126"/>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 xml:space="preserve">Conservation des documents relatifs aux marchés soumis à examen préalable </w:t>
      </w:r>
    </w:p>
    <w:p w14:paraId="2E236A6F" w14:textId="77777777" w:rsidR="00F05647" w:rsidRPr="00833B69" w:rsidRDefault="00F05647" w:rsidP="00F05647">
      <w:pPr>
        <w:pStyle w:val="Paragraphedeliste"/>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 xml:space="preserve">L’Emprunteur conserve tous les documents relatifs aux différentes opérations de passation des marchés conformément aux stipulations de l’Accord Juridique. Sont notamment concernés les documents suivants (liste non exhaustive) : </w:t>
      </w:r>
    </w:p>
    <w:p w14:paraId="2EA422AA" w14:textId="3CE0BAA8" w:rsidR="00A07237" w:rsidRDefault="00C62AA9" w:rsidP="00F05647">
      <w:pPr>
        <w:pStyle w:val="Paragraphedeliste"/>
        <w:numPr>
          <w:ilvl w:val="0"/>
          <w:numId w:val="191"/>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la SPMPD (y compris les détails de l’Engagement précoce du Marché</w:t>
      </w:r>
      <w:r w:rsidR="0049424E">
        <w:rPr>
          <w:rFonts w:ascii="Andes" w:eastAsiaTheme="minorHAnsi" w:hAnsi="Andes" w:cs="Arial"/>
          <w:color w:val="000000"/>
          <w:sz w:val="22"/>
          <w:szCs w:val="22"/>
        </w:rPr>
        <w:t xml:space="preserve"> qui a été entrepris) ;</w:t>
      </w:r>
    </w:p>
    <w:p w14:paraId="1FB6E97C" w14:textId="478CC7B6" w:rsidR="00F05647" w:rsidRPr="00833B69" w:rsidRDefault="00F05647" w:rsidP="00F05647">
      <w:pPr>
        <w:pStyle w:val="Paragraphedeliste"/>
        <w:numPr>
          <w:ilvl w:val="0"/>
          <w:numId w:val="191"/>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lastRenderedPageBreak/>
        <w:t xml:space="preserve">les </w:t>
      </w:r>
      <w:r w:rsidR="0049424E">
        <w:rPr>
          <w:rFonts w:ascii="Andes" w:eastAsiaTheme="minorHAnsi" w:hAnsi="Andes" w:cs="Arial"/>
          <w:color w:val="000000"/>
          <w:sz w:val="22"/>
          <w:szCs w:val="22"/>
        </w:rPr>
        <w:t>O</w:t>
      </w:r>
      <w:r w:rsidRPr="00833B69">
        <w:rPr>
          <w:rFonts w:ascii="Andes" w:eastAsiaTheme="minorHAnsi" w:hAnsi="Andes" w:cs="Arial"/>
          <w:color w:val="000000"/>
          <w:sz w:val="22"/>
          <w:szCs w:val="22"/>
        </w:rPr>
        <w:t>ffres/</w:t>
      </w:r>
      <w:r w:rsidR="0049424E">
        <w:rPr>
          <w:rFonts w:ascii="Andes" w:eastAsiaTheme="minorHAnsi" w:hAnsi="Andes" w:cs="Arial"/>
          <w:color w:val="000000"/>
          <w:sz w:val="22"/>
          <w:szCs w:val="22"/>
        </w:rPr>
        <w:t>P</w:t>
      </w:r>
      <w:r w:rsidRPr="00833B69">
        <w:rPr>
          <w:rFonts w:ascii="Andes" w:eastAsiaTheme="minorHAnsi" w:hAnsi="Andes" w:cs="Arial"/>
          <w:color w:val="000000"/>
          <w:sz w:val="22"/>
          <w:szCs w:val="22"/>
        </w:rPr>
        <w:t>ropositions originales ; tous les documents et communications portant sur la passation des marchés et l’exécution du contrat, y compris ceux utilisés pour l’évaluation des offres/propositions </w:t>
      </w:r>
      <w:r w:rsidR="00C04671" w:rsidRPr="00882278">
        <w:rPr>
          <w:rFonts w:ascii="Andes" w:eastAsiaTheme="minorHAnsi" w:hAnsi="Andes" w:cs="Arial"/>
          <w:color w:val="000000"/>
          <w:sz w:val="22"/>
          <w:szCs w:val="22"/>
        </w:rPr>
        <w:t>(y compris, pour tout marché</w:t>
      </w:r>
      <w:r w:rsidR="00860BDD">
        <w:rPr>
          <w:rFonts w:ascii="Andes" w:eastAsiaTheme="minorHAnsi" w:hAnsi="Andes" w:cs="Arial"/>
          <w:color w:val="000000"/>
          <w:sz w:val="22"/>
          <w:szCs w:val="22"/>
        </w:rPr>
        <w:t xml:space="preserve"> passé par mise en concurrence internationale </w:t>
      </w:r>
      <w:r w:rsidR="00C04671" w:rsidRPr="00882278">
        <w:rPr>
          <w:rFonts w:ascii="Andes" w:eastAsiaTheme="minorHAnsi" w:hAnsi="Andes" w:cs="Arial"/>
          <w:color w:val="000000"/>
          <w:sz w:val="22"/>
          <w:szCs w:val="22"/>
        </w:rPr>
        <w:t>utilisant des D</w:t>
      </w:r>
      <w:r w:rsidR="00860BDD">
        <w:rPr>
          <w:rFonts w:ascii="Andes" w:eastAsiaTheme="minorHAnsi" w:hAnsi="Andes" w:cs="Arial"/>
          <w:color w:val="000000"/>
          <w:sz w:val="22"/>
          <w:szCs w:val="22"/>
        </w:rPr>
        <w:t>TPM</w:t>
      </w:r>
      <w:r w:rsidR="00C04671" w:rsidRPr="00882278">
        <w:rPr>
          <w:rFonts w:ascii="Andes" w:eastAsiaTheme="minorHAnsi" w:hAnsi="Andes" w:cs="Arial"/>
          <w:color w:val="000000"/>
          <w:sz w:val="22"/>
          <w:szCs w:val="22"/>
        </w:rPr>
        <w:t xml:space="preserve">, la détermination et l'application des </w:t>
      </w:r>
      <w:r w:rsidR="00860BDD">
        <w:rPr>
          <w:rFonts w:ascii="Andes" w:eastAsiaTheme="minorHAnsi" w:hAnsi="Andes" w:cs="Arial"/>
          <w:color w:val="000000"/>
          <w:sz w:val="22"/>
          <w:szCs w:val="22"/>
        </w:rPr>
        <w:t>C</w:t>
      </w:r>
      <w:r w:rsidR="00C04671" w:rsidRPr="00882278">
        <w:rPr>
          <w:rFonts w:ascii="Andes" w:eastAsiaTheme="minorHAnsi" w:hAnsi="Andes" w:cs="Arial"/>
          <w:color w:val="000000"/>
          <w:sz w:val="22"/>
          <w:szCs w:val="22"/>
        </w:rPr>
        <w:t>ritères notés et des pondérations)</w:t>
      </w:r>
      <w:r w:rsidRPr="00833B69">
        <w:rPr>
          <w:rFonts w:ascii="Andes" w:eastAsiaTheme="minorHAnsi" w:hAnsi="Andes" w:cs="Arial"/>
          <w:color w:val="000000"/>
          <w:sz w:val="22"/>
          <w:szCs w:val="22"/>
        </w:rPr>
        <w:t xml:space="preserve">; </w:t>
      </w:r>
      <w:r w:rsidR="00860BDD">
        <w:rPr>
          <w:rFonts w:ascii="Andes" w:eastAsiaTheme="minorHAnsi" w:hAnsi="Andes" w:cs="Arial"/>
          <w:color w:val="000000"/>
          <w:sz w:val="22"/>
          <w:szCs w:val="22"/>
        </w:rPr>
        <w:t xml:space="preserve">et </w:t>
      </w:r>
      <w:r w:rsidRPr="00833B69">
        <w:rPr>
          <w:rFonts w:ascii="Andes" w:eastAsiaTheme="minorHAnsi" w:hAnsi="Andes" w:cs="Arial"/>
          <w:color w:val="000000"/>
          <w:sz w:val="22"/>
          <w:szCs w:val="22"/>
        </w:rPr>
        <w:t xml:space="preserve">la recommandation d’attribution transmise à la Banque ; </w:t>
      </w:r>
    </w:p>
    <w:p w14:paraId="472806A0" w14:textId="77777777" w:rsidR="00F05647" w:rsidRPr="00833B69" w:rsidRDefault="00F05647" w:rsidP="00F05647">
      <w:pPr>
        <w:pStyle w:val="Paragraphedeliste"/>
        <w:numPr>
          <w:ilvl w:val="0"/>
          <w:numId w:val="191"/>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l’original signé de tous les contrats ainsi que de tout changement ou avenant ultérieur ; les factures ou certificats de paiement, ainsi que les certificats d’inspection, de livraison, d’achèvement et de réception des Fournitures, des Travaux et des Services Autres que des Services de Consultants ; </w:t>
      </w:r>
    </w:p>
    <w:p w14:paraId="6592F407" w14:textId="77777777" w:rsidR="00F05647" w:rsidRPr="00833B69" w:rsidRDefault="00F05647" w:rsidP="00F05647">
      <w:pPr>
        <w:pStyle w:val="Paragraphedeliste"/>
        <w:numPr>
          <w:ilvl w:val="0"/>
          <w:numId w:val="191"/>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pour les contrats attribués sur la base d’une passation directe des marchés, doivent également être conservés les documents à l’appui de la justification du recours à cette méthode, des capacités techniques et financières de l’entreprise et l’original signé du contrat.</w:t>
      </w:r>
      <w:r w:rsidRPr="00833B69">
        <w:rPr>
          <w:rFonts w:ascii="Andes" w:hAnsi="Andes" w:cs="Arial"/>
          <w:color w:val="000000"/>
          <w:sz w:val="22"/>
          <w:szCs w:val="22"/>
        </w:rPr>
        <w:t xml:space="preserve"> </w:t>
      </w:r>
    </w:p>
    <w:p w14:paraId="51A88A75" w14:textId="77777777" w:rsidR="00F05647" w:rsidRPr="00833B69" w:rsidRDefault="00F05647" w:rsidP="00F05647">
      <w:pPr>
        <w:pStyle w:val="Paragraphedeliste"/>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 xml:space="preserve">L’Emprunteur fournit ces documents à la Banque à la demande de celle-ci en vue d’un examen par elle-même ou ses consultants/vérificateurs. </w:t>
      </w:r>
    </w:p>
    <w:p w14:paraId="49D48325" w14:textId="77777777" w:rsidR="00F05647" w:rsidRPr="00833B69" w:rsidRDefault="00F05647" w:rsidP="00F05647">
      <w:pPr>
        <w:pStyle w:val="Paragraphedeliste"/>
        <w:numPr>
          <w:ilvl w:val="0"/>
          <w:numId w:val="126"/>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 xml:space="preserve">Conservation des documents relatifs aux marchés soumis à examen a posteriori </w:t>
      </w:r>
    </w:p>
    <w:p w14:paraId="78B7F7B5" w14:textId="77777777" w:rsidR="00F05647" w:rsidRPr="00833B69" w:rsidRDefault="00F05647" w:rsidP="00F05647">
      <w:pPr>
        <w:pStyle w:val="Paragraphedeliste"/>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L’Emprunteur conserve tous les documents relatifs aux marchés soumis à un examen a posteriori et les transmet à la Banque, à la demande de celle-ci, en conformité avec les stipulations de l’Accord Juridique. Sont notamment concernés les documents suivants (liste non exhaustive) :</w:t>
      </w:r>
    </w:p>
    <w:p w14:paraId="32E0F8B1" w14:textId="77777777" w:rsidR="00D4044E" w:rsidRDefault="00D4044E" w:rsidP="00882278">
      <w:pPr>
        <w:pStyle w:val="Paragraphedeliste"/>
        <w:numPr>
          <w:ilvl w:val="0"/>
          <w:numId w:val="192"/>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la SPMPD (y compris les détails de l’Engagement précoce du Marché qui a été entrepris) ;</w:t>
      </w:r>
    </w:p>
    <w:p w14:paraId="4E7B8E26" w14:textId="13D3B033" w:rsidR="00F05647" w:rsidRDefault="00F05647" w:rsidP="00F05647">
      <w:pPr>
        <w:pStyle w:val="Paragraphedeliste"/>
        <w:numPr>
          <w:ilvl w:val="0"/>
          <w:numId w:val="192"/>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le rapport d’évaluation des offres/propositions </w:t>
      </w:r>
      <w:r w:rsidR="00D4044E" w:rsidRPr="00B72684">
        <w:rPr>
          <w:rFonts w:ascii="Andes" w:eastAsiaTheme="minorHAnsi" w:hAnsi="Andes" w:cs="Arial"/>
          <w:color w:val="000000"/>
          <w:sz w:val="22"/>
          <w:szCs w:val="22"/>
        </w:rPr>
        <w:t>(y compris, pour tout marché</w:t>
      </w:r>
      <w:r w:rsidR="00D4044E">
        <w:rPr>
          <w:rFonts w:ascii="Andes" w:eastAsiaTheme="minorHAnsi" w:hAnsi="Andes" w:cs="Arial"/>
          <w:color w:val="000000"/>
          <w:sz w:val="22"/>
          <w:szCs w:val="22"/>
        </w:rPr>
        <w:t xml:space="preserve"> passé par mise en concurrence internationale </w:t>
      </w:r>
      <w:r w:rsidR="00D4044E" w:rsidRPr="00B72684">
        <w:rPr>
          <w:rFonts w:ascii="Andes" w:eastAsiaTheme="minorHAnsi" w:hAnsi="Andes" w:cs="Arial"/>
          <w:color w:val="000000"/>
          <w:sz w:val="22"/>
          <w:szCs w:val="22"/>
        </w:rPr>
        <w:t>utilisant des D</w:t>
      </w:r>
      <w:r w:rsidR="00D4044E">
        <w:rPr>
          <w:rFonts w:ascii="Andes" w:eastAsiaTheme="minorHAnsi" w:hAnsi="Andes" w:cs="Arial"/>
          <w:color w:val="000000"/>
          <w:sz w:val="22"/>
          <w:szCs w:val="22"/>
        </w:rPr>
        <w:t>TPM</w:t>
      </w:r>
      <w:r w:rsidR="00D4044E" w:rsidRPr="00B72684">
        <w:rPr>
          <w:rFonts w:ascii="Andes" w:eastAsiaTheme="minorHAnsi" w:hAnsi="Andes" w:cs="Arial"/>
          <w:color w:val="000000"/>
          <w:sz w:val="22"/>
          <w:szCs w:val="22"/>
        </w:rPr>
        <w:t xml:space="preserve">, la détermination et l'application des </w:t>
      </w:r>
      <w:r w:rsidR="00D4044E">
        <w:rPr>
          <w:rFonts w:ascii="Andes" w:eastAsiaTheme="minorHAnsi" w:hAnsi="Andes" w:cs="Arial"/>
          <w:color w:val="000000"/>
          <w:sz w:val="22"/>
          <w:szCs w:val="22"/>
        </w:rPr>
        <w:t>C</w:t>
      </w:r>
      <w:r w:rsidR="00D4044E" w:rsidRPr="00B72684">
        <w:rPr>
          <w:rFonts w:ascii="Andes" w:eastAsiaTheme="minorHAnsi" w:hAnsi="Andes" w:cs="Arial"/>
          <w:color w:val="000000"/>
          <w:sz w:val="22"/>
          <w:szCs w:val="22"/>
        </w:rPr>
        <w:t>ritères notés et des pondérations)</w:t>
      </w:r>
      <w:r w:rsidR="006C513F">
        <w:rPr>
          <w:rFonts w:ascii="Andes" w:eastAsiaTheme="minorHAnsi" w:hAnsi="Andes" w:cs="Arial"/>
          <w:color w:val="000000"/>
          <w:sz w:val="22"/>
          <w:szCs w:val="22"/>
        </w:rPr>
        <w:t xml:space="preserve"> </w:t>
      </w:r>
      <w:r w:rsidRPr="00833B69">
        <w:rPr>
          <w:rFonts w:ascii="Andes" w:eastAsiaTheme="minorHAnsi" w:hAnsi="Andes" w:cs="Arial"/>
          <w:color w:val="000000"/>
          <w:sz w:val="22"/>
          <w:szCs w:val="22"/>
        </w:rPr>
        <w:t xml:space="preserve">ainsi que la recommandation d’attribution ; </w:t>
      </w:r>
    </w:p>
    <w:p w14:paraId="56BE5C30" w14:textId="536CB799" w:rsidR="006C513F" w:rsidRDefault="006C513F" w:rsidP="00F05647">
      <w:pPr>
        <w:pStyle w:val="Paragraphedeliste"/>
        <w:numPr>
          <w:ilvl w:val="0"/>
          <w:numId w:val="192"/>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les plaintes ;</w:t>
      </w:r>
    </w:p>
    <w:p w14:paraId="4099220C" w14:textId="405D20B7" w:rsidR="006C513F" w:rsidRPr="00833B69" w:rsidRDefault="006C513F" w:rsidP="00F05647">
      <w:pPr>
        <w:pStyle w:val="Paragraphedeliste"/>
        <w:numPr>
          <w:ilvl w:val="0"/>
          <w:numId w:val="192"/>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l’original signé du contrat et de tous les changements ou avenants ultérieurs ;</w:t>
      </w:r>
      <w:r>
        <w:rPr>
          <w:rFonts w:ascii="Andes" w:eastAsiaTheme="minorHAnsi" w:hAnsi="Andes" w:cs="Arial"/>
          <w:color w:val="000000"/>
          <w:sz w:val="22"/>
          <w:szCs w:val="22"/>
        </w:rPr>
        <w:t xml:space="preserve"> et</w:t>
      </w:r>
    </w:p>
    <w:p w14:paraId="75092C81" w14:textId="77777777" w:rsidR="00F05647" w:rsidRPr="00833B69" w:rsidRDefault="00F05647" w:rsidP="00F05647">
      <w:pPr>
        <w:pStyle w:val="Paragraphedeliste"/>
        <w:numPr>
          <w:ilvl w:val="0"/>
          <w:numId w:val="192"/>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les factures et certificats de paiement ainsi que les certificats d’inspection, de livraison, d’achèvement et de réception des Fournitures, des Travaux et des Services Autres que des Services de Consultants, pour examen par la Banque ou par ses consultants/vérificateurs. </w:t>
      </w:r>
    </w:p>
    <w:p w14:paraId="7BFD55DC" w14:textId="77777777" w:rsidR="00F05647" w:rsidRPr="00833B69" w:rsidRDefault="00F05647" w:rsidP="00746A5D">
      <w:pPr>
        <w:pStyle w:val="Paragraphedeliste"/>
        <w:keepNext/>
        <w:numPr>
          <w:ilvl w:val="0"/>
          <w:numId w:val="126"/>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Modification du contrat signé</w:t>
      </w:r>
    </w:p>
    <w:p w14:paraId="40D3C2A5" w14:textId="77777777" w:rsidR="00F05647" w:rsidRPr="00833B69" w:rsidRDefault="00F05647" w:rsidP="00F05647">
      <w:pPr>
        <w:pStyle w:val="Paragraphedeliste"/>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S’agissant des contrats soumis à examen préalable, l’Emprunteur sollicite l’avis de non-objection de la Banque avant d’accepter</w:t>
      </w:r>
    </w:p>
    <w:p w14:paraId="16DF192C" w14:textId="77777777" w:rsidR="00F05647" w:rsidRPr="00833B69" w:rsidRDefault="00F05647" w:rsidP="00F05647">
      <w:pPr>
        <w:pStyle w:val="Paragraphedeliste"/>
        <w:numPr>
          <w:ilvl w:val="0"/>
          <w:numId w:val="193"/>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une prorogation du délai fixé pour l’exécution du contrat </w:t>
      </w:r>
      <w:proofErr w:type="gramStart"/>
      <w:r w:rsidRPr="00833B69">
        <w:rPr>
          <w:rFonts w:ascii="Andes" w:eastAsiaTheme="minorHAnsi" w:hAnsi="Andes" w:cs="Arial"/>
          <w:color w:val="000000"/>
          <w:sz w:val="22"/>
          <w:szCs w:val="22"/>
        </w:rPr>
        <w:t>ayant</w:t>
      </w:r>
      <w:proofErr w:type="gramEnd"/>
      <w:r w:rsidRPr="00833B69">
        <w:rPr>
          <w:rFonts w:ascii="Andes" w:eastAsiaTheme="minorHAnsi" w:hAnsi="Andes" w:cs="Arial"/>
          <w:color w:val="000000"/>
          <w:sz w:val="22"/>
          <w:szCs w:val="22"/>
        </w:rPr>
        <w:t xml:space="preserve"> des conséquences sur l’achèvement prévu du projet ;</w:t>
      </w:r>
    </w:p>
    <w:p w14:paraId="07D56FAD" w14:textId="77777777" w:rsidR="00F05647" w:rsidRPr="00833B69" w:rsidRDefault="00F05647" w:rsidP="00F05647">
      <w:pPr>
        <w:pStyle w:val="Paragraphedeliste"/>
        <w:numPr>
          <w:ilvl w:val="0"/>
          <w:numId w:val="193"/>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toute modification importante de l’étendue des Travaux, des Fournitures, des Services Autres que des Services de Consultants, ou tout autre changement significatif des conditions du contrat. </w:t>
      </w:r>
    </w:p>
    <w:p w14:paraId="2229E64A" w14:textId="77777777" w:rsidR="00F05647" w:rsidRPr="00833B69" w:rsidRDefault="00F05647" w:rsidP="00F05647">
      <w:pPr>
        <w:pStyle w:val="Paragraphedeliste"/>
        <w:numPr>
          <w:ilvl w:val="0"/>
          <w:numId w:val="193"/>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lastRenderedPageBreak/>
        <w:t xml:space="preserve">tout avenant ou modification du contrat (sauf en cas d’extrême urgence), notamment motivé par une prorogation du délai qui aurait pour effet, isolément ou conjointement avec les autres avenants ou modifications antérieurs, de majorer de plus de 15 % (quinze pour cent) le montant initial du marché ; </w:t>
      </w:r>
    </w:p>
    <w:p w14:paraId="4C978BF2" w14:textId="77777777" w:rsidR="0064605C" w:rsidRDefault="00F05647" w:rsidP="00F05647">
      <w:pPr>
        <w:pStyle w:val="Paragraphedeliste"/>
        <w:numPr>
          <w:ilvl w:val="0"/>
          <w:numId w:val="193"/>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une proposition de résiliation du contrat</w:t>
      </w:r>
      <w:r w:rsidR="0064605C">
        <w:rPr>
          <w:rFonts w:ascii="Andes" w:eastAsiaTheme="minorHAnsi" w:hAnsi="Andes" w:cs="Arial"/>
          <w:color w:val="000000"/>
          <w:sz w:val="22"/>
          <w:szCs w:val="22"/>
        </w:rPr>
        <w:t> ;</w:t>
      </w:r>
    </w:p>
    <w:p w14:paraId="35F7AD3B" w14:textId="77777777" w:rsidR="0064605C" w:rsidRDefault="0064605C" w:rsidP="00F05647">
      <w:pPr>
        <w:pStyle w:val="Paragraphedeliste"/>
        <w:numPr>
          <w:ilvl w:val="0"/>
          <w:numId w:val="193"/>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toute modification matérielle concernant les obligations de Prévention et de Réponse EAS/HS dans les marchés de Travaux ; ou</w:t>
      </w:r>
    </w:p>
    <w:p w14:paraId="3C745F54" w14:textId="40498F09" w:rsidR="00F05647" w:rsidRPr="00833B69" w:rsidRDefault="0064605C" w:rsidP="00F05647">
      <w:pPr>
        <w:pStyle w:val="Paragraphedeliste"/>
        <w:numPr>
          <w:ilvl w:val="0"/>
          <w:numId w:val="193"/>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tout/s amendement/s ou modification/s des marchés en cours impliquant une firme disqualifiée pour non-conformité en matière d’EAS/HS</w:t>
      </w:r>
      <w:r w:rsidR="00F05647" w:rsidRPr="00833B69">
        <w:rPr>
          <w:rFonts w:ascii="Andes" w:eastAsiaTheme="minorHAnsi" w:hAnsi="Andes" w:cs="Arial"/>
          <w:color w:val="000000"/>
          <w:sz w:val="22"/>
          <w:szCs w:val="22"/>
        </w:rPr>
        <w:t>.</w:t>
      </w:r>
    </w:p>
    <w:p w14:paraId="5779E711" w14:textId="77777777" w:rsidR="00F05647" w:rsidRPr="00833B69" w:rsidRDefault="00F05647" w:rsidP="00F05647">
      <w:pPr>
        <w:pStyle w:val="Paragraphedeliste"/>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 xml:space="preserve">Si la Banque décide que la demande de l’Emprunteur relative à une modification de ce type est incompatible avec les clauses de l’Accord Juridique ou avec le Plan de Passation des Marchés, elle en informe l’Emprunteur et donne les raisons de cette décision. L’Emprunteur fournit à la Banque, pour ses archives, une copie de toutes les modifications apportées au contrat. </w:t>
      </w:r>
    </w:p>
    <w:p w14:paraId="7AA250F0" w14:textId="44FA9F14" w:rsidR="00F05647" w:rsidRPr="00833B69" w:rsidRDefault="00F05647" w:rsidP="00F05647">
      <w:pPr>
        <w:pStyle w:val="Paragraphedeliste"/>
        <w:numPr>
          <w:ilvl w:val="0"/>
          <w:numId w:val="126"/>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 xml:space="preserve">Diligence requise en matière de politiques et procédures de sanction </w:t>
      </w:r>
      <w:r w:rsidR="0064605C">
        <w:rPr>
          <w:rFonts w:ascii="Andes" w:eastAsiaTheme="majorEastAsia" w:hAnsi="Andes"/>
          <w:b/>
          <w:color w:val="C45911"/>
          <w:sz w:val="32"/>
          <w:szCs w:val="32"/>
        </w:rPr>
        <w:t xml:space="preserve">et mécanisme de Disqualification </w:t>
      </w:r>
      <w:r w:rsidRPr="00833B69">
        <w:rPr>
          <w:rFonts w:ascii="Andes" w:eastAsiaTheme="majorEastAsia" w:hAnsi="Andes"/>
          <w:b/>
          <w:color w:val="C45911"/>
          <w:sz w:val="32"/>
          <w:szCs w:val="32"/>
        </w:rPr>
        <w:t xml:space="preserve">de la Banque </w:t>
      </w:r>
    </w:p>
    <w:p w14:paraId="530C7718" w14:textId="48BB3D05" w:rsidR="008F3223" w:rsidRDefault="00F05647" w:rsidP="00F05647">
      <w:pPr>
        <w:pStyle w:val="Paragraphedeliste"/>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Dans le cadre d</w:t>
      </w:r>
      <w:r w:rsidR="008F3223">
        <w:rPr>
          <w:rFonts w:ascii="Andes" w:hAnsi="Andes" w:cs="Arial"/>
          <w:sz w:val="22"/>
          <w:szCs w:val="22"/>
        </w:rPr>
        <w:t>es étapes clés du processus de passation de marchés, et dans un minimum au cours d</w:t>
      </w:r>
      <w:r w:rsidRPr="00833B69">
        <w:rPr>
          <w:rFonts w:ascii="Andes" w:hAnsi="Andes" w:cs="Arial"/>
          <w:sz w:val="22"/>
          <w:szCs w:val="22"/>
        </w:rPr>
        <w:t xml:space="preserve">e l’évaluation des </w:t>
      </w:r>
      <w:r w:rsidR="008F3223">
        <w:rPr>
          <w:rFonts w:ascii="Andes" w:hAnsi="Andes" w:cs="Arial"/>
          <w:sz w:val="22"/>
          <w:szCs w:val="22"/>
        </w:rPr>
        <w:t>O</w:t>
      </w:r>
      <w:r w:rsidRPr="00833B69">
        <w:rPr>
          <w:rFonts w:ascii="Andes" w:hAnsi="Andes" w:cs="Arial"/>
          <w:sz w:val="22"/>
          <w:szCs w:val="22"/>
        </w:rPr>
        <w:t>ffres</w:t>
      </w:r>
      <w:r w:rsidR="008F3223">
        <w:rPr>
          <w:rFonts w:ascii="Andes" w:hAnsi="Andes" w:cs="Arial"/>
          <w:sz w:val="22"/>
          <w:szCs w:val="22"/>
        </w:rPr>
        <w:t>/ P</w:t>
      </w:r>
      <w:r w:rsidRPr="00833B69">
        <w:rPr>
          <w:rFonts w:ascii="Andes" w:hAnsi="Andes" w:cs="Arial"/>
          <w:sz w:val="22"/>
          <w:szCs w:val="22"/>
        </w:rPr>
        <w:t xml:space="preserve">ropositions, l’Emprunteur </w:t>
      </w:r>
      <w:r w:rsidR="008F3223">
        <w:rPr>
          <w:rFonts w:ascii="Andes" w:hAnsi="Andes" w:cs="Arial"/>
          <w:sz w:val="22"/>
          <w:szCs w:val="22"/>
        </w:rPr>
        <w:t xml:space="preserve">doit </w:t>
      </w:r>
      <w:r w:rsidRPr="00833B69">
        <w:rPr>
          <w:rFonts w:ascii="Andes" w:hAnsi="Andes" w:cs="Arial"/>
          <w:sz w:val="22"/>
          <w:szCs w:val="22"/>
        </w:rPr>
        <w:t>vérifie</w:t>
      </w:r>
      <w:r w:rsidR="008F3223">
        <w:rPr>
          <w:rFonts w:ascii="Andes" w:hAnsi="Andes" w:cs="Arial"/>
          <w:sz w:val="22"/>
          <w:szCs w:val="22"/>
        </w:rPr>
        <w:t>r :</w:t>
      </w:r>
    </w:p>
    <w:p w14:paraId="4FD973EE" w14:textId="476B5F50" w:rsidR="008F3223" w:rsidRDefault="00522C12" w:rsidP="008F3223">
      <w:pPr>
        <w:pStyle w:val="Paragraphedeliste"/>
        <w:numPr>
          <w:ilvl w:val="0"/>
          <w:numId w:val="281"/>
        </w:numPr>
        <w:spacing w:before="0" w:after="200" w:line="240" w:lineRule="auto"/>
        <w:contextualSpacing w:val="0"/>
        <w:rPr>
          <w:rFonts w:ascii="Andes" w:hAnsi="Andes" w:cs="Arial"/>
          <w:sz w:val="22"/>
          <w:szCs w:val="22"/>
        </w:rPr>
      </w:pPr>
      <w:r w:rsidRPr="003C30CC">
        <w:rPr>
          <w:rFonts w:ascii="Andes" w:hAnsi="Andes" w:cs="Arial"/>
          <w:sz w:val="22"/>
          <w:szCs w:val="22"/>
        </w:rPr>
        <w:t>L’admissibilité</w:t>
      </w:r>
      <w:r w:rsidR="00F05647" w:rsidRPr="003C30CC">
        <w:rPr>
          <w:rFonts w:ascii="Andes" w:hAnsi="Andes" w:cs="Arial"/>
          <w:sz w:val="22"/>
          <w:szCs w:val="22"/>
        </w:rPr>
        <w:t xml:space="preserve"> des Soumissionnaires/Proposants/Consultants en s’assurant qu’ils ne figurent pas sur les listes des personnes physiques ou morales exclues </w:t>
      </w:r>
      <w:r w:rsidR="008F3223">
        <w:rPr>
          <w:rFonts w:ascii="Andes" w:hAnsi="Andes" w:cs="Arial"/>
          <w:sz w:val="22"/>
          <w:szCs w:val="22"/>
        </w:rPr>
        <w:t>ou</w:t>
      </w:r>
      <w:r w:rsidR="00F05647" w:rsidRPr="003C30CC">
        <w:rPr>
          <w:rFonts w:ascii="Andes" w:hAnsi="Andes" w:cs="Arial"/>
          <w:sz w:val="22"/>
          <w:szCs w:val="22"/>
        </w:rPr>
        <w:t xml:space="preserve"> suspendues par la Banque. Ces listes sont consultables sur le site </w:t>
      </w:r>
      <w:r w:rsidR="00B04962">
        <w:rPr>
          <w:rFonts w:ascii="Andes" w:hAnsi="Andes" w:cs="Arial"/>
          <w:sz w:val="22"/>
          <w:szCs w:val="22"/>
        </w:rPr>
        <w:t>internet</w:t>
      </w:r>
      <w:r w:rsidR="00B04962" w:rsidRPr="003C30CC">
        <w:rPr>
          <w:rFonts w:ascii="Andes" w:hAnsi="Andes" w:cs="Arial"/>
          <w:sz w:val="22"/>
          <w:szCs w:val="22"/>
        </w:rPr>
        <w:t xml:space="preserve"> </w:t>
      </w:r>
      <w:r w:rsidR="00F05647" w:rsidRPr="003C30CC">
        <w:rPr>
          <w:rFonts w:ascii="Andes" w:hAnsi="Andes" w:cs="Arial"/>
          <w:sz w:val="22"/>
          <w:szCs w:val="22"/>
        </w:rPr>
        <w:t xml:space="preserve">public de la Banque ainsi que sur le site Client Connection de la Banque </w:t>
      </w:r>
      <w:r w:rsidR="009675A1">
        <w:rPr>
          <w:rFonts w:ascii="Andes" w:hAnsi="Andes" w:cs="Arial"/>
          <w:sz w:val="22"/>
          <w:szCs w:val="22"/>
        </w:rPr>
        <w:t>et/</w:t>
      </w:r>
      <w:r w:rsidR="00F05647" w:rsidRPr="003C30CC">
        <w:rPr>
          <w:rFonts w:ascii="Andes" w:hAnsi="Andes" w:cs="Arial"/>
          <w:sz w:val="22"/>
          <w:szCs w:val="22"/>
        </w:rPr>
        <w:t>ou auprès d’autres sources d’information mises à disposition par la Banque</w:t>
      </w:r>
      <w:r w:rsidR="008F3223">
        <w:rPr>
          <w:rFonts w:ascii="Andes" w:hAnsi="Andes" w:cs="Arial"/>
          <w:sz w:val="22"/>
          <w:szCs w:val="22"/>
        </w:rPr>
        <w:t> </w:t>
      </w:r>
      <w:r w:rsidR="00325748">
        <w:rPr>
          <w:rFonts w:ascii="Andes" w:hAnsi="Andes" w:cs="Arial"/>
          <w:sz w:val="22"/>
          <w:szCs w:val="22"/>
        </w:rPr>
        <w:t>pour identifier les</w:t>
      </w:r>
      <w:r w:rsidR="00E57038">
        <w:rPr>
          <w:rFonts w:ascii="Andes" w:hAnsi="Andes" w:cs="Arial"/>
          <w:sz w:val="22"/>
          <w:szCs w:val="22"/>
        </w:rPr>
        <w:t xml:space="preserve"> </w:t>
      </w:r>
      <w:r w:rsidR="00E57038" w:rsidRPr="003C30CC">
        <w:rPr>
          <w:rFonts w:ascii="Andes" w:hAnsi="Andes" w:cs="Arial"/>
          <w:sz w:val="22"/>
          <w:szCs w:val="22"/>
        </w:rPr>
        <w:t>personnes physiques ou morales suspendues par la Banque</w:t>
      </w:r>
      <w:r w:rsidR="008F3223">
        <w:rPr>
          <w:rFonts w:ascii="Andes" w:hAnsi="Andes" w:cs="Arial"/>
          <w:sz w:val="22"/>
          <w:szCs w:val="22"/>
        </w:rPr>
        <w:t>;</w:t>
      </w:r>
    </w:p>
    <w:p w14:paraId="4007F841" w14:textId="1D335A63" w:rsidR="00F05647" w:rsidRPr="003C30CC" w:rsidRDefault="008F3223" w:rsidP="003C30CC">
      <w:pPr>
        <w:pStyle w:val="Paragraphedeliste"/>
        <w:numPr>
          <w:ilvl w:val="0"/>
          <w:numId w:val="281"/>
        </w:numPr>
        <w:spacing w:before="0" w:after="200" w:line="240" w:lineRule="auto"/>
        <w:contextualSpacing w:val="0"/>
        <w:rPr>
          <w:rFonts w:ascii="Andes" w:hAnsi="Andes" w:cs="Arial"/>
          <w:sz w:val="22"/>
          <w:szCs w:val="22"/>
        </w:rPr>
      </w:pPr>
      <w:r>
        <w:rPr>
          <w:rFonts w:ascii="Andes" w:hAnsi="Andes" w:cs="Arial"/>
          <w:sz w:val="22"/>
          <w:szCs w:val="22"/>
        </w:rPr>
        <w:t>Le statut de disqualification des Soumissionnaires/ Proposants/ Consultants disqualifiés comme précisé au Paragraphe 3.34 (Disqualification des Firme</w:t>
      </w:r>
      <w:r w:rsidR="009F308F">
        <w:rPr>
          <w:rFonts w:ascii="Andes" w:hAnsi="Andes" w:cs="Arial"/>
          <w:sz w:val="22"/>
          <w:szCs w:val="22"/>
        </w:rPr>
        <w:t>s</w:t>
      </w:r>
      <w:r>
        <w:rPr>
          <w:rFonts w:ascii="Andes" w:hAnsi="Andes" w:cs="Arial"/>
          <w:sz w:val="22"/>
          <w:szCs w:val="22"/>
        </w:rPr>
        <w:t>)</w:t>
      </w:r>
      <w:r w:rsidR="00F05647" w:rsidRPr="003C30CC">
        <w:rPr>
          <w:rFonts w:ascii="Andes" w:hAnsi="Andes" w:cs="Arial"/>
          <w:sz w:val="22"/>
          <w:szCs w:val="22"/>
        </w:rPr>
        <w:t>.</w:t>
      </w:r>
    </w:p>
    <w:p w14:paraId="0CCBB334" w14:textId="7300F1C6" w:rsidR="00F05647" w:rsidRPr="00833B69" w:rsidRDefault="00F05647" w:rsidP="00F05647">
      <w:pPr>
        <w:pStyle w:val="Paragraphedeliste"/>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 xml:space="preserve">L’Emprunteur est tenu d’apporter un soin supplémentaire particulier à la supervision et au contrôle attentifs des contrats en cours (qu’ils soient soumis à examen préalable ou a posteriori) exécutés par une personne physique ou morale qui a précédemment été sanctionnée </w:t>
      </w:r>
      <w:r w:rsidR="00F76586">
        <w:rPr>
          <w:rFonts w:ascii="Andes" w:hAnsi="Andes" w:cs="Arial"/>
          <w:sz w:val="22"/>
          <w:szCs w:val="22"/>
        </w:rPr>
        <w:t xml:space="preserve">ou disqualifiée selon les dispositions du Paragraphe 3.34 </w:t>
      </w:r>
      <w:r w:rsidRPr="00833B69">
        <w:rPr>
          <w:rFonts w:ascii="Andes" w:hAnsi="Andes" w:cs="Arial"/>
          <w:sz w:val="22"/>
          <w:szCs w:val="22"/>
        </w:rPr>
        <w:t>par la Banque après la signature d’un contrat de ce type. Après la date d’entrée en vigueur de la suspension</w:t>
      </w:r>
      <w:r w:rsidR="00F76586">
        <w:rPr>
          <w:rFonts w:ascii="Andes" w:hAnsi="Andes" w:cs="Arial"/>
          <w:sz w:val="22"/>
          <w:szCs w:val="22"/>
        </w:rPr>
        <w:t>, de l’</w:t>
      </w:r>
      <w:r w:rsidRPr="00833B69">
        <w:rPr>
          <w:rFonts w:ascii="Andes" w:hAnsi="Andes" w:cs="Arial"/>
          <w:sz w:val="22"/>
          <w:szCs w:val="22"/>
        </w:rPr>
        <w:t>exclusion</w:t>
      </w:r>
      <w:r w:rsidR="00F76586">
        <w:rPr>
          <w:rFonts w:ascii="Andes" w:hAnsi="Andes" w:cs="Arial"/>
          <w:sz w:val="22"/>
          <w:szCs w:val="22"/>
        </w:rPr>
        <w:t xml:space="preserve"> ou de la disqualification</w:t>
      </w:r>
      <w:r w:rsidRPr="00833B69">
        <w:rPr>
          <w:rFonts w:ascii="Andes" w:hAnsi="Andes" w:cs="Arial"/>
          <w:sz w:val="22"/>
          <w:szCs w:val="22"/>
        </w:rPr>
        <w:t>, l’Emprunteur ne doit signer ni nouveau contrat ni avenant (portant notamment sur une prorogation du délai de réalisation, un ordre de changement ou de variante) à un contrat en cours avec une personne physique ou morale exclue</w:t>
      </w:r>
      <w:r w:rsidR="00F76586">
        <w:rPr>
          <w:rFonts w:ascii="Andes" w:hAnsi="Andes" w:cs="Arial"/>
          <w:sz w:val="22"/>
          <w:szCs w:val="22"/>
        </w:rPr>
        <w:t>,</w:t>
      </w:r>
      <w:r w:rsidRPr="00833B69">
        <w:rPr>
          <w:rFonts w:ascii="Andes" w:hAnsi="Andes" w:cs="Arial"/>
          <w:sz w:val="22"/>
          <w:szCs w:val="22"/>
        </w:rPr>
        <w:t xml:space="preserve"> suspendue</w:t>
      </w:r>
      <w:r w:rsidR="00F76586">
        <w:rPr>
          <w:rFonts w:ascii="Andes" w:hAnsi="Andes" w:cs="Arial"/>
          <w:sz w:val="22"/>
          <w:szCs w:val="22"/>
        </w:rPr>
        <w:t xml:space="preserve"> ou di</w:t>
      </w:r>
      <w:r w:rsidR="004C6ABD">
        <w:rPr>
          <w:rFonts w:ascii="Andes" w:hAnsi="Andes" w:cs="Arial"/>
          <w:sz w:val="22"/>
          <w:szCs w:val="22"/>
        </w:rPr>
        <w:t>s</w:t>
      </w:r>
      <w:r w:rsidR="00F76586">
        <w:rPr>
          <w:rFonts w:ascii="Andes" w:hAnsi="Andes" w:cs="Arial"/>
          <w:sz w:val="22"/>
          <w:szCs w:val="22"/>
        </w:rPr>
        <w:t>qualifiée</w:t>
      </w:r>
      <w:r w:rsidRPr="00833B69">
        <w:rPr>
          <w:rFonts w:ascii="Andes" w:hAnsi="Andes" w:cs="Arial"/>
          <w:sz w:val="22"/>
          <w:szCs w:val="22"/>
        </w:rPr>
        <w:t xml:space="preserve">, sans examen préalable et avis de non-objection de la Banque. </w:t>
      </w:r>
    </w:p>
    <w:p w14:paraId="7DA68058" w14:textId="77777777" w:rsidR="00F05647" w:rsidRPr="00833B69" w:rsidRDefault="00F05647" w:rsidP="00F05647">
      <w:pPr>
        <w:pStyle w:val="Paragraphedeliste"/>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La Banque ne financera des dépenses supplémentaires que si celles-ci ont été encourues avant la date d’expiration du contrat initial ou si la date d’expiration a été révisée,</w:t>
      </w:r>
    </w:p>
    <w:p w14:paraId="7796A17B" w14:textId="77777777" w:rsidR="00F05647" w:rsidRPr="00833B69" w:rsidRDefault="00F05647" w:rsidP="00F05647">
      <w:pPr>
        <w:pStyle w:val="Paragraphedeliste"/>
        <w:numPr>
          <w:ilvl w:val="0"/>
          <w:numId w:val="194"/>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pour les contrats soumis à examen préalable, par un avenant pour lequel la Banque a donné un avis de non-objection ;</w:t>
      </w:r>
    </w:p>
    <w:p w14:paraId="68BDF314" w14:textId="77777777" w:rsidR="00F05647" w:rsidRPr="00833B69" w:rsidRDefault="00F05647" w:rsidP="00F05647">
      <w:pPr>
        <w:pStyle w:val="Paragraphedeliste"/>
        <w:numPr>
          <w:ilvl w:val="0"/>
          <w:numId w:val="194"/>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lastRenderedPageBreak/>
        <w:t xml:space="preserve">pour les contrats soumis à examen a posteriori, par un avenant signé avant la date d’entrée en vigueur de la suspension ou de l’exclusion. </w:t>
      </w:r>
    </w:p>
    <w:p w14:paraId="38C3D682" w14:textId="6A2A22B6" w:rsidR="00046BA5" w:rsidRPr="00B1581D" w:rsidRDefault="00F05647" w:rsidP="00F05647">
      <w:pPr>
        <w:pStyle w:val="Paragraphedeliste"/>
        <w:numPr>
          <w:ilvl w:val="1"/>
          <w:numId w:val="126"/>
        </w:numPr>
        <w:spacing w:before="0" w:after="200" w:line="240" w:lineRule="auto"/>
        <w:ind w:left="630" w:hanging="630"/>
        <w:contextualSpacing w:val="0"/>
        <w:rPr>
          <w:rFonts w:ascii="Andes" w:hAnsi="Andes" w:cs="Arial"/>
          <w:sz w:val="22"/>
          <w:szCs w:val="22"/>
        </w:rPr>
      </w:pPr>
      <w:r w:rsidRPr="00833B69">
        <w:rPr>
          <w:rFonts w:ascii="Andes" w:hAnsi="Andes" w:cs="Arial"/>
          <w:sz w:val="22"/>
          <w:szCs w:val="22"/>
        </w:rPr>
        <w:t>La Banque ne financera aucun nouveau contrat ou nouvel avenant introduisant une modification importante d’un contrat existant signé avec une personne physique ou morale suspendue</w:t>
      </w:r>
      <w:r w:rsidR="001F45DA">
        <w:rPr>
          <w:rFonts w:ascii="Andes" w:hAnsi="Andes" w:cs="Arial"/>
          <w:sz w:val="22"/>
          <w:szCs w:val="22"/>
        </w:rPr>
        <w:t>, exclue ou disqualifiée</w:t>
      </w:r>
      <w:r w:rsidRPr="00833B69">
        <w:rPr>
          <w:rFonts w:ascii="Andes" w:hAnsi="Andes" w:cs="Arial"/>
          <w:sz w:val="22"/>
          <w:szCs w:val="22"/>
        </w:rPr>
        <w:t xml:space="preserve"> </w:t>
      </w:r>
      <w:r w:rsidR="00384367">
        <w:rPr>
          <w:rFonts w:ascii="Andes" w:hAnsi="Andes" w:cs="Arial"/>
          <w:sz w:val="22"/>
          <w:szCs w:val="22"/>
        </w:rPr>
        <w:t>à compter du</w:t>
      </w:r>
      <w:r w:rsidR="00384367" w:rsidRPr="00833B69">
        <w:rPr>
          <w:rFonts w:ascii="Andes" w:hAnsi="Andes" w:cs="Arial"/>
          <w:sz w:val="22"/>
          <w:szCs w:val="22"/>
        </w:rPr>
        <w:t xml:space="preserve"> </w:t>
      </w:r>
      <w:r w:rsidRPr="00833B69">
        <w:rPr>
          <w:rFonts w:ascii="Andes" w:hAnsi="Andes" w:cs="Arial"/>
          <w:sz w:val="22"/>
          <w:szCs w:val="22"/>
        </w:rPr>
        <w:t>jour de l’entrée en vigueur de la suspension</w:t>
      </w:r>
      <w:r w:rsidR="001F45DA">
        <w:rPr>
          <w:rFonts w:ascii="Andes" w:hAnsi="Andes" w:cs="Arial"/>
          <w:sz w:val="22"/>
          <w:szCs w:val="22"/>
        </w:rPr>
        <w:t>,</w:t>
      </w:r>
      <w:r w:rsidRPr="00833B69">
        <w:rPr>
          <w:rFonts w:ascii="Andes" w:hAnsi="Andes" w:cs="Arial"/>
          <w:sz w:val="22"/>
          <w:szCs w:val="22"/>
        </w:rPr>
        <w:t xml:space="preserve"> de l’exclusion</w:t>
      </w:r>
      <w:r w:rsidR="001F45DA">
        <w:rPr>
          <w:rFonts w:ascii="Andes" w:hAnsi="Andes" w:cs="Arial"/>
          <w:sz w:val="22"/>
          <w:szCs w:val="22"/>
        </w:rPr>
        <w:t xml:space="preserve"> ou de la disqualification</w:t>
      </w:r>
      <w:r w:rsidRPr="00833B69">
        <w:rPr>
          <w:rFonts w:ascii="Andes" w:hAnsi="Andes" w:cs="Arial"/>
          <w:sz w:val="22"/>
          <w:szCs w:val="22"/>
        </w:rPr>
        <w:t>.</w:t>
      </w:r>
    </w:p>
    <w:p w14:paraId="4C0913BD" w14:textId="77777777" w:rsidR="00DA540B" w:rsidRPr="00B1581D" w:rsidRDefault="00190162" w:rsidP="00D6243A">
      <w:pPr>
        <w:pStyle w:val="Paragraphedeliste"/>
        <w:spacing w:before="0" w:after="200" w:line="240" w:lineRule="auto"/>
        <w:ind w:left="630"/>
        <w:contextualSpacing w:val="0"/>
        <w:rPr>
          <w:rFonts w:ascii="Andes" w:hAnsi="Andes" w:cs="Arial"/>
          <w:sz w:val="22"/>
          <w:szCs w:val="22"/>
        </w:rPr>
      </w:pPr>
      <w:r w:rsidRPr="00B1581D">
        <w:rPr>
          <w:rFonts w:ascii="Andes" w:hAnsi="Andes" w:cs="Arial"/>
          <w:sz w:val="22"/>
          <w:szCs w:val="22"/>
        </w:rPr>
        <w:t xml:space="preserve"> </w:t>
      </w:r>
    </w:p>
    <w:p w14:paraId="134723B0" w14:textId="77777777" w:rsidR="002B6B0B" w:rsidRPr="00B1581D" w:rsidRDefault="002B6B0B" w:rsidP="00A5557C">
      <w:pPr>
        <w:pStyle w:val="Paragraphedeliste"/>
        <w:spacing w:before="0" w:after="0" w:line="240" w:lineRule="auto"/>
        <w:jc w:val="left"/>
        <w:rPr>
          <w:rFonts w:ascii="Andes" w:hAnsi="Andes" w:cs="Arial"/>
          <w:szCs w:val="24"/>
        </w:rPr>
      </w:pPr>
    </w:p>
    <w:p w14:paraId="09F1B4C3" w14:textId="77777777" w:rsidR="008A510A" w:rsidRPr="00B1581D" w:rsidRDefault="008A510A" w:rsidP="00A5557C">
      <w:pPr>
        <w:spacing w:before="0" w:after="200"/>
        <w:contextualSpacing w:val="0"/>
        <w:jc w:val="left"/>
        <w:rPr>
          <w:rFonts w:ascii="Andes" w:hAnsi="Andes" w:cs="Arial"/>
          <w:szCs w:val="24"/>
        </w:rPr>
        <w:sectPr w:rsidR="008A510A" w:rsidRPr="00B1581D" w:rsidSect="000B5EC0">
          <w:headerReference w:type="default" r:id="rId27"/>
          <w:pgSz w:w="12240" w:h="15840"/>
          <w:pgMar w:top="1872" w:right="1440" w:bottom="1440" w:left="1411" w:header="720" w:footer="720" w:gutter="0"/>
          <w:cols w:space="720"/>
          <w:docGrid w:linePitch="360"/>
        </w:sectPr>
      </w:pPr>
    </w:p>
    <w:p w14:paraId="3DE971E7" w14:textId="77777777" w:rsidR="00C811D2" w:rsidRPr="007656EB" w:rsidRDefault="004A283E" w:rsidP="0086164C">
      <w:pPr>
        <w:pStyle w:val="Titre1"/>
        <w:spacing w:before="0" w:after="0" w:line="240" w:lineRule="auto"/>
        <w:jc w:val="center"/>
        <w:rPr>
          <w:rFonts w:ascii="Andes" w:hAnsi="Andes" w:cs="Arial"/>
          <w:sz w:val="32"/>
          <w:szCs w:val="32"/>
          <w:lang w:val="en-US"/>
        </w:rPr>
      </w:pPr>
      <w:bookmarkStart w:id="3472" w:name="_Toc389661730"/>
      <w:bookmarkStart w:id="3473" w:name="_Toc389661961"/>
      <w:bookmarkStart w:id="3474" w:name="_Toc389662418"/>
      <w:bookmarkStart w:id="3475" w:name="_Toc453170971"/>
      <w:bookmarkStart w:id="3476" w:name="_Toc453544330"/>
      <w:r w:rsidRPr="004A283E">
        <w:rPr>
          <w:rFonts w:ascii="Andes" w:hAnsi="Andes" w:cs="Microsoft Sans Serif"/>
          <w:caps/>
          <w:noProof/>
          <w:color w:val="002060"/>
          <w:lang w:val="en-US"/>
        </w:rPr>
        <w:lastRenderedPageBreak/>
        <mc:AlternateContent>
          <mc:Choice Requires="wps">
            <w:drawing>
              <wp:anchor distT="0" distB="0" distL="114300" distR="114300" simplePos="0" relativeHeight="251644928" behindDoc="0" locked="0" layoutInCell="1" allowOverlap="1" wp14:anchorId="77145E1E" wp14:editId="587923A4">
                <wp:simplePos x="0" y="0"/>
                <wp:positionH relativeFrom="page">
                  <wp:posOffset>9525</wp:posOffset>
                </wp:positionH>
                <wp:positionV relativeFrom="paragraph">
                  <wp:posOffset>-1162685</wp:posOffset>
                </wp:positionV>
                <wp:extent cx="10067925" cy="1466491"/>
                <wp:effectExtent l="0" t="0" r="9525" b="635"/>
                <wp:wrapNone/>
                <wp:docPr id="20" name="Rectangle 20"/>
                <wp:cNvGraphicFramePr/>
                <a:graphic xmlns:a="http://schemas.openxmlformats.org/drawingml/2006/main">
                  <a:graphicData uri="http://schemas.microsoft.com/office/word/2010/wordprocessingShape">
                    <wps:wsp>
                      <wps:cNvSpPr/>
                      <wps:spPr>
                        <a:xfrm>
                          <a:off x="0" y="0"/>
                          <a:ext cx="10067925" cy="1466491"/>
                        </a:xfrm>
                        <a:prstGeom prst="rect">
                          <a:avLst/>
                        </a:prstGeom>
                        <a:solidFill>
                          <a:srgbClr val="C45911"/>
                        </a:solidFill>
                        <a:ln w="12700" cap="flat" cmpd="sng" algn="ctr">
                          <a:noFill/>
                          <a:prstDash val="solid"/>
                          <a:miter lim="800000"/>
                        </a:ln>
                        <a:effectLst/>
                      </wps:spPr>
                      <wps:txbx>
                        <w:txbxContent>
                          <w:p w14:paraId="7C887BC1" w14:textId="4F26C010" w:rsidR="00A41794" w:rsidRPr="00995472" w:rsidRDefault="00A41794" w:rsidP="003000E4">
                            <w:pPr>
                              <w:tabs>
                                <w:tab w:val="left" w:pos="3060"/>
                              </w:tabs>
                              <w:ind w:left="1170" w:right="4563"/>
                              <w:jc w:val="left"/>
                              <w:rPr>
                                <w:rFonts w:ascii="Andes" w:hAnsi="Andes"/>
                                <w:color w:val="FFFFFF" w:themeColor="background1"/>
                                <w:sz w:val="44"/>
                                <w:szCs w:val="44"/>
                              </w:rPr>
                            </w:pPr>
                            <w:r w:rsidRPr="00EF7732">
                              <w:rPr>
                                <w:rFonts w:ascii="Andes" w:hAnsi="Andes"/>
                                <w:color w:val="FFFFFF" w:themeColor="background1"/>
                                <w:sz w:val="44"/>
                                <w:szCs w:val="44"/>
                              </w:rPr>
                              <w:t xml:space="preserve">Annexe III.  </w:t>
                            </w:r>
                            <w:r w:rsidRPr="00EF7732">
                              <w:rPr>
                                <w:rFonts w:ascii="Andes" w:hAnsi="Andes"/>
                                <w:color w:val="FFFFFF" w:themeColor="background1"/>
                                <w:sz w:val="44"/>
                                <w:szCs w:val="44"/>
                              </w:rPr>
                              <w:tab/>
                            </w:r>
                            <w:r w:rsidRPr="00481A1C">
                              <w:rPr>
                                <w:rFonts w:ascii="Andes" w:hAnsi="Andes"/>
                                <w:color w:val="FFFFFF" w:themeColor="background1"/>
                                <w:sz w:val="44"/>
                                <w:szCs w:val="44"/>
                              </w:rPr>
                              <w:t>Plaintes relatives à la passation des marchés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45E1E" id="Rectangle 20" o:spid="_x0000_s1039" style="position:absolute;left:0;text-align:left;margin-left:.75pt;margin-top:-91.55pt;width:792.75pt;height:115.4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" fillcolor="#c45911" stroked="f" strokeweight="1pt">
                <v:textbox>
                  <w:txbxContent>
                    <w:p w14:paraId="7C887BC1" w14:textId="4F26C010" w:rsidR="00A41794" w:rsidRPr="00995472" w:rsidRDefault="00A41794" w:rsidP="003000E4">
                      <w:pPr>
                        <w:tabs>
                          <w:tab w:val="left" w:pos="3060"/>
                        </w:tabs>
                        <w:ind w:left="1170" w:right="4563"/>
                        <w:jc w:val="left"/>
                        <w:rPr>
                          <w:rFonts w:ascii="Andes" w:hAnsi="Andes"/>
                          <w:color w:val="FFFFFF" w:themeColor="background1"/>
                          <w:sz w:val="44"/>
                          <w:szCs w:val="44"/>
                        </w:rPr>
                      </w:pPr>
                      <w:r w:rsidRPr="00EF7732">
                        <w:rPr>
                          <w:rFonts w:ascii="Andes" w:hAnsi="Andes"/>
                          <w:color w:val="FFFFFF" w:themeColor="background1"/>
                          <w:sz w:val="44"/>
                          <w:szCs w:val="44"/>
                        </w:rPr>
                        <w:t xml:space="preserve">Annexe III.  </w:t>
                      </w:r>
                      <w:r w:rsidRPr="00EF7732">
                        <w:rPr>
                          <w:rFonts w:ascii="Andes" w:hAnsi="Andes"/>
                          <w:color w:val="FFFFFF" w:themeColor="background1"/>
                          <w:sz w:val="44"/>
                          <w:szCs w:val="44"/>
                        </w:rPr>
                        <w:tab/>
                      </w:r>
                      <w:r w:rsidRPr="00481A1C">
                        <w:rPr>
                          <w:rFonts w:ascii="Andes" w:hAnsi="Andes"/>
                          <w:color w:val="FFFFFF" w:themeColor="background1"/>
                          <w:sz w:val="44"/>
                          <w:szCs w:val="44"/>
                        </w:rPr>
                        <w:t>Plaintes relatives à la passation des marchés</w:t>
                      </w:r>
                    </w:p>
                  </w:txbxContent>
                </v:textbox>
                <w10:wrap anchorx="page"/>
              </v:rect>
            </w:pict>
          </mc:Fallback>
        </mc:AlternateContent>
      </w:r>
      <w:r w:rsidR="00C811D2" w:rsidRPr="007656EB">
        <w:rPr>
          <w:rFonts w:ascii="Andes" w:hAnsi="Andes" w:cs="Arial"/>
          <w:sz w:val="32"/>
          <w:szCs w:val="32"/>
          <w:lang w:val="en-US"/>
        </w:rPr>
        <w:t>Annex III</w:t>
      </w:r>
      <w:r w:rsidR="00687669">
        <w:rPr>
          <w:rFonts w:ascii="Andes" w:hAnsi="Andes" w:cs="Arial"/>
          <w:sz w:val="32"/>
          <w:szCs w:val="32"/>
          <w:lang w:val="en-US"/>
        </w:rPr>
        <w:t xml:space="preserve">.  </w:t>
      </w:r>
      <w:r w:rsidR="00D80E5E" w:rsidRPr="007656EB">
        <w:rPr>
          <w:rFonts w:ascii="Andes" w:hAnsi="Andes" w:cs="Arial"/>
          <w:sz w:val="32"/>
          <w:szCs w:val="32"/>
          <w:lang w:val="en-US"/>
        </w:rPr>
        <w:t xml:space="preserve">Procurement Related </w:t>
      </w:r>
      <w:r w:rsidR="00C811D2" w:rsidRPr="007656EB">
        <w:rPr>
          <w:rFonts w:ascii="Andes" w:hAnsi="Andes" w:cs="Arial"/>
          <w:sz w:val="32"/>
          <w:szCs w:val="32"/>
          <w:lang w:val="en-US"/>
        </w:rPr>
        <w:t>Complaints</w:t>
      </w:r>
      <w:bookmarkEnd w:id="3472"/>
      <w:bookmarkEnd w:id="3473"/>
      <w:bookmarkEnd w:id="3474"/>
      <w:bookmarkEnd w:id="3475"/>
      <w:bookmarkEnd w:id="3476"/>
    </w:p>
    <w:p w14:paraId="3A7D68D6" w14:textId="77777777" w:rsidR="00AC56D8" w:rsidRPr="00833B69" w:rsidRDefault="00AC56D8" w:rsidP="00AC56D8">
      <w:pPr>
        <w:pStyle w:val="Paragraphedeliste"/>
        <w:numPr>
          <w:ilvl w:val="0"/>
          <w:numId w:val="239"/>
        </w:numPr>
        <w:spacing w:before="360" w:line="240" w:lineRule="auto"/>
        <w:ind w:left="634" w:hanging="634"/>
        <w:contextualSpacing w:val="0"/>
        <w:rPr>
          <w:rFonts w:ascii="Andes" w:eastAsiaTheme="majorEastAsia" w:hAnsi="Andes"/>
          <w:b/>
          <w:color w:val="C45911"/>
          <w:sz w:val="32"/>
          <w:szCs w:val="32"/>
        </w:rPr>
      </w:pPr>
      <w:bookmarkStart w:id="3477" w:name="_Toc389661731"/>
      <w:bookmarkStart w:id="3478" w:name="_Toc389661962"/>
      <w:bookmarkStart w:id="3479" w:name="_Toc389662419"/>
      <w:bookmarkStart w:id="3480" w:name="_Toc387837157"/>
      <w:r w:rsidRPr="00833B69">
        <w:rPr>
          <w:rFonts w:ascii="Andes" w:eastAsiaTheme="majorEastAsia" w:hAnsi="Andes"/>
          <w:b/>
          <w:color w:val="C45911"/>
          <w:sz w:val="32"/>
          <w:szCs w:val="32"/>
        </w:rPr>
        <w:t xml:space="preserve">Objet </w:t>
      </w:r>
    </w:p>
    <w:p w14:paraId="782BA9EA" w14:textId="4641E77D" w:rsidR="00AC56D8" w:rsidRPr="00833B69" w:rsidRDefault="00AC56D8" w:rsidP="00AC56D8">
      <w:pPr>
        <w:pStyle w:val="Paragraphedeliste"/>
        <w:numPr>
          <w:ilvl w:val="1"/>
          <w:numId w:val="108"/>
        </w:numPr>
        <w:spacing w:before="0" w:line="240" w:lineRule="auto"/>
        <w:ind w:left="634" w:hanging="634"/>
        <w:contextualSpacing w:val="0"/>
        <w:rPr>
          <w:rFonts w:ascii="Andes" w:hAnsi="Andes" w:cs="Arial"/>
          <w:sz w:val="22"/>
          <w:szCs w:val="22"/>
        </w:rPr>
      </w:pPr>
      <w:r w:rsidRPr="00833B69">
        <w:rPr>
          <w:rFonts w:ascii="Andes" w:hAnsi="Andes" w:cs="Arial"/>
          <w:sz w:val="22"/>
          <w:szCs w:val="22"/>
        </w:rPr>
        <w:t>La présente Annexe expose les procédures de gestion et de traitement des Plaintes relatives à la passation des marchés en rapport avec des contrats pour lesquels l’usage des D</w:t>
      </w:r>
      <w:r w:rsidR="001F45DA">
        <w:rPr>
          <w:rFonts w:ascii="Andes" w:hAnsi="Andes" w:cs="Arial"/>
          <w:sz w:val="22"/>
          <w:szCs w:val="22"/>
        </w:rPr>
        <w:t>TPM</w:t>
      </w:r>
      <w:r w:rsidRPr="00833B69">
        <w:rPr>
          <w:rFonts w:ascii="Andes" w:hAnsi="Andes" w:cs="Arial"/>
          <w:sz w:val="22"/>
          <w:szCs w:val="22"/>
        </w:rPr>
        <w:t xml:space="preserve"> est requis</w:t>
      </w:r>
      <w:r w:rsidR="001F45DA">
        <w:rPr>
          <w:rFonts w:ascii="Andes" w:hAnsi="Andes" w:cs="Arial"/>
          <w:sz w:val="22"/>
          <w:szCs w:val="22"/>
        </w:rPr>
        <w:t>. S</w:t>
      </w:r>
      <w:r w:rsidRPr="00833B69">
        <w:rPr>
          <w:rFonts w:ascii="Andes" w:hAnsi="Andes" w:cs="Arial"/>
          <w:sz w:val="22"/>
          <w:szCs w:val="22"/>
        </w:rPr>
        <w:t>’agissant des contrats à utiliser par l’Emprunteur, les DTPM sont précisés dans le Plan de Passation des Marchés du projet</w:t>
      </w:r>
      <w:r w:rsidR="00082FED">
        <w:rPr>
          <w:rFonts w:ascii="Andes" w:hAnsi="Andes" w:cs="Arial"/>
          <w:sz w:val="22"/>
          <w:szCs w:val="22"/>
        </w:rPr>
        <w:t>. Voir</w:t>
      </w:r>
      <w:r w:rsidRPr="00833B69">
        <w:rPr>
          <w:rFonts w:ascii="Andes" w:hAnsi="Andes" w:cs="Arial"/>
          <w:sz w:val="22"/>
          <w:szCs w:val="22"/>
        </w:rPr>
        <w:t xml:space="preserve"> à ce propos la synthèse présentée dans le Tableau 1. Des exigences supplémentaires sont applicables aux contrats soumis à l’examen préalable de la Banque selon les stipulations de l’Annexe II, Contrôle de la passation des marchés.</w:t>
      </w:r>
    </w:p>
    <w:p w14:paraId="3E225D7C" w14:textId="77777777" w:rsidR="00AC56D8" w:rsidRPr="00833B69" w:rsidRDefault="00AC56D8" w:rsidP="00AC56D8">
      <w:pPr>
        <w:pStyle w:val="Paragraphedeliste"/>
        <w:numPr>
          <w:ilvl w:val="0"/>
          <w:numId w:val="239"/>
        </w:numPr>
        <w:spacing w:before="36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Conditions générales applicables aux Plaintes relatives à la passation des marchés</w:t>
      </w:r>
    </w:p>
    <w:p w14:paraId="4769320B" w14:textId="6B58FFAE" w:rsidR="00AC56D8" w:rsidRPr="00833B69" w:rsidRDefault="00AC56D8" w:rsidP="00AC56D8">
      <w:pPr>
        <w:pStyle w:val="Paragraphedeliste"/>
        <w:numPr>
          <w:ilvl w:val="1"/>
          <w:numId w:val="239"/>
        </w:numPr>
        <w:spacing w:before="0" w:line="240" w:lineRule="auto"/>
        <w:ind w:left="630" w:hanging="630"/>
        <w:contextualSpacing w:val="0"/>
        <w:rPr>
          <w:rFonts w:ascii="Andes" w:hAnsi="Andes" w:cs="Arial"/>
          <w:sz w:val="22"/>
          <w:szCs w:val="22"/>
        </w:rPr>
      </w:pPr>
      <w:r w:rsidRPr="00833B69">
        <w:rPr>
          <w:rFonts w:ascii="Andes" w:hAnsi="Andes" w:cs="Arial"/>
          <w:sz w:val="22"/>
          <w:szCs w:val="22"/>
        </w:rPr>
        <w:t>Une Plainte peut contester :</w:t>
      </w:r>
    </w:p>
    <w:p w14:paraId="29B19B3A" w14:textId="4FC1FF18" w:rsidR="00AC56D8" w:rsidRPr="00833B69" w:rsidRDefault="00AC56D8" w:rsidP="00AC56D8">
      <w:pPr>
        <w:pStyle w:val="Paragraphedeliste"/>
        <w:numPr>
          <w:ilvl w:val="0"/>
          <w:numId w:val="24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les dossiers de sélection de l’Emprunteur (dossiers de </w:t>
      </w:r>
      <w:r w:rsidR="000A7F1B">
        <w:rPr>
          <w:rFonts w:ascii="Andes" w:eastAsiaTheme="minorHAnsi" w:hAnsi="Andes" w:cs="Arial"/>
          <w:color w:val="000000"/>
          <w:sz w:val="22"/>
          <w:szCs w:val="22"/>
        </w:rPr>
        <w:t>Préqualification</w:t>
      </w:r>
      <w:r w:rsidRPr="00833B69">
        <w:rPr>
          <w:rFonts w:ascii="Andes" w:eastAsiaTheme="minorHAnsi" w:hAnsi="Andes" w:cs="Arial"/>
          <w:color w:val="000000"/>
          <w:sz w:val="22"/>
          <w:szCs w:val="22"/>
        </w:rPr>
        <w:t>, de sélection initiale, d’appel d’offres, d’appel à propositions...) ;</w:t>
      </w:r>
    </w:p>
    <w:p w14:paraId="1D9CC1A3" w14:textId="77777777" w:rsidR="00AC56D8" w:rsidRPr="00833B69" w:rsidRDefault="00AC56D8" w:rsidP="00746A5D">
      <w:pPr>
        <w:pStyle w:val="Paragraphedeliste"/>
        <w:numPr>
          <w:ilvl w:val="0"/>
          <w:numId w:val="24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la décision de l’Emprunteur d’exclure un Candidat/Soumissionnaire/Proposant/Consultant</w:t>
      </w:r>
      <w:r w:rsidRPr="00833B69">
        <w:rPr>
          <w:rFonts w:ascii="Andes" w:hAnsi="Andes" w:cs="Arial"/>
          <w:sz w:val="22"/>
          <w:szCs w:val="22"/>
        </w:rPr>
        <w:t xml:space="preserve"> en amont de l’attribution du marché ;</w:t>
      </w:r>
    </w:p>
    <w:p w14:paraId="7AA6D586" w14:textId="77777777" w:rsidR="00233A5D" w:rsidRDefault="00AC56D8" w:rsidP="00233A5D">
      <w:pPr>
        <w:pStyle w:val="Paragraphedeliste"/>
        <w:numPr>
          <w:ilvl w:val="0"/>
          <w:numId w:val="240"/>
        </w:numPr>
        <w:spacing w:before="0" w:line="240" w:lineRule="auto"/>
        <w:contextualSpacing w:val="0"/>
        <w:rPr>
          <w:rFonts w:ascii="Andes" w:hAnsi="Andes" w:cs="Arial"/>
          <w:sz w:val="22"/>
          <w:szCs w:val="22"/>
        </w:rPr>
      </w:pPr>
      <w:r w:rsidRPr="00833B69">
        <w:rPr>
          <w:rFonts w:ascii="Andes" w:hAnsi="Andes" w:cs="Arial"/>
          <w:sz w:val="22"/>
          <w:szCs w:val="22"/>
        </w:rPr>
        <w:t xml:space="preserve">la décision de l’Emprunteur d’attribuer le contrat </w:t>
      </w:r>
      <w:proofErr w:type="gramStart"/>
      <w:r w:rsidRPr="00833B69">
        <w:rPr>
          <w:rFonts w:ascii="Andes" w:hAnsi="Andes" w:cs="Arial"/>
          <w:sz w:val="22"/>
          <w:szCs w:val="22"/>
        </w:rPr>
        <w:t>suite à</w:t>
      </w:r>
      <w:proofErr w:type="gramEnd"/>
      <w:r w:rsidRPr="00833B69">
        <w:rPr>
          <w:rFonts w:ascii="Andes" w:hAnsi="Andes" w:cs="Arial"/>
          <w:sz w:val="22"/>
          <w:szCs w:val="22"/>
        </w:rPr>
        <w:t xml:space="preserve"> la communication des Soumissionnaires/Proposants/Consultants non retenus dans la Notification d’Intention d’Attribution de Marché.</w:t>
      </w:r>
    </w:p>
    <w:p w14:paraId="7395A53D" w14:textId="7F925C37" w:rsidR="00AC56D8" w:rsidRPr="009D6BFF" w:rsidRDefault="00233A5D" w:rsidP="00882278">
      <w:pPr>
        <w:pStyle w:val="Paragraphedeliste"/>
        <w:numPr>
          <w:ilvl w:val="1"/>
          <w:numId w:val="239"/>
        </w:numPr>
        <w:spacing w:before="0" w:line="240" w:lineRule="auto"/>
        <w:ind w:left="630" w:hanging="630"/>
        <w:contextualSpacing w:val="0"/>
        <w:rPr>
          <w:rFonts w:asciiTheme="minorHAnsi" w:hAnsiTheme="minorHAnsi" w:cstheme="minorBidi"/>
          <w:sz w:val="22"/>
          <w:szCs w:val="22"/>
        </w:rPr>
      </w:pPr>
      <w:r w:rsidRPr="009D6BFF">
        <w:rPr>
          <w:rFonts w:ascii="Andes" w:hAnsi="Andes" w:cs="Arial"/>
          <w:sz w:val="22"/>
          <w:szCs w:val="22"/>
        </w:rPr>
        <w:t>Les Plaintes sont soumises par des «</w:t>
      </w:r>
      <w:r w:rsidRPr="009D6BFF">
        <w:rPr>
          <w:rFonts w:ascii="Calibri" w:hAnsi="Calibri" w:cs="Calibri"/>
          <w:sz w:val="22"/>
          <w:szCs w:val="22"/>
        </w:rPr>
        <w:t> </w:t>
      </w:r>
      <w:r w:rsidRPr="009D6BFF">
        <w:rPr>
          <w:rFonts w:ascii="Andes" w:hAnsi="Andes" w:cs="Arial"/>
          <w:sz w:val="22"/>
          <w:szCs w:val="22"/>
        </w:rPr>
        <w:t>parties int</w:t>
      </w:r>
      <w:r w:rsidRPr="009D6BFF">
        <w:rPr>
          <w:rFonts w:ascii="Andes" w:hAnsi="Andes" w:cs="Andes"/>
          <w:sz w:val="22"/>
          <w:szCs w:val="22"/>
        </w:rPr>
        <w:t>é</w:t>
      </w:r>
      <w:r w:rsidRPr="009D6BFF">
        <w:rPr>
          <w:rFonts w:ascii="Andes" w:hAnsi="Andes" w:cs="Arial"/>
          <w:sz w:val="22"/>
          <w:szCs w:val="22"/>
        </w:rPr>
        <w:t>ress</w:t>
      </w:r>
      <w:r w:rsidRPr="009D6BFF">
        <w:rPr>
          <w:rFonts w:ascii="Andes" w:hAnsi="Andes" w:cs="Andes"/>
          <w:sz w:val="22"/>
          <w:szCs w:val="22"/>
        </w:rPr>
        <w:t>é</w:t>
      </w:r>
      <w:r w:rsidRPr="009D6BFF">
        <w:rPr>
          <w:rFonts w:ascii="Andes" w:hAnsi="Andes" w:cs="Arial"/>
          <w:sz w:val="22"/>
          <w:szCs w:val="22"/>
        </w:rPr>
        <w:t>es</w:t>
      </w:r>
      <w:r w:rsidRPr="009D6BFF">
        <w:rPr>
          <w:rFonts w:ascii="Calibri" w:hAnsi="Calibri" w:cs="Calibri"/>
          <w:sz w:val="22"/>
          <w:szCs w:val="22"/>
        </w:rPr>
        <w:t> </w:t>
      </w:r>
      <w:r w:rsidRPr="009D6BFF">
        <w:rPr>
          <w:rFonts w:ascii="Andes" w:hAnsi="Andes" w:cs="Andes"/>
          <w:sz w:val="22"/>
          <w:szCs w:val="22"/>
        </w:rPr>
        <w:t>»</w:t>
      </w:r>
      <w:r w:rsidRPr="009D6BFF">
        <w:rPr>
          <w:rFonts w:ascii="Andes" w:hAnsi="Andes" w:cs="Arial"/>
          <w:sz w:val="22"/>
          <w:szCs w:val="22"/>
        </w:rPr>
        <w:t>. Dans ce contexte une partie int</w:t>
      </w:r>
      <w:r w:rsidRPr="009D6BFF">
        <w:rPr>
          <w:rFonts w:ascii="Andes" w:hAnsi="Andes" w:cs="Andes"/>
          <w:sz w:val="22"/>
          <w:szCs w:val="22"/>
        </w:rPr>
        <w:t>é</w:t>
      </w:r>
      <w:r w:rsidRPr="009D6BFF">
        <w:rPr>
          <w:rFonts w:ascii="Andes" w:hAnsi="Andes" w:cs="Arial"/>
          <w:sz w:val="22"/>
          <w:szCs w:val="22"/>
        </w:rPr>
        <w:t>ress</w:t>
      </w:r>
      <w:r w:rsidRPr="009D6BFF">
        <w:rPr>
          <w:rFonts w:ascii="Andes" w:hAnsi="Andes" w:cs="Andes"/>
          <w:sz w:val="22"/>
          <w:szCs w:val="22"/>
        </w:rPr>
        <w:t>é</w:t>
      </w:r>
      <w:r w:rsidRPr="009D6BFF">
        <w:rPr>
          <w:rFonts w:ascii="Andes" w:hAnsi="Andes" w:cs="Arial"/>
          <w:sz w:val="22"/>
          <w:szCs w:val="22"/>
        </w:rPr>
        <w:t xml:space="preserve">e est un Soumissionnaire/Proposant/Consultant cherchant </w:t>
      </w:r>
      <w:r w:rsidRPr="009D6BFF">
        <w:rPr>
          <w:rFonts w:ascii="Andes" w:hAnsi="Andes" w:cs="Andes"/>
          <w:sz w:val="22"/>
          <w:szCs w:val="22"/>
        </w:rPr>
        <w:t>à</w:t>
      </w:r>
      <w:r w:rsidRPr="009D6BFF">
        <w:rPr>
          <w:rFonts w:ascii="Andes" w:hAnsi="Andes" w:cs="Arial"/>
          <w:sz w:val="22"/>
          <w:szCs w:val="22"/>
        </w:rPr>
        <w:t xml:space="preserve"> remporter le march</w:t>
      </w:r>
      <w:r w:rsidRPr="009D6BFF">
        <w:rPr>
          <w:rFonts w:ascii="Andes" w:hAnsi="Andes" w:cs="Andes"/>
          <w:sz w:val="22"/>
          <w:szCs w:val="22"/>
        </w:rPr>
        <w:t>é</w:t>
      </w:r>
      <w:r w:rsidRPr="009D6BFF">
        <w:rPr>
          <w:rFonts w:ascii="Andes" w:hAnsi="Andes" w:cs="Arial"/>
          <w:sz w:val="22"/>
          <w:szCs w:val="22"/>
        </w:rPr>
        <w:t xml:space="preserve"> en question (y compris un Candidat </w:t>
      </w:r>
      <w:r w:rsidRPr="009D6BFF">
        <w:rPr>
          <w:rFonts w:ascii="Andes" w:hAnsi="Andes" w:cs="Andes"/>
          <w:sz w:val="22"/>
          <w:szCs w:val="22"/>
        </w:rPr>
        <w:t>à</w:t>
      </w:r>
      <w:r w:rsidRPr="009D6BFF">
        <w:rPr>
          <w:rFonts w:ascii="Andes" w:hAnsi="Andes" w:cs="Arial"/>
          <w:sz w:val="22"/>
          <w:szCs w:val="22"/>
        </w:rPr>
        <w:t xml:space="preserve"> la Préqualification ou à la Sélection Initiale, si la Plainte conteste la disqualification du Candidat). Les </w:t>
      </w:r>
      <w:r w:rsidR="0074771E" w:rsidRPr="009D6BFF">
        <w:rPr>
          <w:rFonts w:ascii="Andes" w:hAnsi="Andes" w:cs="Arial"/>
          <w:sz w:val="22"/>
          <w:szCs w:val="22"/>
        </w:rPr>
        <w:t xml:space="preserve">Candidats/Soumissionnaires/Proposants/Consultants </w:t>
      </w:r>
      <w:r w:rsidRPr="009D6BFF">
        <w:rPr>
          <w:rFonts w:ascii="Andes" w:hAnsi="Andes" w:cs="Arial"/>
          <w:sz w:val="22"/>
          <w:szCs w:val="22"/>
        </w:rPr>
        <w:t>potentiels sont aussi des parties intéressées s’agissant de Plaintes contestant le dossier de Préqualification ou de Sélection initiale, ou tout autre document de l’Emprunteur appelant à faire une Offre/une Proposition ou à poser sa Candidature.</w:t>
      </w:r>
    </w:p>
    <w:p w14:paraId="4EF10374" w14:textId="77777777" w:rsidR="00AC56D8" w:rsidRPr="00833B69" w:rsidRDefault="00AC56D8" w:rsidP="00AC56D8">
      <w:pPr>
        <w:pStyle w:val="Paragraphedeliste"/>
        <w:numPr>
          <w:ilvl w:val="1"/>
          <w:numId w:val="239"/>
        </w:numPr>
        <w:spacing w:before="0" w:line="240" w:lineRule="auto"/>
        <w:ind w:left="630" w:hanging="630"/>
        <w:contextualSpacing w:val="0"/>
        <w:rPr>
          <w:rFonts w:ascii="Andes" w:hAnsi="Andes" w:cs="Arial"/>
          <w:sz w:val="22"/>
          <w:szCs w:val="22"/>
        </w:rPr>
      </w:pPr>
      <w:r w:rsidRPr="00833B69">
        <w:rPr>
          <w:rFonts w:ascii="Andes" w:hAnsi="Andes" w:cs="Arial"/>
          <w:sz w:val="22"/>
          <w:szCs w:val="22"/>
        </w:rPr>
        <w:t>Les Plaintes doivent être présentées à l’Emprunteur dans les délais définis au paragraphe 3.1 de la présente Annexe.</w:t>
      </w:r>
    </w:p>
    <w:p w14:paraId="0F1E615F" w14:textId="77777777" w:rsidR="00AC56D8" w:rsidRPr="00833B69" w:rsidRDefault="00AC56D8" w:rsidP="00AC56D8">
      <w:pPr>
        <w:pStyle w:val="Paragraphedeliste"/>
        <w:numPr>
          <w:ilvl w:val="1"/>
          <w:numId w:val="239"/>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La teneur de la Plainte doit répondre aux conditions ci-après. Les Plaintes sont soumises, Par Écrit, à l’Emprunteur et précisent le nom et les coordonnées (y compris l’adresse) du plaignant. Par ailleurs, la Plainte </w:t>
      </w:r>
    </w:p>
    <w:p w14:paraId="1B8A2007" w14:textId="77777777" w:rsidR="00AC56D8" w:rsidRPr="00833B69" w:rsidRDefault="00AC56D8" w:rsidP="00AC56D8">
      <w:pPr>
        <w:pStyle w:val="Paragraphedeliste"/>
        <w:numPr>
          <w:ilvl w:val="0"/>
          <w:numId w:val="241"/>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précise globalement l’intérêt du plaignant vis-à-vis du processus de passation des marchés selon la définition du paragraphe 2.2 de la présente Annexe ; </w:t>
      </w:r>
    </w:p>
    <w:p w14:paraId="1CFB6DF5" w14:textId="77777777" w:rsidR="00AC56D8" w:rsidRPr="00833B69" w:rsidRDefault="00AC56D8" w:rsidP="00AC56D8">
      <w:pPr>
        <w:pStyle w:val="Paragraphedeliste"/>
        <w:numPr>
          <w:ilvl w:val="0"/>
          <w:numId w:val="241"/>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cite le projet concerné, le numéro de référence du marché, le stade d’avancement du processus et toute autre information pertinente ;</w:t>
      </w:r>
    </w:p>
    <w:p w14:paraId="74B6196E" w14:textId="77777777" w:rsidR="00AC56D8" w:rsidRPr="00833B69" w:rsidRDefault="00AC56D8" w:rsidP="00AC56D8">
      <w:pPr>
        <w:pStyle w:val="Paragraphedeliste"/>
        <w:numPr>
          <w:ilvl w:val="0"/>
          <w:numId w:val="241"/>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rappelle tout échange précédent entre le plaignant et l’Emprunteur portant sur les points abordés dans la Plainte ;</w:t>
      </w:r>
    </w:p>
    <w:p w14:paraId="08FA9177" w14:textId="77777777" w:rsidR="00AC56D8" w:rsidRPr="00833B69" w:rsidRDefault="00AC56D8" w:rsidP="00AC56D8">
      <w:pPr>
        <w:pStyle w:val="Paragraphedeliste"/>
        <w:numPr>
          <w:ilvl w:val="0"/>
          <w:numId w:val="241"/>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lastRenderedPageBreak/>
        <w:t xml:space="preserve">précise la nature de la Plainte et les conséquences négatives qui sont redoutées ; </w:t>
      </w:r>
    </w:p>
    <w:p w14:paraId="0FAB497E" w14:textId="77777777" w:rsidR="00AC56D8" w:rsidRPr="00833B69" w:rsidRDefault="00AC56D8" w:rsidP="00AC56D8">
      <w:pPr>
        <w:pStyle w:val="Paragraphedeliste"/>
        <w:numPr>
          <w:ilvl w:val="0"/>
          <w:numId w:val="241"/>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énonce l’allégation de défaut de conformité avec les règles applicables de passation des marchés ou de violation de ces règles. </w:t>
      </w:r>
    </w:p>
    <w:p w14:paraId="392F1049" w14:textId="77777777" w:rsidR="00AC56D8" w:rsidRPr="00833B69" w:rsidRDefault="00AC56D8" w:rsidP="00AC56D8">
      <w:pPr>
        <w:pStyle w:val="Paragraphedeliste"/>
        <w:numPr>
          <w:ilvl w:val="1"/>
          <w:numId w:val="239"/>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L’Emprunteur s’engage à accorder une attention rapide et objective à toute Plainte répondant aux conditions définies ci-dessus et transmise dans les délais indiqués au paragraphe 3.1 de la présente Annexe. </w:t>
      </w:r>
    </w:p>
    <w:p w14:paraId="5D908C1F" w14:textId="77777777" w:rsidR="00AC56D8" w:rsidRPr="00833B69" w:rsidRDefault="00AC56D8" w:rsidP="00AC56D8">
      <w:pPr>
        <w:pStyle w:val="Paragraphedeliste"/>
        <w:numPr>
          <w:ilvl w:val="1"/>
          <w:numId w:val="239"/>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Les Plaintes qui ne répondent pas aux conditions des paragraphes 2.2 à 2.4 de la présente Annexe seront traitées dans un délai raisonnable. Si lesdites Plaintes portent sur des marchés soumis à un examen préalable par la Banque, elles seront communiquées par l’Emprunteur à la Banque dans le but de déterminer une ligne d’action appropriée. </w:t>
      </w:r>
    </w:p>
    <w:p w14:paraId="0D5C65AB" w14:textId="77777777" w:rsidR="00AC56D8" w:rsidRPr="00833B69" w:rsidRDefault="00AC56D8" w:rsidP="00AC56D8">
      <w:pPr>
        <w:pStyle w:val="Paragraphedeliste"/>
        <w:numPr>
          <w:ilvl w:val="0"/>
          <w:numId w:val="239"/>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 xml:space="preserve">Délais et processus d’examen et de règlement des Plaintes </w:t>
      </w:r>
    </w:p>
    <w:p w14:paraId="2CB513E2" w14:textId="77777777" w:rsidR="00AC56D8" w:rsidRPr="00833B69" w:rsidRDefault="00AC56D8" w:rsidP="00AC56D8">
      <w:pPr>
        <w:pStyle w:val="Paragraphedeliste"/>
        <w:numPr>
          <w:ilvl w:val="1"/>
          <w:numId w:val="239"/>
        </w:numPr>
        <w:spacing w:before="0" w:line="240" w:lineRule="auto"/>
        <w:ind w:left="630" w:hanging="630"/>
        <w:contextualSpacing w:val="0"/>
        <w:rPr>
          <w:rFonts w:ascii="Andes" w:hAnsi="Andes" w:cs="Arial"/>
          <w:sz w:val="22"/>
          <w:szCs w:val="22"/>
        </w:rPr>
      </w:pPr>
      <w:r w:rsidRPr="00833B69">
        <w:rPr>
          <w:rFonts w:ascii="Andes" w:hAnsi="Andes" w:cs="Arial"/>
          <w:sz w:val="22"/>
          <w:szCs w:val="22"/>
        </w:rPr>
        <w:tab/>
        <w:t>Les Plaintes qui répondent aux conditions stipulées aux paragraphes 2.2 à 2.4 de la présente Annexe sont soumises aux délais et procédures indiqués ci-dessous. L’Emprunteur ne passe pas à l’étape suivante du processus de passation des marchés (notamment l’attribution du marché) tant que la Plainte n’a pas été traitée de manière satisfaisante.</w:t>
      </w:r>
    </w:p>
    <w:p w14:paraId="39C898DF" w14:textId="1F0BDD91" w:rsidR="00AC56D8" w:rsidRPr="00833B69" w:rsidRDefault="00AC56D8" w:rsidP="00AC56D8">
      <w:pPr>
        <w:pStyle w:val="Paragraphedeliste"/>
        <w:numPr>
          <w:ilvl w:val="0"/>
          <w:numId w:val="242"/>
        </w:numPr>
        <w:spacing w:before="0" w:line="240" w:lineRule="auto"/>
        <w:contextualSpacing w:val="0"/>
        <w:rPr>
          <w:rFonts w:ascii="Andes" w:eastAsiaTheme="minorHAnsi" w:hAnsi="Andes" w:cs="Arial"/>
          <w:sz w:val="22"/>
          <w:szCs w:val="22"/>
        </w:rPr>
      </w:pPr>
      <w:r w:rsidRPr="00833B69">
        <w:rPr>
          <w:rFonts w:ascii="Andes" w:eastAsiaTheme="minorHAnsi" w:hAnsi="Andes" w:cs="Arial"/>
          <w:b/>
          <w:color w:val="000000"/>
          <w:sz w:val="22"/>
          <w:szCs w:val="22"/>
        </w:rPr>
        <w:t xml:space="preserve">Les Plaintes contestant les conditions des dossiers de </w:t>
      </w:r>
      <w:r w:rsidR="000A7F1B">
        <w:rPr>
          <w:rFonts w:ascii="Andes" w:eastAsiaTheme="minorHAnsi" w:hAnsi="Andes" w:cs="Arial"/>
          <w:b/>
          <w:color w:val="000000"/>
          <w:sz w:val="22"/>
          <w:szCs w:val="22"/>
        </w:rPr>
        <w:t>Préqualification</w:t>
      </w:r>
      <w:r w:rsidRPr="00833B69">
        <w:rPr>
          <w:rFonts w:ascii="Andes" w:eastAsiaTheme="minorHAnsi" w:hAnsi="Andes" w:cs="Arial"/>
          <w:b/>
          <w:color w:val="000000"/>
          <w:sz w:val="22"/>
          <w:szCs w:val="22"/>
        </w:rPr>
        <w:t xml:space="preserve"> ou de sélection initiale, </w:t>
      </w:r>
      <w:r w:rsidRPr="00833B69">
        <w:rPr>
          <w:rFonts w:ascii="Andes" w:eastAsiaTheme="minorHAnsi" w:hAnsi="Andes" w:cs="Arial"/>
          <w:color w:val="000000"/>
          <w:sz w:val="22"/>
          <w:szCs w:val="22"/>
        </w:rPr>
        <w:t>les</w:t>
      </w:r>
      <w:r w:rsidRPr="00833B69">
        <w:rPr>
          <w:rFonts w:ascii="Andes" w:eastAsiaTheme="minorHAnsi" w:hAnsi="Andes" w:cs="Arial"/>
          <w:b/>
          <w:color w:val="000000"/>
          <w:sz w:val="22"/>
          <w:szCs w:val="22"/>
        </w:rPr>
        <w:t xml:space="preserve"> </w:t>
      </w:r>
      <w:r w:rsidRPr="00833B69">
        <w:rPr>
          <w:rFonts w:ascii="Andes" w:eastAsiaTheme="minorHAnsi" w:hAnsi="Andes" w:cs="Arial"/>
          <w:color w:val="000000"/>
          <w:sz w:val="22"/>
          <w:szCs w:val="22"/>
        </w:rPr>
        <w:t xml:space="preserve">dossiers d’appel à propositions ou tout autre document de l’Emprunteur relatif à un appel d’offres, un appel à propositions ou à candidatures doivent être soumises à l’Emprunteur avant la plus tardive des deux dates suivantes : au moins dix (10) jours ouvrables avant la date limite de dépôt des candidatures/soumissions/propositions ou dans un délai de cinq (5) Jours Ouvrables après la publication d’une modification des conditions. L’Emprunteur accuse réception par écrit de la Plainte sous trois (3) Jours Ouvrables, l’étudie et y répond dans un délai maximum de sept (7) Jours Ouvrables à compter de la date de réception de la Plainte. Si, en conséquence de l’examen de la Plainte, l’Emprunteur décide de modifier les documents de </w:t>
      </w:r>
      <w:r w:rsidR="000A7F1B">
        <w:rPr>
          <w:rFonts w:ascii="Andes" w:eastAsiaTheme="minorHAnsi" w:hAnsi="Andes" w:cs="Arial"/>
          <w:color w:val="000000"/>
          <w:sz w:val="22"/>
          <w:szCs w:val="22"/>
        </w:rPr>
        <w:t>Préqualification</w:t>
      </w:r>
      <w:r w:rsidRPr="00833B69">
        <w:rPr>
          <w:rFonts w:ascii="Andes" w:eastAsiaTheme="minorHAnsi" w:hAnsi="Andes" w:cs="Arial"/>
          <w:color w:val="000000"/>
          <w:sz w:val="22"/>
          <w:szCs w:val="22"/>
        </w:rPr>
        <w:t xml:space="preserve"> ou de sélection initiale, d’</w:t>
      </w:r>
      <w:r w:rsidR="002772E0">
        <w:rPr>
          <w:rFonts w:ascii="Andes" w:eastAsiaTheme="minorHAnsi" w:hAnsi="Andes" w:cs="Arial"/>
          <w:color w:val="000000"/>
          <w:sz w:val="22"/>
          <w:szCs w:val="22"/>
        </w:rPr>
        <w:t>A</w:t>
      </w:r>
      <w:r w:rsidRPr="00833B69">
        <w:rPr>
          <w:rFonts w:ascii="Andes" w:eastAsiaTheme="minorHAnsi" w:hAnsi="Andes" w:cs="Arial"/>
          <w:color w:val="000000"/>
          <w:sz w:val="22"/>
          <w:szCs w:val="22"/>
        </w:rPr>
        <w:t>ppel d’</w:t>
      </w:r>
      <w:r w:rsidR="002772E0">
        <w:rPr>
          <w:rFonts w:ascii="Andes" w:eastAsiaTheme="minorHAnsi" w:hAnsi="Andes" w:cs="Arial"/>
          <w:color w:val="000000"/>
          <w:sz w:val="22"/>
          <w:szCs w:val="22"/>
        </w:rPr>
        <w:t>O</w:t>
      </w:r>
      <w:r w:rsidRPr="00833B69">
        <w:rPr>
          <w:rFonts w:ascii="Andes" w:eastAsiaTheme="minorHAnsi" w:hAnsi="Andes" w:cs="Arial"/>
          <w:color w:val="000000"/>
          <w:sz w:val="22"/>
          <w:szCs w:val="22"/>
        </w:rPr>
        <w:t>ffres ou d’</w:t>
      </w:r>
      <w:r w:rsidR="002772E0">
        <w:rPr>
          <w:rFonts w:ascii="Andes" w:eastAsiaTheme="minorHAnsi" w:hAnsi="Andes" w:cs="Arial"/>
          <w:color w:val="000000"/>
          <w:sz w:val="22"/>
          <w:szCs w:val="22"/>
        </w:rPr>
        <w:t>A</w:t>
      </w:r>
      <w:r w:rsidRPr="00833B69">
        <w:rPr>
          <w:rFonts w:ascii="Andes" w:eastAsiaTheme="minorHAnsi" w:hAnsi="Andes" w:cs="Arial"/>
          <w:color w:val="000000"/>
          <w:sz w:val="22"/>
          <w:szCs w:val="22"/>
        </w:rPr>
        <w:t xml:space="preserve">ppel à </w:t>
      </w:r>
      <w:r w:rsidR="002772E0">
        <w:rPr>
          <w:rFonts w:ascii="Andes" w:eastAsiaTheme="minorHAnsi" w:hAnsi="Andes" w:cs="Arial"/>
          <w:color w:val="000000"/>
          <w:sz w:val="22"/>
          <w:szCs w:val="22"/>
        </w:rPr>
        <w:t>P</w:t>
      </w:r>
      <w:r w:rsidRPr="00833B69">
        <w:rPr>
          <w:rFonts w:ascii="Andes" w:eastAsiaTheme="minorHAnsi" w:hAnsi="Andes" w:cs="Arial"/>
          <w:color w:val="000000"/>
          <w:sz w:val="22"/>
          <w:szCs w:val="22"/>
        </w:rPr>
        <w:t>ropositions ou tout autre document, il émet un avenant et, si nécessaire, proroge le délai de transmission des candidatures/soumissions/propositions.</w:t>
      </w:r>
      <w:r w:rsidRPr="00833B69">
        <w:rPr>
          <w:rFonts w:ascii="Andes" w:eastAsiaTheme="minorHAnsi" w:hAnsi="Andes" w:cs="Arial"/>
          <w:sz w:val="22"/>
          <w:szCs w:val="22"/>
        </w:rPr>
        <w:t xml:space="preserve"> </w:t>
      </w:r>
    </w:p>
    <w:p w14:paraId="5F9D7FB2" w14:textId="77777777" w:rsidR="00AC56D8" w:rsidRPr="00833B69" w:rsidRDefault="00AC56D8" w:rsidP="00AC56D8">
      <w:pPr>
        <w:pStyle w:val="Paragraphedeliste"/>
        <w:numPr>
          <w:ilvl w:val="0"/>
          <w:numId w:val="242"/>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b/>
          <w:color w:val="000000"/>
          <w:sz w:val="22"/>
          <w:szCs w:val="22"/>
        </w:rPr>
        <w:t xml:space="preserve">Les Plaintes contestant une exclusion du processus en amont de l’attribution du marché </w:t>
      </w:r>
      <w:r w:rsidRPr="00833B69">
        <w:rPr>
          <w:rFonts w:ascii="Andes" w:eastAsiaTheme="minorHAnsi" w:hAnsi="Andes" w:cs="Arial"/>
          <w:color w:val="000000"/>
          <w:sz w:val="22"/>
          <w:szCs w:val="22"/>
        </w:rPr>
        <w:t>doivent être soumises à l’Emprunteur dans un délai de dix (10)</w:t>
      </w:r>
      <w:r w:rsidRPr="00833B69">
        <w:rPr>
          <w:rFonts w:ascii="Andes" w:eastAsiaTheme="minorHAnsi" w:hAnsi="Andes" w:cs="Arial"/>
          <w:b/>
          <w:color w:val="000000"/>
          <w:sz w:val="22"/>
          <w:szCs w:val="22"/>
        </w:rPr>
        <w:t xml:space="preserve"> </w:t>
      </w:r>
      <w:r w:rsidRPr="00833B69">
        <w:rPr>
          <w:rFonts w:ascii="Andes" w:eastAsiaTheme="minorHAnsi" w:hAnsi="Andes" w:cs="Arial"/>
          <w:color w:val="000000"/>
          <w:sz w:val="22"/>
          <w:szCs w:val="22"/>
        </w:rPr>
        <w:t>Jours Ouvrables après la transmission par l’Emprunteur à la partie intéressée de l’avis signifiant l’exclusion en question. L’Emprunteur accuse réception Par Écrit de la Plainte sous trois (3) Jours Ouvrables, l’étudie et y répond dans un délai maximum de sept (7) Jours Ouvrables à compter de la date de réception de la Plainte. Si, en conséquence de l’examen de la Plainte, l’Emprunteur modifie les résultats de l’étape ou de la phase précédente du processus de passation des marchés, il transmet dans les plus brefs délais un avis révisé des résultats d’évaluation à toutes les parties concernées pour les informer des étapes suivantes.</w:t>
      </w:r>
    </w:p>
    <w:p w14:paraId="3838C3F4" w14:textId="2CE89AD3" w:rsidR="00AC56D8" w:rsidRPr="00833B69" w:rsidRDefault="00AC56D8" w:rsidP="00AC56D8">
      <w:pPr>
        <w:pStyle w:val="Paragraphedeliste"/>
        <w:numPr>
          <w:ilvl w:val="0"/>
          <w:numId w:val="242"/>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b/>
          <w:color w:val="000000"/>
          <w:sz w:val="22"/>
          <w:szCs w:val="22"/>
        </w:rPr>
        <w:t xml:space="preserve">Les Plaintes faisant suite à la transmission de la Notification d’Intention d’Attribution de Marché </w:t>
      </w:r>
      <w:r w:rsidRPr="00882278">
        <w:rPr>
          <w:rFonts w:ascii="Andes" w:eastAsiaTheme="minorHAnsi" w:hAnsi="Andes" w:cs="Arial"/>
          <w:b/>
          <w:color w:val="000000"/>
          <w:sz w:val="22"/>
          <w:szCs w:val="22"/>
        </w:rPr>
        <w:t xml:space="preserve">(ou notification d’intention de conclure un </w:t>
      </w:r>
      <w:r w:rsidR="00D6020A" w:rsidRPr="00882278">
        <w:rPr>
          <w:rFonts w:ascii="Andes" w:eastAsiaTheme="minorHAnsi" w:hAnsi="Andes" w:cs="Arial"/>
          <w:b/>
          <w:color w:val="000000"/>
          <w:sz w:val="22"/>
          <w:szCs w:val="22"/>
        </w:rPr>
        <w:t>AC</w:t>
      </w:r>
      <w:r w:rsidRPr="00882278">
        <w:rPr>
          <w:rFonts w:ascii="Andes" w:eastAsiaTheme="minorHAnsi" w:hAnsi="Andes" w:cs="Arial"/>
          <w:b/>
          <w:color w:val="000000"/>
          <w:sz w:val="22"/>
          <w:szCs w:val="22"/>
        </w:rPr>
        <w:t>)</w:t>
      </w:r>
      <w:r w:rsidRPr="00833B69">
        <w:rPr>
          <w:rFonts w:ascii="Andes" w:eastAsiaTheme="minorHAnsi" w:hAnsi="Andes" w:cs="Arial"/>
          <w:color w:val="000000"/>
          <w:sz w:val="22"/>
          <w:szCs w:val="22"/>
        </w:rPr>
        <w:t xml:space="preserve"> doivent être soumises à l’Emprunteur avant la fin du délai </w:t>
      </w:r>
      <w:r w:rsidR="00463889">
        <w:rPr>
          <w:rFonts w:ascii="Andes" w:eastAsiaTheme="minorHAnsi" w:hAnsi="Andes" w:cs="Arial"/>
          <w:color w:val="000000"/>
          <w:sz w:val="22"/>
          <w:szCs w:val="22"/>
        </w:rPr>
        <w:t>d’attente</w:t>
      </w:r>
      <w:r w:rsidRPr="00833B69">
        <w:rPr>
          <w:rFonts w:ascii="Andes" w:eastAsiaTheme="minorHAnsi" w:hAnsi="Andes" w:cs="Arial"/>
          <w:color w:val="000000"/>
          <w:sz w:val="22"/>
          <w:szCs w:val="22"/>
        </w:rPr>
        <w:t>.</w:t>
      </w:r>
      <w:r w:rsidRPr="00833B69">
        <w:rPr>
          <w:rFonts w:eastAsiaTheme="minorHAnsi"/>
          <w:color w:val="000000"/>
          <w:sz w:val="22"/>
        </w:rPr>
        <w:t xml:space="preserve"> </w:t>
      </w:r>
      <w:r w:rsidRPr="00833B69">
        <w:rPr>
          <w:rFonts w:ascii="Andes" w:eastAsiaTheme="minorHAnsi" w:hAnsi="Andes" w:cs="Arial"/>
          <w:color w:val="000000"/>
          <w:sz w:val="22"/>
          <w:szCs w:val="22"/>
        </w:rPr>
        <w:t xml:space="preserve">L’Emprunteur accuse réception de la Plainte par écrit sous trois (3) Jours Ouvrables, l’étudie et y répond dans un délai maximum de quinze (15) Jours Ouvrables à compter de la date de réception de la Plainte. Si, en conséquence de l’examen de la Plainte, l’Emprunteur modifie sa recommandation d’attribution du marché, il transmet l’intention </w:t>
      </w:r>
      <w:r w:rsidRPr="00833B69">
        <w:rPr>
          <w:rFonts w:ascii="Andes" w:eastAsiaTheme="minorHAnsi" w:hAnsi="Andes" w:cs="Arial"/>
          <w:color w:val="000000"/>
          <w:sz w:val="22"/>
          <w:szCs w:val="22"/>
        </w:rPr>
        <w:lastRenderedPageBreak/>
        <w:t>révisée d’attribution à tous les Soumissionnaires/Proposants/Consultants précédemment avisés et procède à l’attribution du marché.</w:t>
      </w:r>
    </w:p>
    <w:p w14:paraId="74C23DE1" w14:textId="77777777" w:rsidR="00AC56D8" w:rsidRPr="00833B69" w:rsidRDefault="00AC56D8" w:rsidP="00AC56D8">
      <w:pPr>
        <w:pStyle w:val="Paragraphedeliste"/>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 xml:space="preserve">Plaintes relatives à un marché soumis à examen préalable </w:t>
      </w:r>
    </w:p>
    <w:p w14:paraId="5ACCE390" w14:textId="77777777" w:rsidR="00AC56D8" w:rsidRPr="00833B69" w:rsidRDefault="00AC56D8" w:rsidP="00AC56D8">
      <w:pPr>
        <w:pStyle w:val="Paragraphedeliste"/>
        <w:numPr>
          <w:ilvl w:val="1"/>
          <w:numId w:val="239"/>
        </w:numPr>
        <w:spacing w:before="0" w:line="240" w:lineRule="auto"/>
        <w:ind w:left="630" w:hanging="630"/>
        <w:contextualSpacing w:val="0"/>
        <w:rPr>
          <w:rFonts w:ascii="Andes" w:hAnsi="Andes" w:cs="Arial"/>
          <w:sz w:val="22"/>
          <w:szCs w:val="22"/>
        </w:rPr>
      </w:pPr>
      <w:r w:rsidRPr="00833B69">
        <w:rPr>
          <w:rFonts w:ascii="Andes" w:hAnsi="Andes" w:cs="Arial"/>
          <w:sz w:val="22"/>
          <w:szCs w:val="22"/>
        </w:rPr>
        <w:t>S’agissant des marchés soumis à examen préalable, l’Emprunteur informe la Banque, dans les plus brefs délais, de la réception d’une Plainte et transmet à la Banque pour examen l’ensemble des informations et documents pertinents, notamment le projet de réponse au plaignant dès que celui-ci est prêt.</w:t>
      </w:r>
    </w:p>
    <w:p w14:paraId="0142EADA" w14:textId="77777777" w:rsidR="00AC56D8" w:rsidRPr="00833B69" w:rsidRDefault="00AC56D8" w:rsidP="00AC56D8">
      <w:pPr>
        <w:pStyle w:val="Paragraphedeliste"/>
        <w:numPr>
          <w:ilvl w:val="1"/>
          <w:numId w:val="239"/>
        </w:numPr>
        <w:spacing w:before="0" w:line="240" w:lineRule="auto"/>
        <w:ind w:left="630" w:hanging="630"/>
        <w:contextualSpacing w:val="0"/>
        <w:rPr>
          <w:rFonts w:ascii="Andes" w:hAnsi="Andes" w:cs="Arial"/>
          <w:sz w:val="22"/>
          <w:szCs w:val="22"/>
        </w:rPr>
      </w:pPr>
      <w:r w:rsidRPr="00833B69">
        <w:rPr>
          <w:rFonts w:ascii="Andes" w:hAnsi="Andes" w:cs="Arial"/>
          <w:sz w:val="22"/>
          <w:szCs w:val="22"/>
        </w:rPr>
        <w:t>Si l’examen de la Plainte par l’Emprunteur conduit à</w:t>
      </w:r>
    </w:p>
    <w:p w14:paraId="7F385102" w14:textId="19003DBB" w:rsidR="00AC56D8" w:rsidRPr="00833B69" w:rsidRDefault="00AC56D8" w:rsidP="00AC56D8">
      <w:pPr>
        <w:pStyle w:val="Paragraphedeliste"/>
        <w:numPr>
          <w:ilvl w:val="0"/>
          <w:numId w:val="243"/>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une modification du dossier de </w:t>
      </w:r>
      <w:r w:rsidR="000A7F1B">
        <w:rPr>
          <w:rFonts w:ascii="Andes" w:eastAsiaTheme="minorHAnsi" w:hAnsi="Andes" w:cs="Arial"/>
          <w:color w:val="000000"/>
          <w:sz w:val="22"/>
          <w:szCs w:val="22"/>
        </w:rPr>
        <w:t>Préqualification</w:t>
      </w:r>
      <w:r w:rsidRPr="00833B69">
        <w:rPr>
          <w:rFonts w:ascii="Andes" w:eastAsiaTheme="minorHAnsi" w:hAnsi="Andes" w:cs="Arial"/>
          <w:color w:val="000000"/>
          <w:sz w:val="22"/>
          <w:szCs w:val="22"/>
        </w:rPr>
        <w:t xml:space="preserve"> ou de sélection initiale, d’</w:t>
      </w:r>
      <w:r w:rsidR="00914403">
        <w:rPr>
          <w:rFonts w:ascii="Andes" w:eastAsiaTheme="minorHAnsi" w:hAnsi="Andes" w:cs="Arial"/>
          <w:color w:val="000000"/>
          <w:sz w:val="22"/>
          <w:szCs w:val="22"/>
        </w:rPr>
        <w:t>A</w:t>
      </w:r>
      <w:r w:rsidRPr="00833B69">
        <w:rPr>
          <w:rFonts w:ascii="Andes" w:eastAsiaTheme="minorHAnsi" w:hAnsi="Andes" w:cs="Arial"/>
          <w:color w:val="000000"/>
          <w:sz w:val="22"/>
          <w:szCs w:val="22"/>
        </w:rPr>
        <w:t>ppel d’</w:t>
      </w:r>
      <w:r w:rsidR="00914403">
        <w:rPr>
          <w:rFonts w:ascii="Andes" w:eastAsiaTheme="minorHAnsi" w:hAnsi="Andes" w:cs="Arial"/>
          <w:color w:val="000000"/>
          <w:sz w:val="22"/>
          <w:szCs w:val="22"/>
        </w:rPr>
        <w:t>O</w:t>
      </w:r>
      <w:r w:rsidRPr="00833B69">
        <w:rPr>
          <w:rFonts w:ascii="Andes" w:eastAsiaTheme="minorHAnsi" w:hAnsi="Andes" w:cs="Arial"/>
          <w:color w:val="000000"/>
          <w:sz w:val="22"/>
          <w:szCs w:val="22"/>
        </w:rPr>
        <w:t>ffres ou d’</w:t>
      </w:r>
      <w:r w:rsidR="00914403">
        <w:rPr>
          <w:rFonts w:ascii="Andes" w:eastAsiaTheme="minorHAnsi" w:hAnsi="Andes" w:cs="Arial"/>
          <w:color w:val="000000"/>
          <w:sz w:val="22"/>
          <w:szCs w:val="22"/>
        </w:rPr>
        <w:t>A</w:t>
      </w:r>
      <w:r w:rsidRPr="00833B69">
        <w:rPr>
          <w:rFonts w:ascii="Andes" w:eastAsiaTheme="minorHAnsi" w:hAnsi="Andes" w:cs="Arial"/>
          <w:color w:val="000000"/>
          <w:sz w:val="22"/>
          <w:szCs w:val="22"/>
        </w:rPr>
        <w:t xml:space="preserve">ppel à </w:t>
      </w:r>
      <w:r w:rsidR="00914403">
        <w:rPr>
          <w:rFonts w:ascii="Andes" w:eastAsiaTheme="minorHAnsi" w:hAnsi="Andes" w:cs="Arial"/>
          <w:color w:val="000000"/>
          <w:sz w:val="22"/>
          <w:szCs w:val="22"/>
        </w:rPr>
        <w:t>P</w:t>
      </w:r>
      <w:r w:rsidRPr="00833B69">
        <w:rPr>
          <w:rFonts w:ascii="Andes" w:eastAsiaTheme="minorHAnsi" w:hAnsi="Andes" w:cs="Arial"/>
          <w:color w:val="000000"/>
          <w:sz w:val="22"/>
          <w:szCs w:val="22"/>
        </w:rPr>
        <w:t xml:space="preserve">ropositions ou de tout autre document selon les indications du paragraphe 3.1 a. de la présente Annexe ; </w:t>
      </w:r>
    </w:p>
    <w:p w14:paraId="2E88B330" w14:textId="679C951A" w:rsidR="00AC56D8" w:rsidRPr="00833B69" w:rsidRDefault="00AC56D8" w:rsidP="00AC56D8">
      <w:pPr>
        <w:pStyle w:val="Paragraphedeliste"/>
        <w:numPr>
          <w:ilvl w:val="0"/>
          <w:numId w:val="243"/>
        </w:numPr>
        <w:spacing w:before="0" w:line="240" w:lineRule="auto"/>
        <w:contextualSpacing w:val="0"/>
        <w:rPr>
          <w:rFonts w:ascii="Andes" w:eastAsiaTheme="minorHAnsi" w:hAnsi="Andes" w:cs="Arial"/>
          <w:sz w:val="22"/>
          <w:szCs w:val="22"/>
        </w:rPr>
      </w:pPr>
      <w:r w:rsidRPr="00833B69">
        <w:rPr>
          <w:rFonts w:ascii="Andes" w:eastAsiaTheme="minorHAnsi" w:hAnsi="Andes" w:cs="Arial"/>
          <w:color w:val="000000"/>
          <w:sz w:val="22"/>
          <w:szCs w:val="22"/>
        </w:rPr>
        <w:t>une modification de la décision de l’Emprunteur d’exclure un Candidat/</w:t>
      </w:r>
      <w:r w:rsidR="00D95177">
        <w:rPr>
          <w:rFonts w:ascii="Andes" w:eastAsiaTheme="minorHAnsi" w:hAnsi="Andes" w:cs="Arial"/>
          <w:color w:val="000000"/>
          <w:sz w:val="22"/>
          <w:szCs w:val="22"/>
        </w:rPr>
        <w:t xml:space="preserve"> </w:t>
      </w:r>
      <w:r w:rsidRPr="00833B69">
        <w:rPr>
          <w:rFonts w:ascii="Andes" w:eastAsiaTheme="minorHAnsi" w:hAnsi="Andes" w:cs="Arial"/>
          <w:color w:val="000000"/>
          <w:sz w:val="22"/>
          <w:szCs w:val="22"/>
        </w:rPr>
        <w:t>Soumissionnaire/</w:t>
      </w:r>
      <w:r w:rsidR="00D95177">
        <w:rPr>
          <w:rFonts w:ascii="Andes" w:eastAsiaTheme="minorHAnsi" w:hAnsi="Andes" w:cs="Arial"/>
          <w:color w:val="000000"/>
          <w:sz w:val="22"/>
          <w:szCs w:val="22"/>
        </w:rPr>
        <w:t xml:space="preserve"> </w:t>
      </w:r>
      <w:r w:rsidRPr="00833B69">
        <w:rPr>
          <w:rFonts w:ascii="Andes" w:eastAsiaTheme="minorHAnsi" w:hAnsi="Andes" w:cs="Arial"/>
          <w:color w:val="000000"/>
          <w:sz w:val="22"/>
          <w:szCs w:val="22"/>
        </w:rPr>
        <w:t>Proposant/Consultant selon les indications du paragraphe 3.1 b. de la présente Annexe ;</w:t>
      </w:r>
      <w:r w:rsidRPr="00833B69">
        <w:rPr>
          <w:rFonts w:ascii="Andes" w:eastAsiaTheme="minorHAnsi" w:hAnsi="Andes" w:cs="Arial"/>
          <w:sz w:val="22"/>
          <w:szCs w:val="22"/>
        </w:rPr>
        <w:t xml:space="preserve"> </w:t>
      </w:r>
      <w:r w:rsidR="00726BFB">
        <w:rPr>
          <w:rFonts w:ascii="Andes" w:eastAsiaTheme="minorHAnsi" w:hAnsi="Andes" w:cs="Arial"/>
          <w:sz w:val="22"/>
          <w:szCs w:val="22"/>
        </w:rPr>
        <w:t>ou</w:t>
      </w:r>
    </w:p>
    <w:p w14:paraId="4D4F0863" w14:textId="77777777" w:rsidR="00AC56D8" w:rsidRPr="00833B69" w:rsidRDefault="00AC56D8" w:rsidP="00AC56D8">
      <w:pPr>
        <w:pStyle w:val="Paragraphedeliste"/>
        <w:numPr>
          <w:ilvl w:val="0"/>
          <w:numId w:val="243"/>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une modification de la recommandation d’attribution du marché par l’Emprunteur selon les indications du paragraphe 3.1. c de la présente Annexe ; </w:t>
      </w:r>
    </w:p>
    <w:p w14:paraId="6C019089" w14:textId="04CCF27F" w:rsidR="00AC56D8" w:rsidRPr="00746A5D" w:rsidRDefault="00AC56D8" w:rsidP="00746A5D">
      <w:pPr>
        <w:spacing w:before="0" w:line="240" w:lineRule="auto"/>
        <w:ind w:left="907"/>
        <w:contextualSpacing w:val="0"/>
        <w:rPr>
          <w:rFonts w:ascii="Andes" w:eastAsiaTheme="minorHAnsi" w:hAnsi="Andes" w:cs="Arial"/>
          <w:color w:val="000000"/>
          <w:sz w:val="22"/>
          <w:szCs w:val="22"/>
        </w:rPr>
      </w:pPr>
      <w:r w:rsidRPr="00746A5D">
        <w:rPr>
          <w:rFonts w:ascii="Andes" w:eastAsiaTheme="minorHAnsi" w:hAnsi="Andes" w:cs="Arial"/>
          <w:color w:val="000000"/>
          <w:sz w:val="22"/>
          <w:szCs w:val="22"/>
        </w:rPr>
        <w:t>après confirmation par la Banque du règlement satisfaisant de la Plainte, l’Emprunteur</w:t>
      </w:r>
      <w:r w:rsidR="00746A5D">
        <w:rPr>
          <w:rFonts w:ascii="Calibri" w:eastAsiaTheme="minorHAnsi" w:hAnsi="Calibri" w:cs="Calibri"/>
          <w:color w:val="000000"/>
          <w:sz w:val="22"/>
          <w:szCs w:val="22"/>
        </w:rPr>
        <w:t> </w:t>
      </w:r>
      <w:r w:rsidR="00746A5D">
        <w:rPr>
          <w:rFonts w:ascii="Andes" w:eastAsiaTheme="minorHAnsi" w:hAnsi="Andes" w:cs="Arial"/>
          <w:color w:val="000000"/>
          <w:sz w:val="22"/>
          <w:szCs w:val="22"/>
        </w:rPr>
        <w:t>:</w:t>
      </w:r>
    </w:p>
    <w:p w14:paraId="1312B80E" w14:textId="77777777" w:rsidR="00AC56D8" w:rsidRPr="00833B69" w:rsidRDefault="00AC56D8" w:rsidP="00746A5D">
      <w:pPr>
        <w:pStyle w:val="Paragraphedeliste"/>
        <w:numPr>
          <w:ilvl w:val="0"/>
          <w:numId w:val="278"/>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émet un avenant et, si nécessaire, proroge le délai de dépôt des candidatures, offres ou propositions ; ou </w:t>
      </w:r>
    </w:p>
    <w:p w14:paraId="502BB44C" w14:textId="77777777" w:rsidR="00AC56D8" w:rsidRPr="00833B69" w:rsidRDefault="00AC56D8" w:rsidP="00746A5D">
      <w:pPr>
        <w:pStyle w:val="Paragraphedeliste"/>
        <w:numPr>
          <w:ilvl w:val="0"/>
          <w:numId w:val="278"/>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transmet à la Banque un rapport d’évaluation révisé dans les plus brefs délais. </w:t>
      </w:r>
    </w:p>
    <w:p w14:paraId="37B09ED4" w14:textId="77777777" w:rsidR="00AC56D8" w:rsidRPr="00833B69" w:rsidRDefault="00AC56D8" w:rsidP="00AC56D8">
      <w:pPr>
        <w:pStyle w:val="Paragraphedeliste"/>
        <w:numPr>
          <w:ilvl w:val="1"/>
          <w:numId w:val="239"/>
        </w:numPr>
        <w:spacing w:before="0" w:line="240" w:lineRule="auto"/>
        <w:ind w:left="630" w:hanging="630"/>
        <w:contextualSpacing w:val="0"/>
        <w:rPr>
          <w:rFonts w:ascii="Andes" w:hAnsi="Andes" w:cs="Arial"/>
          <w:sz w:val="22"/>
          <w:szCs w:val="22"/>
        </w:rPr>
      </w:pPr>
      <w:r w:rsidRPr="00833B69">
        <w:rPr>
          <w:rFonts w:ascii="Andes" w:hAnsi="Andes" w:cs="Arial"/>
          <w:sz w:val="22"/>
          <w:szCs w:val="22"/>
        </w:rPr>
        <w:t>L’Emprunteur ne passe pas à l’étape/la phase suivante du processus de passation des marchés, notamment à l’attribution du marché, tant qu’il n’a pas reçu de la Banque confirmation du règlement satisfaisant de la Plainte ou des Plaintes.</w:t>
      </w:r>
    </w:p>
    <w:p w14:paraId="0DC9EEFB" w14:textId="560C8283" w:rsidR="00AC56D8" w:rsidRPr="00833B69" w:rsidRDefault="00AC56D8" w:rsidP="00AC56D8">
      <w:pPr>
        <w:pStyle w:val="Paragraphedeliste"/>
        <w:numPr>
          <w:ilvl w:val="1"/>
          <w:numId w:val="239"/>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Nonobstant les stipulations du paragraphe 3.4 de la présente Annexe, s’agissant des Plaintes contestant les dossiers de </w:t>
      </w:r>
      <w:r w:rsidR="000A7F1B">
        <w:rPr>
          <w:rFonts w:ascii="Andes" w:hAnsi="Andes" w:cs="Arial"/>
          <w:sz w:val="22"/>
          <w:szCs w:val="22"/>
        </w:rPr>
        <w:t>Préqualification</w:t>
      </w:r>
      <w:r w:rsidRPr="00833B69">
        <w:rPr>
          <w:rFonts w:ascii="Andes" w:hAnsi="Andes" w:cs="Arial"/>
          <w:sz w:val="22"/>
          <w:szCs w:val="22"/>
        </w:rPr>
        <w:t xml:space="preserve"> ou de sélection initiale, d’</w:t>
      </w:r>
      <w:r w:rsidR="000930BE">
        <w:rPr>
          <w:rFonts w:ascii="Andes" w:hAnsi="Andes" w:cs="Arial"/>
          <w:sz w:val="22"/>
          <w:szCs w:val="22"/>
        </w:rPr>
        <w:t>A</w:t>
      </w:r>
      <w:r w:rsidRPr="00833B69">
        <w:rPr>
          <w:rFonts w:ascii="Andes" w:hAnsi="Andes" w:cs="Arial"/>
          <w:sz w:val="22"/>
          <w:szCs w:val="22"/>
        </w:rPr>
        <w:t>ppel d’</w:t>
      </w:r>
      <w:r w:rsidR="000930BE">
        <w:rPr>
          <w:rFonts w:ascii="Andes" w:hAnsi="Andes" w:cs="Arial"/>
          <w:sz w:val="22"/>
          <w:szCs w:val="22"/>
        </w:rPr>
        <w:t>O</w:t>
      </w:r>
      <w:r w:rsidRPr="00833B69">
        <w:rPr>
          <w:rFonts w:ascii="Andes" w:hAnsi="Andes" w:cs="Arial"/>
          <w:sz w:val="22"/>
          <w:szCs w:val="22"/>
        </w:rPr>
        <w:t>ffres ou d’</w:t>
      </w:r>
      <w:r w:rsidR="000930BE">
        <w:rPr>
          <w:rFonts w:ascii="Andes" w:hAnsi="Andes" w:cs="Arial"/>
          <w:sz w:val="22"/>
          <w:szCs w:val="22"/>
        </w:rPr>
        <w:t>A</w:t>
      </w:r>
      <w:r w:rsidRPr="00833B69">
        <w:rPr>
          <w:rFonts w:ascii="Andes" w:hAnsi="Andes" w:cs="Arial"/>
          <w:sz w:val="22"/>
          <w:szCs w:val="22"/>
        </w:rPr>
        <w:t xml:space="preserve">ppel à </w:t>
      </w:r>
      <w:r w:rsidR="000930BE">
        <w:rPr>
          <w:rFonts w:ascii="Andes" w:hAnsi="Andes" w:cs="Arial"/>
          <w:sz w:val="22"/>
          <w:szCs w:val="22"/>
        </w:rPr>
        <w:t>P</w:t>
      </w:r>
      <w:r w:rsidRPr="00833B69">
        <w:rPr>
          <w:rFonts w:ascii="Andes" w:hAnsi="Andes" w:cs="Arial"/>
          <w:sz w:val="22"/>
          <w:szCs w:val="22"/>
        </w:rPr>
        <w:t>ropositions ou tout autre document du même type, ou contestant une exclusion en amont de l’attribution, l’Emprunteur prend contact avec la Banque pour déterminer quelles étapes du processus de passation des marchés peuvent éventuellement se poursuivre pendant que la Plainte est examinée.</w:t>
      </w:r>
    </w:p>
    <w:p w14:paraId="16E1BCFF" w14:textId="77777777" w:rsidR="00AC56D8" w:rsidRPr="00833B69" w:rsidRDefault="00AC56D8" w:rsidP="00AC56D8">
      <w:pPr>
        <w:pStyle w:val="Paragraphedeliste"/>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 xml:space="preserve">Règlement des Plaintes </w:t>
      </w:r>
    </w:p>
    <w:p w14:paraId="6D1C43BF" w14:textId="72885968" w:rsidR="00AC56D8" w:rsidRPr="00833B69" w:rsidRDefault="00AC56D8" w:rsidP="00AC56D8">
      <w:pPr>
        <w:pStyle w:val="Paragraphedeliste"/>
        <w:numPr>
          <w:ilvl w:val="1"/>
          <w:numId w:val="239"/>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Dans le cadre du règlement des Plaintes, l’Emprunteur s’engage à effectuer un examen rapide et raisonnable de la Plainte, incluant l’étude de tous les documents, faits et </w:t>
      </w:r>
      <w:proofErr w:type="gramStart"/>
      <w:r w:rsidRPr="00833B69">
        <w:rPr>
          <w:rFonts w:ascii="Andes" w:hAnsi="Andes" w:cs="Arial"/>
          <w:sz w:val="22"/>
          <w:szCs w:val="22"/>
        </w:rPr>
        <w:t>circonstances pertinents</w:t>
      </w:r>
      <w:proofErr w:type="gramEnd"/>
      <w:r w:rsidRPr="00833B69">
        <w:rPr>
          <w:rFonts w:ascii="Andes" w:hAnsi="Andes" w:cs="Arial"/>
          <w:sz w:val="22"/>
          <w:szCs w:val="22"/>
        </w:rPr>
        <w:t xml:space="preserve">. Dans sa réponse au plaignant, l’Emprunteur </w:t>
      </w:r>
      <w:proofErr w:type="gramStart"/>
      <w:r w:rsidRPr="00833B69">
        <w:rPr>
          <w:rFonts w:ascii="Andes" w:hAnsi="Andes" w:cs="Arial"/>
          <w:sz w:val="22"/>
          <w:szCs w:val="22"/>
        </w:rPr>
        <w:t>donne</w:t>
      </w:r>
      <w:proofErr w:type="gramEnd"/>
      <w:r w:rsidRPr="00833B69">
        <w:rPr>
          <w:rFonts w:ascii="Andes" w:hAnsi="Andes" w:cs="Arial"/>
          <w:sz w:val="22"/>
          <w:szCs w:val="22"/>
        </w:rPr>
        <w:t xml:space="preserve"> des informations suffisantes tout en respectant l’obligation de confidentialité définie aux </w:t>
      </w:r>
      <w:r w:rsidR="0077678C">
        <w:rPr>
          <w:rFonts w:ascii="Andes" w:hAnsi="Andes" w:cs="Arial"/>
          <w:sz w:val="22"/>
          <w:szCs w:val="22"/>
        </w:rPr>
        <w:t>P</w:t>
      </w:r>
      <w:r w:rsidRPr="00833B69">
        <w:rPr>
          <w:rFonts w:ascii="Andes" w:hAnsi="Andes" w:cs="Arial"/>
          <w:sz w:val="22"/>
          <w:szCs w:val="22"/>
        </w:rPr>
        <w:t>aragraphes 5.19 et 5.20. Toute réponse à une Plainte comprend au minimum les éléments suivants :</w:t>
      </w:r>
    </w:p>
    <w:p w14:paraId="705FF0AB" w14:textId="77777777" w:rsidR="00AC56D8" w:rsidRPr="00833B69" w:rsidRDefault="00AC56D8" w:rsidP="00AC56D8">
      <w:pPr>
        <w:pStyle w:val="Paragraphedeliste"/>
        <w:numPr>
          <w:ilvl w:val="0"/>
          <w:numId w:val="244"/>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u w:val="single"/>
        </w:rPr>
        <w:t>énoncé des questions en litige</w:t>
      </w:r>
      <w:r w:rsidRPr="00833B69">
        <w:rPr>
          <w:rFonts w:ascii="Andes" w:eastAsiaTheme="minorHAnsi" w:hAnsi="Andes" w:cs="Arial"/>
          <w:color w:val="000000"/>
          <w:sz w:val="22"/>
          <w:szCs w:val="22"/>
        </w:rPr>
        <w:t> : préciser les points soulevés par le plaignant qui doivent être traités ;</w:t>
      </w:r>
    </w:p>
    <w:p w14:paraId="2BA0BABF" w14:textId="199D480B" w:rsidR="00AC56D8" w:rsidRPr="00833B69" w:rsidRDefault="00AC56D8" w:rsidP="00AC56D8">
      <w:pPr>
        <w:pStyle w:val="Paragraphedeliste"/>
        <w:numPr>
          <w:ilvl w:val="0"/>
          <w:numId w:val="244"/>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u w:val="single"/>
        </w:rPr>
        <w:t>faits et éléments de preuve</w:t>
      </w:r>
      <w:r w:rsidRPr="00833B69">
        <w:rPr>
          <w:rFonts w:ascii="Andes" w:eastAsiaTheme="minorHAnsi" w:hAnsi="Andes" w:cs="Arial"/>
          <w:color w:val="000000"/>
          <w:sz w:val="22"/>
          <w:szCs w:val="22"/>
        </w:rPr>
        <w:t> : préciser les faits et les éléments de preuve qui, de l’avis de l’Emprunteur, sont utiles au règlement de la Plainte. Ces faits et éléments de preuve sont présentés sous la forme d’un paragraphe rédigé et organisé autour des questions en litige ;</w:t>
      </w:r>
    </w:p>
    <w:p w14:paraId="5028F725" w14:textId="77777777" w:rsidR="00AC56D8" w:rsidRPr="00833B69" w:rsidRDefault="00AC56D8" w:rsidP="00AC56D8">
      <w:pPr>
        <w:pStyle w:val="Paragraphedeliste"/>
        <w:numPr>
          <w:ilvl w:val="0"/>
          <w:numId w:val="244"/>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u w:val="single"/>
        </w:rPr>
        <w:lastRenderedPageBreak/>
        <w:t>décision et mention du fondement de la décision</w:t>
      </w:r>
      <w:r w:rsidRPr="00833B69">
        <w:rPr>
          <w:rFonts w:ascii="Andes" w:eastAsiaTheme="minorHAnsi" w:hAnsi="Andes" w:cs="Arial"/>
          <w:color w:val="000000"/>
          <w:sz w:val="22"/>
          <w:szCs w:val="22"/>
        </w:rPr>
        <w:t> : énoncer la décision prise à l’issue de l’examen. Mentionner en outre le fondement de la décision (Règlement de Passation des Marchés, DTPM relatif au marché en question, etc.). La réponse doit faire état du fondement de la décision de manière aussi précise que possible ;</w:t>
      </w:r>
    </w:p>
    <w:p w14:paraId="4E9E2467" w14:textId="77777777" w:rsidR="00AC56D8" w:rsidRPr="00833B69" w:rsidRDefault="00AC56D8" w:rsidP="00AC56D8">
      <w:pPr>
        <w:pStyle w:val="Paragraphedeliste"/>
        <w:numPr>
          <w:ilvl w:val="0"/>
          <w:numId w:val="244"/>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u w:val="single"/>
        </w:rPr>
        <w:t>analyse</w:t>
      </w:r>
      <w:r w:rsidRPr="00833B69">
        <w:rPr>
          <w:rFonts w:ascii="Andes" w:eastAsiaTheme="minorHAnsi" w:hAnsi="Andes" w:cs="Arial"/>
          <w:color w:val="000000"/>
          <w:sz w:val="22"/>
          <w:szCs w:val="22"/>
        </w:rPr>
        <w:t> : fournir une explication de la raison pour laquelle le fondement de la décision appliqué aux faits/questions soulevés dans la Plainte nécessite la décision stipulée. L’analyse peut être courte, sous réserve qu’elle soit claire et identifie chacune des questions qui ont été traitées pour parvenir à la réponse ;</w:t>
      </w:r>
    </w:p>
    <w:p w14:paraId="23E754B8" w14:textId="77777777" w:rsidR="00AC56D8" w:rsidRPr="00833B69" w:rsidRDefault="00AC56D8" w:rsidP="00AC56D8">
      <w:pPr>
        <w:pStyle w:val="Paragraphedeliste"/>
        <w:numPr>
          <w:ilvl w:val="0"/>
          <w:numId w:val="244"/>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u w:val="single"/>
        </w:rPr>
        <w:t>conclusion</w:t>
      </w:r>
      <w:r w:rsidRPr="00833B69">
        <w:rPr>
          <w:rFonts w:ascii="Andes" w:eastAsiaTheme="minorHAnsi" w:hAnsi="Andes" w:cs="Arial"/>
          <w:color w:val="000000"/>
          <w:sz w:val="22"/>
          <w:szCs w:val="22"/>
        </w:rPr>
        <w:t xml:space="preserve"> : énoncer clairement la réponse donnée en règlement de la Plainte et décrire les étapes qui vont suivre. </w:t>
      </w:r>
    </w:p>
    <w:p w14:paraId="7CA9CD63" w14:textId="77777777" w:rsidR="00AC56D8" w:rsidRPr="00833B69" w:rsidRDefault="00AC56D8" w:rsidP="00AC56D8">
      <w:pPr>
        <w:pStyle w:val="Paragraphedeliste"/>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Rôles et responsabilités de l’Emprunteur</w:t>
      </w:r>
    </w:p>
    <w:p w14:paraId="19395829" w14:textId="77777777" w:rsidR="00AC56D8" w:rsidRPr="00833B69" w:rsidRDefault="00AC56D8" w:rsidP="00AC56D8">
      <w:pPr>
        <w:pStyle w:val="Paragraphedeliste"/>
        <w:numPr>
          <w:ilvl w:val="1"/>
          <w:numId w:val="239"/>
        </w:numPr>
        <w:spacing w:before="0" w:line="240" w:lineRule="auto"/>
        <w:ind w:left="630" w:hanging="630"/>
        <w:contextualSpacing w:val="0"/>
        <w:rPr>
          <w:rFonts w:ascii="Andes" w:hAnsi="Andes" w:cs="Arial"/>
          <w:sz w:val="22"/>
          <w:szCs w:val="22"/>
        </w:rPr>
      </w:pPr>
      <w:r w:rsidRPr="00833B69">
        <w:rPr>
          <w:rFonts w:ascii="Andes" w:hAnsi="Andes" w:cs="Arial"/>
          <w:sz w:val="22"/>
          <w:szCs w:val="22"/>
        </w:rPr>
        <w:t>S’agissant des Plaintes visées par la présente Annexe, les rôles et responsabilités de l’Emprunteur sont notamment les suivants :</w:t>
      </w:r>
    </w:p>
    <w:p w14:paraId="47F7E6D9" w14:textId="77777777" w:rsidR="00AC56D8" w:rsidRPr="00833B69" w:rsidRDefault="00AC56D8" w:rsidP="00AC56D8">
      <w:pPr>
        <w:pStyle w:val="Paragraphedeliste"/>
        <w:numPr>
          <w:ilvl w:val="0"/>
          <w:numId w:val="245"/>
        </w:numPr>
        <w:spacing w:before="0" w:line="240" w:lineRule="auto"/>
        <w:contextualSpacing w:val="0"/>
        <w:rPr>
          <w:rFonts w:ascii="Andes" w:eastAsiaTheme="minorHAnsi" w:hAnsi="Andes" w:cs="Arial"/>
          <w:sz w:val="22"/>
          <w:szCs w:val="22"/>
        </w:rPr>
      </w:pPr>
      <w:r w:rsidRPr="00833B69">
        <w:rPr>
          <w:rFonts w:ascii="Andes" w:eastAsiaTheme="minorHAnsi" w:hAnsi="Andes" w:cs="Arial"/>
          <w:color w:val="000000"/>
          <w:sz w:val="22"/>
          <w:szCs w:val="22"/>
        </w:rPr>
        <w:t xml:space="preserve">transmettre rapidement des informations suffisantes aux Soumissionnaires/Proposants/Consultants, notamment par le biais de la Notification d’Intention d’Attribution de Marché et </w:t>
      </w:r>
      <w:r>
        <w:rPr>
          <w:rFonts w:ascii="Andes" w:eastAsiaTheme="minorHAnsi" w:hAnsi="Andes" w:cs="Arial"/>
          <w:color w:val="000000"/>
          <w:sz w:val="22"/>
          <w:szCs w:val="22"/>
        </w:rPr>
        <w:t>des</w:t>
      </w:r>
      <w:r w:rsidRPr="00A26F54">
        <w:rPr>
          <w:rFonts w:ascii="Andes" w:eastAsiaTheme="minorHAnsi" w:hAnsi="Andes" w:cs="Arial"/>
          <w:color w:val="000000"/>
          <w:sz w:val="22"/>
          <w:szCs w:val="22"/>
        </w:rPr>
        <w:t xml:space="preserve"> </w:t>
      </w:r>
      <w:r>
        <w:rPr>
          <w:rFonts w:ascii="Andes" w:eastAsiaTheme="minorHAnsi" w:hAnsi="Andes" w:cs="Arial"/>
          <w:color w:val="000000"/>
          <w:sz w:val="22"/>
          <w:szCs w:val="22"/>
        </w:rPr>
        <w:t>débriefings</w:t>
      </w:r>
      <w:r w:rsidRPr="00833B69">
        <w:rPr>
          <w:rFonts w:ascii="Andes" w:eastAsiaTheme="minorHAnsi" w:hAnsi="Andes" w:cs="Arial"/>
          <w:color w:val="000000"/>
          <w:sz w:val="22"/>
          <w:szCs w:val="22"/>
        </w:rPr>
        <w:t>, de sorte que les Soumissionnaires/Proposants/Consultants soient en mesure de comprendre le fondement de la décision de l’Emprunteur et de décider, en toute connaissance de cause, de formuler ou non une Plainte pour contester cette décision ;</w:t>
      </w:r>
    </w:p>
    <w:p w14:paraId="0C5FF764" w14:textId="77777777" w:rsidR="00AC56D8" w:rsidRPr="00833B69" w:rsidRDefault="00AC56D8" w:rsidP="00AC56D8">
      <w:pPr>
        <w:pStyle w:val="Paragraphedeliste"/>
        <w:numPr>
          <w:ilvl w:val="0"/>
          <w:numId w:val="245"/>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accuser réception rapidement de toute Plainte reçue ; </w:t>
      </w:r>
    </w:p>
    <w:p w14:paraId="58A261A9" w14:textId="77777777" w:rsidR="00AC56D8" w:rsidRPr="00833B69" w:rsidRDefault="00AC56D8" w:rsidP="00AC56D8">
      <w:pPr>
        <w:pStyle w:val="Paragraphedeliste"/>
        <w:numPr>
          <w:ilvl w:val="0"/>
          <w:numId w:val="245"/>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régler les Plaintes rapidement et équitablement ;</w:t>
      </w:r>
    </w:p>
    <w:p w14:paraId="68898249" w14:textId="1EE760E4" w:rsidR="00AC56D8" w:rsidRPr="00833B69" w:rsidRDefault="00AC56D8" w:rsidP="00AC56D8">
      <w:pPr>
        <w:pStyle w:val="Paragraphedeliste"/>
        <w:numPr>
          <w:ilvl w:val="0"/>
          <w:numId w:val="245"/>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respecter</w:t>
      </w:r>
      <w:r w:rsidRPr="00833B69">
        <w:rPr>
          <w:rFonts w:ascii="Andes" w:eastAsiaTheme="minorHAnsi" w:hAnsi="Andes" w:cs="Arial"/>
          <w:color w:val="000000"/>
          <w:sz w:val="22"/>
          <w:szCs w:val="22"/>
        </w:rPr>
        <w:t xml:space="preserve"> la confidentialité et les informations </w:t>
      </w:r>
      <w:r>
        <w:rPr>
          <w:rFonts w:ascii="Andes" w:eastAsiaTheme="minorHAnsi" w:hAnsi="Andes" w:cs="Arial"/>
          <w:color w:val="000000"/>
          <w:sz w:val="22"/>
          <w:szCs w:val="22"/>
        </w:rPr>
        <w:t>protégées</w:t>
      </w:r>
      <w:r w:rsidRPr="00833B69">
        <w:rPr>
          <w:rFonts w:ascii="Andes" w:eastAsiaTheme="minorHAnsi" w:hAnsi="Andes" w:cs="Arial"/>
          <w:color w:val="000000"/>
          <w:sz w:val="22"/>
          <w:szCs w:val="22"/>
        </w:rPr>
        <w:t xml:space="preserve"> des autres Candidats/</w:t>
      </w:r>
      <w:r w:rsidR="00DB4972">
        <w:rPr>
          <w:rFonts w:ascii="Andes" w:eastAsiaTheme="minorHAnsi" w:hAnsi="Andes" w:cs="Arial"/>
          <w:color w:val="000000"/>
          <w:sz w:val="22"/>
          <w:szCs w:val="22"/>
        </w:rPr>
        <w:t xml:space="preserve"> </w:t>
      </w:r>
      <w:r w:rsidRPr="00833B69">
        <w:rPr>
          <w:rFonts w:ascii="Andes" w:eastAsiaTheme="minorHAnsi" w:hAnsi="Andes" w:cs="Arial"/>
          <w:color w:val="000000"/>
          <w:sz w:val="22"/>
          <w:szCs w:val="22"/>
        </w:rPr>
        <w:t xml:space="preserve">Soumissionnaires/Proposants/Consultants, notamment les informations commerciales et financières ainsi que les secrets </w:t>
      </w:r>
      <w:r>
        <w:rPr>
          <w:rFonts w:ascii="Andes" w:eastAsiaTheme="minorHAnsi" w:hAnsi="Andes" w:cs="Arial"/>
          <w:color w:val="000000"/>
          <w:sz w:val="22"/>
          <w:szCs w:val="22"/>
        </w:rPr>
        <w:t>de fabrique</w:t>
      </w:r>
      <w:r w:rsidRPr="00833B69">
        <w:rPr>
          <w:rFonts w:ascii="Andes" w:eastAsiaTheme="minorHAnsi" w:hAnsi="Andes" w:cs="Arial"/>
          <w:color w:val="000000"/>
          <w:sz w:val="22"/>
          <w:szCs w:val="22"/>
        </w:rPr>
        <w:t xml:space="preserve"> selon les indications données par les Soumissionnaires/Proposants/Consultants dans leurs offres ou propositions ;</w:t>
      </w:r>
    </w:p>
    <w:p w14:paraId="7E5807F4" w14:textId="44F278A6" w:rsidR="00AC56D8" w:rsidRPr="00833B69" w:rsidRDefault="00463889" w:rsidP="00AC56D8">
      <w:pPr>
        <w:pStyle w:val="Paragraphedeliste"/>
        <w:numPr>
          <w:ilvl w:val="0"/>
          <w:numId w:val="245"/>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conserver</w:t>
      </w:r>
      <w:r w:rsidRPr="00833B69">
        <w:rPr>
          <w:rFonts w:ascii="Andes" w:eastAsiaTheme="minorHAnsi" w:hAnsi="Andes" w:cs="Arial"/>
          <w:color w:val="000000"/>
          <w:sz w:val="22"/>
          <w:szCs w:val="22"/>
        </w:rPr>
        <w:t xml:space="preserve"> </w:t>
      </w:r>
      <w:r>
        <w:rPr>
          <w:rFonts w:ascii="Andes" w:eastAsiaTheme="minorHAnsi" w:hAnsi="Andes" w:cs="Arial"/>
          <w:color w:val="000000"/>
          <w:sz w:val="22"/>
          <w:szCs w:val="22"/>
        </w:rPr>
        <w:t>l’ensemble</w:t>
      </w:r>
      <w:r w:rsidR="00AC56D8" w:rsidRPr="00833B69">
        <w:rPr>
          <w:rFonts w:ascii="Andes" w:eastAsiaTheme="minorHAnsi" w:hAnsi="Andes" w:cs="Arial"/>
          <w:color w:val="000000"/>
          <w:sz w:val="22"/>
          <w:szCs w:val="22"/>
        </w:rPr>
        <w:t xml:space="preserve"> </w:t>
      </w:r>
      <w:r>
        <w:rPr>
          <w:rFonts w:ascii="Andes" w:eastAsiaTheme="minorHAnsi" w:hAnsi="Andes" w:cs="Arial"/>
          <w:color w:val="000000"/>
          <w:sz w:val="22"/>
          <w:szCs w:val="22"/>
        </w:rPr>
        <w:t>d</w:t>
      </w:r>
      <w:r w:rsidR="00AC56D8" w:rsidRPr="00833B69">
        <w:rPr>
          <w:rFonts w:ascii="Andes" w:eastAsiaTheme="minorHAnsi" w:hAnsi="Andes" w:cs="Arial"/>
          <w:color w:val="000000"/>
          <w:sz w:val="22"/>
          <w:szCs w:val="22"/>
        </w:rPr>
        <w:t xml:space="preserve">es </w:t>
      </w:r>
      <w:r>
        <w:rPr>
          <w:rFonts w:ascii="Andes" w:eastAsiaTheme="minorHAnsi" w:hAnsi="Andes" w:cs="Arial"/>
          <w:color w:val="000000"/>
          <w:sz w:val="22"/>
          <w:szCs w:val="22"/>
        </w:rPr>
        <w:t xml:space="preserve">pièces relatives aux </w:t>
      </w:r>
      <w:r w:rsidR="00AC56D8">
        <w:rPr>
          <w:rFonts w:ascii="Andes" w:eastAsiaTheme="minorHAnsi" w:hAnsi="Andes" w:cs="Arial"/>
          <w:color w:val="000000"/>
          <w:sz w:val="22"/>
          <w:szCs w:val="22"/>
        </w:rPr>
        <w:t>débriefings</w:t>
      </w:r>
      <w:r w:rsidR="00AC56D8" w:rsidRPr="00833B69">
        <w:rPr>
          <w:rFonts w:ascii="Andes" w:eastAsiaTheme="minorHAnsi" w:hAnsi="Andes" w:cs="Arial"/>
          <w:color w:val="000000"/>
          <w:sz w:val="22"/>
          <w:szCs w:val="22"/>
        </w:rPr>
        <w:t xml:space="preserve">, </w:t>
      </w:r>
      <w:r>
        <w:rPr>
          <w:rFonts w:ascii="Andes" w:eastAsiaTheme="minorHAnsi" w:hAnsi="Andes" w:cs="Arial"/>
          <w:color w:val="000000"/>
          <w:sz w:val="22"/>
          <w:szCs w:val="22"/>
        </w:rPr>
        <w:t>aux</w:t>
      </w:r>
      <w:r w:rsidRPr="00833B69">
        <w:rPr>
          <w:rFonts w:ascii="Andes" w:eastAsiaTheme="minorHAnsi" w:hAnsi="Andes" w:cs="Arial"/>
          <w:color w:val="000000"/>
          <w:sz w:val="22"/>
          <w:szCs w:val="22"/>
        </w:rPr>
        <w:t xml:space="preserve"> </w:t>
      </w:r>
      <w:r w:rsidR="00AC56D8" w:rsidRPr="00833B69">
        <w:rPr>
          <w:rFonts w:ascii="Andes" w:eastAsiaTheme="minorHAnsi" w:hAnsi="Andes" w:cs="Arial"/>
          <w:color w:val="000000"/>
          <w:sz w:val="22"/>
          <w:szCs w:val="22"/>
        </w:rPr>
        <w:t xml:space="preserve">Plaintes et </w:t>
      </w:r>
      <w:r>
        <w:rPr>
          <w:rFonts w:ascii="Andes" w:eastAsiaTheme="minorHAnsi" w:hAnsi="Andes" w:cs="Arial"/>
          <w:color w:val="000000"/>
          <w:sz w:val="22"/>
          <w:szCs w:val="22"/>
        </w:rPr>
        <w:t xml:space="preserve">à </w:t>
      </w:r>
      <w:r w:rsidR="00AC56D8" w:rsidRPr="00833B69">
        <w:rPr>
          <w:rFonts w:ascii="Andes" w:eastAsiaTheme="minorHAnsi" w:hAnsi="Andes" w:cs="Arial"/>
          <w:color w:val="000000"/>
          <w:sz w:val="22"/>
          <w:szCs w:val="22"/>
        </w:rPr>
        <w:t xml:space="preserve">leur règlement ; </w:t>
      </w:r>
    </w:p>
    <w:p w14:paraId="123608E4" w14:textId="77777777" w:rsidR="00AC56D8" w:rsidRPr="00833B69" w:rsidRDefault="00AC56D8" w:rsidP="00AC56D8">
      <w:pPr>
        <w:pStyle w:val="Paragraphedeliste"/>
        <w:numPr>
          <w:ilvl w:val="0"/>
          <w:numId w:val="245"/>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pour les contrats soumis à examen préalable, informer la Banque dans les plus brefs délais de toute réception d’une Plainte et lui transmettre une copie de tous les documents et informations correspondants ; </w:t>
      </w:r>
    </w:p>
    <w:p w14:paraId="3DFFC003" w14:textId="77777777" w:rsidR="00AC56D8" w:rsidRPr="00833B69" w:rsidRDefault="00AC56D8" w:rsidP="00AC56D8">
      <w:pPr>
        <w:pStyle w:val="Paragraphedeliste"/>
        <w:numPr>
          <w:ilvl w:val="0"/>
          <w:numId w:val="245"/>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pour les contrats soumis à examen préalable, prendre contact avec la Banque rapidement et faire preuve de franchise tout au long du processus d’examen et de règlement de la Plainte.</w:t>
      </w:r>
    </w:p>
    <w:p w14:paraId="1775FAE0" w14:textId="77777777" w:rsidR="00AC56D8" w:rsidRPr="00833B69" w:rsidRDefault="00AC56D8" w:rsidP="00AC56D8">
      <w:pPr>
        <w:pStyle w:val="Paragraphedeliste"/>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Rôles et responsabilités des Soumissionnaires/Proposants/Consultants</w:t>
      </w:r>
    </w:p>
    <w:p w14:paraId="2426174D" w14:textId="77777777" w:rsidR="00AC56D8" w:rsidRPr="00833B69" w:rsidRDefault="00AC56D8" w:rsidP="00AC56D8">
      <w:pPr>
        <w:pStyle w:val="Paragraphedeliste"/>
        <w:numPr>
          <w:ilvl w:val="1"/>
          <w:numId w:val="239"/>
        </w:numPr>
        <w:spacing w:before="0" w:line="240" w:lineRule="auto"/>
        <w:ind w:left="630" w:hanging="630"/>
        <w:contextualSpacing w:val="0"/>
        <w:rPr>
          <w:rFonts w:ascii="Andes" w:hAnsi="Andes" w:cs="Arial"/>
          <w:sz w:val="22"/>
          <w:szCs w:val="22"/>
        </w:rPr>
      </w:pPr>
      <w:r w:rsidRPr="00833B69">
        <w:rPr>
          <w:rFonts w:ascii="Andes" w:hAnsi="Andes" w:cs="Arial"/>
          <w:sz w:val="22"/>
          <w:szCs w:val="22"/>
        </w:rPr>
        <w:t>S’agissant des Plaintes visées par la présente Annexe, les rôles et responsabilités des Soumissionnaires/Consultants sont notamment les suivants :</w:t>
      </w:r>
    </w:p>
    <w:p w14:paraId="6458BA17" w14:textId="77777777" w:rsidR="00AC56D8" w:rsidRPr="00833B69" w:rsidRDefault="00AC56D8" w:rsidP="00AC56D8">
      <w:pPr>
        <w:pStyle w:val="Paragraphedeliste"/>
        <w:numPr>
          <w:ilvl w:val="0"/>
          <w:numId w:val="246"/>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satisfaire aux conditions énoncées au paragraphe 2.4 de la présente Annexe en rapport avec la teneur de la Plainte et les délais fixés ; </w:t>
      </w:r>
    </w:p>
    <w:p w14:paraId="3AE7EB62" w14:textId="155387F8" w:rsidR="00AC56D8" w:rsidRPr="00833B69" w:rsidRDefault="00AC56D8" w:rsidP="00AC56D8">
      <w:pPr>
        <w:pStyle w:val="Paragraphedeliste"/>
        <w:numPr>
          <w:ilvl w:val="0"/>
          <w:numId w:val="246"/>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lastRenderedPageBreak/>
        <w:t xml:space="preserve">bien connaître les stipulations des dossiers de </w:t>
      </w:r>
      <w:r w:rsidR="000A7F1B">
        <w:rPr>
          <w:rFonts w:ascii="Andes" w:eastAsiaTheme="minorHAnsi" w:hAnsi="Andes" w:cs="Arial"/>
          <w:color w:val="000000"/>
          <w:sz w:val="22"/>
          <w:szCs w:val="22"/>
        </w:rPr>
        <w:t>Préqualification</w:t>
      </w:r>
      <w:r w:rsidRPr="00833B69">
        <w:rPr>
          <w:rFonts w:ascii="Andes" w:eastAsiaTheme="minorHAnsi" w:hAnsi="Andes" w:cs="Arial"/>
          <w:color w:val="000000"/>
          <w:sz w:val="22"/>
          <w:szCs w:val="22"/>
        </w:rPr>
        <w:t>/sélection initiale, d’</w:t>
      </w:r>
      <w:r w:rsidR="00C51DF5">
        <w:rPr>
          <w:rFonts w:ascii="Andes" w:eastAsiaTheme="minorHAnsi" w:hAnsi="Andes" w:cs="Arial"/>
          <w:color w:val="000000"/>
          <w:sz w:val="22"/>
          <w:szCs w:val="22"/>
        </w:rPr>
        <w:t>Appel d’Offres/ à Propositions</w:t>
      </w:r>
      <w:r w:rsidRPr="00833B69">
        <w:rPr>
          <w:rFonts w:ascii="Andes" w:eastAsiaTheme="minorHAnsi" w:hAnsi="Andes" w:cs="Arial"/>
          <w:color w:val="000000"/>
          <w:sz w:val="22"/>
          <w:szCs w:val="22"/>
        </w:rPr>
        <w:t xml:space="preserve"> et des autres documents, ainsi que le Règlement de Passation des Marchés, de manière à comprendre les règles régissant le processus de passation des marchés ;</w:t>
      </w:r>
    </w:p>
    <w:p w14:paraId="6E3DDF12" w14:textId="77777777" w:rsidR="00AC56D8" w:rsidRPr="00833B69" w:rsidRDefault="00AC56D8" w:rsidP="00AC56D8">
      <w:pPr>
        <w:pStyle w:val="Paragraphedeliste"/>
        <w:numPr>
          <w:ilvl w:val="0"/>
          <w:numId w:val="246"/>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demander un </w:t>
      </w:r>
      <w:r>
        <w:rPr>
          <w:rFonts w:ascii="Andes" w:eastAsiaTheme="minorHAnsi" w:hAnsi="Andes" w:cs="Arial"/>
          <w:color w:val="000000"/>
          <w:sz w:val="22"/>
          <w:szCs w:val="22"/>
        </w:rPr>
        <w:t>débriefing</w:t>
      </w:r>
      <w:r w:rsidRPr="00833B69">
        <w:rPr>
          <w:rFonts w:ascii="Andes" w:eastAsiaTheme="minorHAnsi" w:hAnsi="Andes" w:cs="Arial"/>
          <w:color w:val="000000"/>
          <w:sz w:val="22"/>
          <w:szCs w:val="22"/>
        </w:rPr>
        <w:t xml:space="preserve"> dans les délais impartis, le cas échéant ;</w:t>
      </w:r>
    </w:p>
    <w:p w14:paraId="56A3B8E3" w14:textId="048D6361" w:rsidR="00AC56D8" w:rsidRPr="00833B69" w:rsidRDefault="00AC56D8" w:rsidP="00AC56D8">
      <w:pPr>
        <w:pStyle w:val="Paragraphedeliste"/>
        <w:numPr>
          <w:ilvl w:val="0"/>
          <w:numId w:val="246"/>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soumettre les Plaintes, dans le délai imparti, à l’entité ou au responsable désigné à cet effet dans le dossier de </w:t>
      </w:r>
      <w:r w:rsidR="000A7F1B">
        <w:rPr>
          <w:rFonts w:ascii="Andes" w:eastAsiaTheme="minorHAnsi" w:hAnsi="Andes" w:cs="Arial"/>
          <w:color w:val="000000"/>
          <w:sz w:val="22"/>
          <w:szCs w:val="22"/>
        </w:rPr>
        <w:t>Préqualification</w:t>
      </w:r>
      <w:r w:rsidRPr="00833B69">
        <w:rPr>
          <w:rFonts w:ascii="Andes" w:eastAsiaTheme="minorHAnsi" w:hAnsi="Andes" w:cs="Arial"/>
          <w:color w:val="000000"/>
          <w:sz w:val="22"/>
          <w:szCs w:val="22"/>
        </w:rPr>
        <w:t>/sélection initiale ou d’</w:t>
      </w:r>
      <w:r w:rsidR="004E6AC3">
        <w:rPr>
          <w:rFonts w:ascii="Andes" w:eastAsiaTheme="minorHAnsi" w:hAnsi="Andes" w:cs="Arial"/>
          <w:color w:val="000000"/>
          <w:sz w:val="22"/>
          <w:szCs w:val="22"/>
        </w:rPr>
        <w:t>A</w:t>
      </w:r>
      <w:r w:rsidRPr="00833B69">
        <w:rPr>
          <w:rFonts w:ascii="Andes" w:eastAsiaTheme="minorHAnsi" w:hAnsi="Andes" w:cs="Arial"/>
          <w:color w:val="000000"/>
          <w:sz w:val="22"/>
          <w:szCs w:val="22"/>
        </w:rPr>
        <w:t>ppel d’</w:t>
      </w:r>
      <w:r w:rsidR="00317BF7">
        <w:rPr>
          <w:rFonts w:ascii="Andes" w:eastAsiaTheme="minorHAnsi" w:hAnsi="Andes" w:cs="Arial"/>
          <w:color w:val="000000"/>
          <w:sz w:val="22"/>
          <w:szCs w:val="22"/>
        </w:rPr>
        <w:t>O</w:t>
      </w:r>
      <w:r w:rsidRPr="00833B69">
        <w:rPr>
          <w:rFonts w:ascii="Andes" w:eastAsiaTheme="minorHAnsi" w:hAnsi="Andes" w:cs="Arial"/>
          <w:color w:val="000000"/>
          <w:sz w:val="22"/>
          <w:szCs w:val="22"/>
        </w:rPr>
        <w:t>ffres/d’</w:t>
      </w:r>
      <w:r w:rsidR="00317BF7">
        <w:rPr>
          <w:rFonts w:ascii="Andes" w:eastAsiaTheme="minorHAnsi" w:hAnsi="Andes" w:cs="Arial"/>
          <w:color w:val="000000"/>
          <w:sz w:val="22"/>
          <w:szCs w:val="22"/>
        </w:rPr>
        <w:t>A</w:t>
      </w:r>
      <w:r w:rsidRPr="00833B69">
        <w:rPr>
          <w:rFonts w:ascii="Andes" w:eastAsiaTheme="minorHAnsi" w:hAnsi="Andes" w:cs="Arial"/>
          <w:color w:val="000000"/>
          <w:sz w:val="22"/>
          <w:szCs w:val="22"/>
        </w:rPr>
        <w:t xml:space="preserve">ppel à </w:t>
      </w:r>
      <w:r w:rsidR="00317BF7">
        <w:rPr>
          <w:rFonts w:ascii="Andes" w:eastAsiaTheme="minorHAnsi" w:hAnsi="Andes" w:cs="Arial"/>
          <w:color w:val="000000"/>
          <w:sz w:val="22"/>
          <w:szCs w:val="22"/>
        </w:rPr>
        <w:t>P</w:t>
      </w:r>
      <w:r w:rsidRPr="00833B69">
        <w:rPr>
          <w:rFonts w:ascii="Andes" w:eastAsiaTheme="minorHAnsi" w:hAnsi="Andes" w:cs="Arial"/>
          <w:color w:val="000000"/>
          <w:sz w:val="22"/>
          <w:szCs w:val="22"/>
        </w:rPr>
        <w:t>ropositions ;</w:t>
      </w:r>
    </w:p>
    <w:p w14:paraId="61F8C656" w14:textId="0638B31E" w:rsidR="00AC56D8" w:rsidRPr="00833B69" w:rsidRDefault="00AC56D8" w:rsidP="00AC56D8">
      <w:pPr>
        <w:pStyle w:val="Paragraphedeliste"/>
        <w:numPr>
          <w:ilvl w:val="0"/>
          <w:numId w:val="246"/>
        </w:numPr>
        <w:spacing w:before="0" w:line="240" w:lineRule="auto"/>
        <w:contextualSpacing w:val="0"/>
        <w:rPr>
          <w:rFonts w:ascii="Andes" w:eastAsiaTheme="minorHAnsi" w:hAnsi="Andes" w:cs="Arial"/>
          <w:sz w:val="22"/>
          <w:szCs w:val="22"/>
        </w:rPr>
      </w:pPr>
      <w:r w:rsidRPr="00833B69">
        <w:rPr>
          <w:rFonts w:ascii="Andes" w:eastAsiaTheme="minorHAnsi" w:hAnsi="Andes" w:cs="Arial"/>
          <w:color w:val="000000"/>
          <w:sz w:val="22"/>
          <w:szCs w:val="22"/>
        </w:rPr>
        <w:t>s’assurer que toute Plainte soumise expose aussi précisément que possible les questions ou préoccupations soulevées par le Soumissionnaire, le Proposant ou le Consultant ainsi que l’allégation de violation des règles de passation des marchés applicables (Règlement de Passation des Marchés, dossier d’</w:t>
      </w:r>
      <w:r w:rsidR="00C35874">
        <w:rPr>
          <w:rFonts w:ascii="Andes" w:eastAsiaTheme="minorHAnsi" w:hAnsi="Andes" w:cs="Arial"/>
          <w:color w:val="000000"/>
          <w:sz w:val="22"/>
          <w:szCs w:val="22"/>
        </w:rPr>
        <w:t>A</w:t>
      </w:r>
      <w:r w:rsidRPr="00833B69">
        <w:rPr>
          <w:rFonts w:ascii="Andes" w:eastAsiaTheme="minorHAnsi" w:hAnsi="Andes" w:cs="Arial"/>
          <w:color w:val="000000"/>
          <w:sz w:val="22"/>
          <w:szCs w:val="22"/>
        </w:rPr>
        <w:t>ppel d’</w:t>
      </w:r>
      <w:r w:rsidR="00C35874">
        <w:rPr>
          <w:rFonts w:ascii="Andes" w:eastAsiaTheme="minorHAnsi" w:hAnsi="Andes" w:cs="Arial"/>
          <w:color w:val="000000"/>
          <w:sz w:val="22"/>
          <w:szCs w:val="22"/>
        </w:rPr>
        <w:t>O</w:t>
      </w:r>
      <w:r w:rsidRPr="00833B69">
        <w:rPr>
          <w:rFonts w:ascii="Andes" w:eastAsiaTheme="minorHAnsi" w:hAnsi="Andes" w:cs="Arial"/>
          <w:color w:val="000000"/>
          <w:sz w:val="22"/>
          <w:szCs w:val="22"/>
        </w:rPr>
        <w:t>ffres ou d’</w:t>
      </w:r>
      <w:r w:rsidR="00C35874">
        <w:rPr>
          <w:rFonts w:ascii="Andes" w:eastAsiaTheme="minorHAnsi" w:hAnsi="Andes" w:cs="Arial"/>
          <w:color w:val="000000"/>
          <w:sz w:val="22"/>
          <w:szCs w:val="22"/>
        </w:rPr>
        <w:t>A</w:t>
      </w:r>
      <w:r w:rsidRPr="00833B69">
        <w:rPr>
          <w:rFonts w:ascii="Andes" w:eastAsiaTheme="minorHAnsi" w:hAnsi="Andes" w:cs="Arial"/>
          <w:color w:val="000000"/>
          <w:sz w:val="22"/>
          <w:szCs w:val="22"/>
        </w:rPr>
        <w:t xml:space="preserve">ppel à </w:t>
      </w:r>
      <w:r w:rsidR="00C35874">
        <w:rPr>
          <w:rFonts w:ascii="Andes" w:eastAsiaTheme="minorHAnsi" w:hAnsi="Andes" w:cs="Arial"/>
          <w:color w:val="000000"/>
          <w:sz w:val="22"/>
          <w:szCs w:val="22"/>
        </w:rPr>
        <w:t>P</w:t>
      </w:r>
      <w:r w:rsidRPr="00833B69">
        <w:rPr>
          <w:rFonts w:ascii="Andes" w:eastAsiaTheme="minorHAnsi" w:hAnsi="Andes" w:cs="Arial"/>
          <w:color w:val="000000"/>
          <w:sz w:val="22"/>
          <w:szCs w:val="22"/>
        </w:rPr>
        <w:t>ropositions, etc.).</w:t>
      </w:r>
      <w:r w:rsidRPr="00833B69">
        <w:rPr>
          <w:rFonts w:ascii="Andes" w:eastAsiaTheme="minorHAnsi" w:hAnsi="Andes" w:cs="Arial"/>
          <w:sz w:val="22"/>
          <w:szCs w:val="22"/>
        </w:rPr>
        <w:t xml:space="preserve"> </w:t>
      </w:r>
    </w:p>
    <w:p w14:paraId="1FDDC456" w14:textId="77777777" w:rsidR="00AC56D8" w:rsidRPr="00833B69" w:rsidRDefault="00AC56D8" w:rsidP="00AC56D8">
      <w:pPr>
        <w:pStyle w:val="Paragraphedeliste"/>
        <w:spacing w:before="240" w:line="240" w:lineRule="auto"/>
        <w:contextualSpacing w:val="0"/>
        <w:rPr>
          <w:rFonts w:ascii="Andes" w:hAnsi="Andes" w:cs="Arial"/>
          <w:b/>
          <w:sz w:val="28"/>
          <w:szCs w:val="28"/>
        </w:rPr>
      </w:pPr>
      <w:r w:rsidRPr="00833B69">
        <w:rPr>
          <w:rFonts w:ascii="Andes" w:hAnsi="Andes" w:cs="Arial"/>
          <w:b/>
          <w:color w:val="000000" w:themeColor="text1"/>
          <w:sz w:val="28"/>
          <w:szCs w:val="28"/>
        </w:rPr>
        <w:t>Rôles et responsabilités de la Banque</w:t>
      </w:r>
    </w:p>
    <w:p w14:paraId="19C1CAB8" w14:textId="77777777" w:rsidR="00AC56D8" w:rsidRPr="00833B69" w:rsidRDefault="00AC56D8" w:rsidP="00AC56D8">
      <w:pPr>
        <w:pStyle w:val="Paragraphedeliste"/>
        <w:numPr>
          <w:ilvl w:val="1"/>
          <w:numId w:val="239"/>
        </w:numPr>
        <w:spacing w:before="0" w:line="240" w:lineRule="auto"/>
        <w:ind w:left="630" w:hanging="630"/>
        <w:contextualSpacing w:val="0"/>
        <w:rPr>
          <w:rFonts w:ascii="Andes" w:hAnsi="Andes" w:cs="Arial"/>
          <w:sz w:val="22"/>
          <w:szCs w:val="22"/>
        </w:rPr>
      </w:pPr>
      <w:r w:rsidRPr="00833B69">
        <w:rPr>
          <w:rFonts w:ascii="Andes" w:hAnsi="Andes" w:cs="Arial"/>
          <w:sz w:val="22"/>
          <w:szCs w:val="22"/>
        </w:rPr>
        <w:t>S’agissant des Plaintes visées par la présente Annexe, les rôles et responsabilités de la Banque sont notamment les suivants :</w:t>
      </w:r>
    </w:p>
    <w:p w14:paraId="3A8AC684" w14:textId="77777777" w:rsidR="00AC56D8" w:rsidRPr="00833B69" w:rsidRDefault="00AC56D8" w:rsidP="00AC56D8">
      <w:pPr>
        <w:pStyle w:val="Paragraphedeliste"/>
        <w:numPr>
          <w:ilvl w:val="0"/>
          <w:numId w:val="247"/>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s’assurer que toute Plainte adressée à la Banque est rapidement transmise à l’Emprunteur pour examen et règlement ;</w:t>
      </w:r>
    </w:p>
    <w:p w14:paraId="78EE8F57" w14:textId="77777777" w:rsidR="00AC56D8" w:rsidRPr="00833B69" w:rsidRDefault="00AC56D8" w:rsidP="00AC56D8">
      <w:pPr>
        <w:pStyle w:val="Paragraphedeliste"/>
        <w:numPr>
          <w:ilvl w:val="0"/>
          <w:numId w:val="247"/>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pour les marchés soumis à examen préalable, étudier en temps opportun toute mesure proposée par l’Emprunteur, notamment - mais pas uniquement - en ce qui concerne l’organisation d’</w:t>
      </w:r>
      <w:r>
        <w:rPr>
          <w:rFonts w:ascii="Andes" w:eastAsiaTheme="minorHAnsi" w:hAnsi="Andes" w:cs="Arial"/>
          <w:color w:val="000000"/>
          <w:sz w:val="22"/>
          <w:szCs w:val="22"/>
        </w:rPr>
        <w:t>un</w:t>
      </w:r>
      <w:r w:rsidRPr="00833B69">
        <w:rPr>
          <w:rFonts w:ascii="Andes" w:eastAsiaTheme="minorHAnsi" w:hAnsi="Andes" w:cs="Arial"/>
          <w:color w:val="000000"/>
          <w:sz w:val="22"/>
          <w:szCs w:val="22"/>
        </w:rPr>
        <w:t xml:space="preserve"> </w:t>
      </w:r>
      <w:r>
        <w:rPr>
          <w:rFonts w:ascii="Andes" w:eastAsiaTheme="minorHAnsi" w:hAnsi="Andes" w:cs="Arial"/>
          <w:color w:val="000000"/>
          <w:sz w:val="22"/>
          <w:szCs w:val="22"/>
        </w:rPr>
        <w:t>débriefing</w:t>
      </w:r>
      <w:r w:rsidRPr="00833B69">
        <w:rPr>
          <w:rFonts w:ascii="Andes" w:eastAsiaTheme="minorHAnsi" w:hAnsi="Andes" w:cs="Arial"/>
          <w:color w:val="000000"/>
          <w:sz w:val="22"/>
          <w:szCs w:val="22"/>
        </w:rPr>
        <w:t xml:space="preserve"> et son contenu, le rejet d’une Plainte ou la prise de mesures visant à rectifier une irrégularité identifiée par la Plainte ;</w:t>
      </w:r>
    </w:p>
    <w:p w14:paraId="72FDF131" w14:textId="77777777" w:rsidR="00AC56D8" w:rsidRPr="00833B69" w:rsidRDefault="00AC56D8" w:rsidP="00AC56D8">
      <w:pPr>
        <w:pStyle w:val="Paragraphedeliste"/>
        <w:numPr>
          <w:ilvl w:val="0"/>
          <w:numId w:val="247"/>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sauf pour accuser réception d’une Plainte, ne pas discuter ni communiquer avec les Candidats, Soumissionnaires, Proposants et Consultants pendant toute la durée du processus d’évaluation et d’examen, jusqu’à la publication de l’avis public d’attribution. </w:t>
      </w:r>
    </w:p>
    <w:p w14:paraId="7AADAB51" w14:textId="77777777" w:rsidR="00C07243" w:rsidRDefault="00C07243">
      <w:pPr>
        <w:spacing w:before="0" w:after="200"/>
        <w:contextualSpacing w:val="0"/>
        <w:jc w:val="left"/>
        <w:rPr>
          <w:rFonts w:ascii="Andes" w:hAnsi="Andes" w:cs="Arial"/>
          <w:b/>
          <w:color w:val="4F81BD"/>
        </w:rPr>
        <w:sectPr w:rsidR="00C07243" w:rsidSect="00C07243">
          <w:headerReference w:type="default" r:id="rId28"/>
          <w:pgSz w:w="12240" w:h="15840"/>
          <w:pgMar w:top="1872" w:right="1080" w:bottom="1440" w:left="1411" w:header="720" w:footer="720" w:gutter="0"/>
          <w:cols w:space="720"/>
          <w:docGrid w:linePitch="360"/>
        </w:sectPr>
      </w:pPr>
    </w:p>
    <w:p w14:paraId="5E032A5F" w14:textId="77777777" w:rsidR="00AC56D8" w:rsidRPr="00AC56D8" w:rsidRDefault="00AC56D8" w:rsidP="00D6243A">
      <w:pPr>
        <w:spacing w:before="240" w:after="240" w:line="240" w:lineRule="auto"/>
        <w:rPr>
          <w:rFonts w:ascii="Andes" w:hAnsi="Andes" w:cs="Arial"/>
          <w:b/>
          <w:color w:val="4F81BD"/>
        </w:rPr>
      </w:pPr>
    </w:p>
    <w:p w14:paraId="2EB924D7" w14:textId="250B56B7" w:rsidR="00995472" w:rsidRPr="00833B69" w:rsidRDefault="00995472" w:rsidP="00995472">
      <w:pPr>
        <w:spacing w:before="240" w:after="240" w:line="240" w:lineRule="auto"/>
        <w:ind w:left="-450" w:right="-1062"/>
        <w:jc w:val="left"/>
        <w:rPr>
          <w:rFonts w:ascii="Andes" w:hAnsi="Andes" w:cs="Arial"/>
          <w:b/>
        </w:rPr>
      </w:pPr>
      <w:bookmarkStart w:id="3481" w:name="_Toc388280882"/>
      <w:bookmarkStart w:id="3482" w:name="_Toc388339856"/>
      <w:bookmarkStart w:id="3483" w:name="_Toc387846347"/>
      <w:bookmarkStart w:id="3484" w:name="_Toc387847798"/>
      <w:bookmarkStart w:id="3485" w:name="_Toc388280891"/>
      <w:bookmarkStart w:id="3486" w:name="_Toc388339865"/>
      <w:bookmarkStart w:id="3487" w:name="_Toc387847808"/>
      <w:bookmarkStart w:id="3488" w:name="_Toc388280901"/>
      <w:bookmarkStart w:id="3489" w:name="_Toc388339875"/>
      <w:bookmarkStart w:id="3490" w:name="_Toc388280914"/>
      <w:bookmarkStart w:id="3491" w:name="_Toc388339888"/>
      <w:bookmarkStart w:id="3492" w:name="_Toc387846353"/>
      <w:bookmarkStart w:id="3493" w:name="_Toc387847810"/>
      <w:bookmarkStart w:id="3494" w:name="_Toc388280915"/>
      <w:bookmarkStart w:id="3495" w:name="_Toc388339889"/>
      <w:bookmarkStart w:id="3496" w:name="_Toc387846355"/>
      <w:bookmarkStart w:id="3497" w:name="_Toc387847812"/>
      <w:bookmarkStart w:id="3498" w:name="_Toc388280917"/>
      <w:bookmarkStart w:id="3499" w:name="_Toc388339891"/>
      <w:bookmarkStart w:id="3500" w:name="_Toc389473892"/>
      <w:bookmarkStart w:id="3501" w:name="_Toc389661727"/>
      <w:bookmarkStart w:id="3502" w:name="_Toc389662415"/>
      <w:bookmarkStart w:id="3503" w:name="_Toc391067944"/>
      <w:bookmarkStart w:id="3504" w:name="_Toc392590872"/>
      <w:bookmarkStart w:id="3505" w:name="_Toc280175808"/>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r w:rsidRPr="00833B69">
        <w:rPr>
          <w:rFonts w:ascii="Andes" w:hAnsi="Andes" w:cs="Arial"/>
          <w:b/>
        </w:rPr>
        <w:t xml:space="preserve">Tableau 1 : </w:t>
      </w:r>
      <w:r w:rsidR="00233985">
        <w:rPr>
          <w:rFonts w:ascii="Andes" w:hAnsi="Andes" w:cs="Arial"/>
          <w:b/>
        </w:rPr>
        <w:t>Standards</w:t>
      </w:r>
      <w:r w:rsidRPr="00833B69">
        <w:rPr>
          <w:rFonts w:ascii="Andes" w:hAnsi="Andes" w:cs="Arial"/>
          <w:b/>
        </w:rPr>
        <w:t xml:space="preserve"> applicables aux Plaintes relatives à la passation des marchés (en cas d’examen préalable)</w:t>
      </w:r>
    </w:p>
    <w:tbl>
      <w:tblPr>
        <w:tblStyle w:val="Grilledutableau"/>
        <w:tblW w:w="13955" w:type="dxa"/>
        <w:tblInd w:w="-365" w:type="dxa"/>
        <w:tblLayout w:type="fixed"/>
        <w:tblLook w:val="04A0" w:firstRow="1" w:lastRow="0" w:firstColumn="1" w:lastColumn="0" w:noHBand="0" w:noVBand="1"/>
      </w:tblPr>
      <w:tblGrid>
        <w:gridCol w:w="4775"/>
        <w:gridCol w:w="1620"/>
        <w:gridCol w:w="7560"/>
      </w:tblGrid>
      <w:tr w:rsidR="00995472" w:rsidRPr="00833B69" w14:paraId="5F7AE326" w14:textId="77777777" w:rsidTr="006D600B">
        <w:trPr>
          <w:trHeight w:val="600"/>
          <w:tblHeader/>
        </w:trPr>
        <w:tc>
          <w:tcPr>
            <w:tcW w:w="4775"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002060"/>
            <w:vAlign w:val="center"/>
          </w:tcPr>
          <w:p w14:paraId="0FC7061A" w14:textId="77777777" w:rsidR="00995472" w:rsidRPr="00833B69" w:rsidRDefault="00995472" w:rsidP="006D600B">
            <w:pPr>
              <w:jc w:val="left"/>
              <w:rPr>
                <w:rFonts w:ascii="Andes" w:hAnsi="Andes" w:cs="Arial"/>
                <w:b/>
                <w:bCs/>
                <w:color w:val="FFFFFF" w:themeColor="background1"/>
                <w:sz w:val="22"/>
                <w:szCs w:val="22"/>
              </w:rPr>
            </w:pPr>
            <w:r w:rsidRPr="00833B69">
              <w:rPr>
                <w:rFonts w:ascii="Andes" w:hAnsi="Andes" w:cs="Arial"/>
                <w:b/>
                <w:bCs/>
                <w:color w:val="FFFFFF" w:themeColor="background1"/>
                <w:sz w:val="22"/>
                <w:szCs w:val="22"/>
              </w:rPr>
              <w:t>Étape du processus</w:t>
            </w:r>
          </w:p>
        </w:tc>
        <w:tc>
          <w:tcPr>
            <w:tcW w:w="16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060"/>
          </w:tcPr>
          <w:p w14:paraId="6141DD8C" w14:textId="77777777" w:rsidR="00995472" w:rsidRPr="00833B69" w:rsidRDefault="00995472" w:rsidP="006D600B">
            <w:pPr>
              <w:jc w:val="left"/>
              <w:rPr>
                <w:rFonts w:ascii="Andes" w:hAnsi="Andes" w:cs="Arial"/>
                <w:b/>
                <w:bCs/>
                <w:color w:val="FFFFFF" w:themeColor="background1"/>
                <w:sz w:val="22"/>
                <w:szCs w:val="22"/>
              </w:rPr>
            </w:pPr>
            <w:r w:rsidRPr="00833B69">
              <w:rPr>
                <w:rFonts w:ascii="Andes" w:hAnsi="Andes" w:cs="Arial"/>
                <w:b/>
                <w:bCs/>
                <w:color w:val="FFFFFF" w:themeColor="background1"/>
                <w:sz w:val="22"/>
                <w:szCs w:val="22"/>
              </w:rPr>
              <w:t>Entité responsable</w:t>
            </w:r>
          </w:p>
        </w:tc>
        <w:tc>
          <w:tcPr>
            <w:tcW w:w="7560"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002060"/>
            <w:vAlign w:val="center"/>
          </w:tcPr>
          <w:p w14:paraId="36DD365A" w14:textId="77777777" w:rsidR="00995472" w:rsidRPr="00833B69" w:rsidRDefault="00995472" w:rsidP="006D600B">
            <w:pPr>
              <w:jc w:val="left"/>
              <w:rPr>
                <w:rFonts w:ascii="Andes" w:hAnsi="Andes" w:cs="Arial"/>
                <w:b/>
                <w:bCs/>
                <w:color w:val="FFFFFF" w:themeColor="background1"/>
                <w:sz w:val="22"/>
                <w:szCs w:val="22"/>
              </w:rPr>
            </w:pPr>
            <w:r w:rsidRPr="00833B69">
              <w:rPr>
                <w:rFonts w:ascii="Andes" w:hAnsi="Andes" w:cs="Arial"/>
                <w:b/>
                <w:bCs/>
                <w:color w:val="FFFFFF" w:themeColor="background1"/>
                <w:sz w:val="22"/>
                <w:szCs w:val="22"/>
              </w:rPr>
              <w:t>Délais</w:t>
            </w:r>
          </w:p>
        </w:tc>
      </w:tr>
      <w:tr w:rsidR="00995472" w:rsidRPr="00D672E8" w14:paraId="6F36518A" w14:textId="77777777" w:rsidTr="006D600B">
        <w:trPr>
          <w:trHeight w:val="600"/>
        </w:trPr>
        <w:tc>
          <w:tcPr>
            <w:tcW w:w="4775" w:type="dxa"/>
            <w:tcBorders>
              <w:top w:val="single" w:sz="12" w:space="0" w:color="FFFFFF" w:themeColor="background1"/>
            </w:tcBorders>
            <w:shd w:val="clear" w:color="auto" w:fill="D9D9D9" w:themeFill="background1" w:themeFillShade="D9"/>
          </w:tcPr>
          <w:p w14:paraId="08691B73" w14:textId="521FD8DE" w:rsidR="00995472" w:rsidRPr="00833B69" w:rsidRDefault="00995472" w:rsidP="006D600B">
            <w:pPr>
              <w:spacing w:before="40" w:after="40"/>
              <w:contextualSpacing w:val="0"/>
              <w:jc w:val="left"/>
              <w:rPr>
                <w:rFonts w:ascii="Andes" w:hAnsi="Andes" w:cs="Arial"/>
                <w:b/>
                <w:bCs/>
                <w:sz w:val="22"/>
                <w:szCs w:val="22"/>
              </w:rPr>
            </w:pPr>
            <w:r w:rsidRPr="00833B69">
              <w:rPr>
                <w:rFonts w:ascii="Andes" w:hAnsi="Andes" w:cs="Arial"/>
                <w:sz w:val="22"/>
                <w:szCs w:val="22"/>
              </w:rPr>
              <w:t xml:space="preserve">Plaintes contestant les conditions du dossier de </w:t>
            </w:r>
            <w:r w:rsidR="000A7F1B">
              <w:rPr>
                <w:rFonts w:ascii="Andes" w:hAnsi="Andes" w:cs="Arial"/>
                <w:sz w:val="22"/>
                <w:szCs w:val="22"/>
              </w:rPr>
              <w:t>Préqualification</w:t>
            </w:r>
            <w:r w:rsidRPr="00833B69">
              <w:rPr>
                <w:rFonts w:ascii="Andes" w:hAnsi="Andes" w:cs="Arial"/>
                <w:sz w:val="22"/>
                <w:szCs w:val="22"/>
              </w:rPr>
              <w:t>/ de sélection initiale, d’</w:t>
            </w:r>
            <w:r w:rsidR="00456B0F">
              <w:rPr>
                <w:rFonts w:ascii="Andes" w:hAnsi="Andes" w:cs="Arial"/>
                <w:sz w:val="22"/>
                <w:szCs w:val="22"/>
              </w:rPr>
              <w:t>A</w:t>
            </w:r>
            <w:r w:rsidRPr="00833B69">
              <w:rPr>
                <w:rFonts w:ascii="Andes" w:hAnsi="Andes" w:cs="Arial"/>
                <w:sz w:val="22"/>
                <w:szCs w:val="22"/>
              </w:rPr>
              <w:t>ppel d’</w:t>
            </w:r>
            <w:r w:rsidR="00456B0F">
              <w:rPr>
                <w:rFonts w:ascii="Andes" w:hAnsi="Andes" w:cs="Arial"/>
                <w:sz w:val="22"/>
                <w:szCs w:val="22"/>
              </w:rPr>
              <w:t>O</w:t>
            </w:r>
            <w:r w:rsidRPr="00833B69">
              <w:rPr>
                <w:rFonts w:ascii="Andes" w:hAnsi="Andes" w:cs="Arial"/>
                <w:sz w:val="22"/>
                <w:szCs w:val="22"/>
              </w:rPr>
              <w:t>ffres/ d’</w:t>
            </w:r>
            <w:r w:rsidR="00456B0F">
              <w:rPr>
                <w:rFonts w:ascii="Andes" w:hAnsi="Andes" w:cs="Arial"/>
                <w:sz w:val="22"/>
                <w:szCs w:val="22"/>
              </w:rPr>
              <w:t>A</w:t>
            </w:r>
            <w:r w:rsidRPr="00833B69">
              <w:rPr>
                <w:rFonts w:ascii="Andes" w:hAnsi="Andes" w:cs="Arial"/>
                <w:sz w:val="22"/>
                <w:szCs w:val="22"/>
              </w:rPr>
              <w:t xml:space="preserve">ppel à </w:t>
            </w:r>
            <w:r w:rsidR="00456B0F">
              <w:rPr>
                <w:rFonts w:ascii="Andes" w:hAnsi="Andes" w:cs="Arial"/>
                <w:sz w:val="22"/>
                <w:szCs w:val="22"/>
              </w:rPr>
              <w:t>P</w:t>
            </w:r>
            <w:r w:rsidRPr="00833B69">
              <w:rPr>
                <w:rFonts w:ascii="Andes" w:hAnsi="Andes" w:cs="Arial"/>
                <w:sz w:val="22"/>
                <w:szCs w:val="22"/>
              </w:rPr>
              <w:t>ropositions ou de tout autre document de l’Emprunteur appelant à faire une offre/une proposition ou à poser sa candidature.</w:t>
            </w:r>
          </w:p>
        </w:tc>
        <w:tc>
          <w:tcPr>
            <w:tcW w:w="1620" w:type="dxa"/>
            <w:tcBorders>
              <w:top w:val="single" w:sz="12" w:space="0" w:color="FFFFFF" w:themeColor="background1"/>
            </w:tcBorders>
          </w:tcPr>
          <w:p w14:paraId="434EBACE" w14:textId="77777777" w:rsidR="00995472" w:rsidRPr="00833B69" w:rsidRDefault="00995472" w:rsidP="006D600B">
            <w:pPr>
              <w:spacing w:before="40" w:after="40"/>
              <w:contextualSpacing w:val="0"/>
              <w:jc w:val="left"/>
              <w:rPr>
                <w:rFonts w:ascii="Andes" w:hAnsi="Andes" w:cs="Arial"/>
                <w:sz w:val="22"/>
                <w:szCs w:val="22"/>
              </w:rPr>
            </w:pPr>
            <w:r w:rsidRPr="00833B69">
              <w:rPr>
                <w:rFonts w:ascii="Andes" w:hAnsi="Andes" w:cs="Arial"/>
                <w:sz w:val="22"/>
                <w:szCs w:val="22"/>
              </w:rPr>
              <w:t xml:space="preserve">Soumissionnaires/ Proposants/ Consultants potentiels </w:t>
            </w:r>
          </w:p>
        </w:tc>
        <w:tc>
          <w:tcPr>
            <w:tcW w:w="7560" w:type="dxa"/>
            <w:tcBorders>
              <w:top w:val="single" w:sz="12" w:space="0" w:color="FFFFFF" w:themeColor="background1"/>
            </w:tcBorders>
          </w:tcPr>
          <w:p w14:paraId="3E615B3C" w14:textId="77777777" w:rsidR="00995472" w:rsidRPr="00833B69" w:rsidRDefault="00995472" w:rsidP="006D600B">
            <w:pPr>
              <w:spacing w:before="40" w:after="40"/>
              <w:ind w:right="46"/>
              <w:contextualSpacing w:val="0"/>
              <w:jc w:val="left"/>
              <w:rPr>
                <w:rFonts w:ascii="Andes" w:hAnsi="Andes" w:cs="Arial"/>
                <w:sz w:val="22"/>
                <w:szCs w:val="22"/>
              </w:rPr>
            </w:pPr>
            <w:r w:rsidRPr="00833B69">
              <w:rPr>
                <w:rFonts w:ascii="Andes" w:hAnsi="Andes" w:cs="Arial"/>
                <w:sz w:val="22"/>
                <w:szCs w:val="22"/>
              </w:rPr>
              <w:t xml:space="preserve">Les Plaintes doivent être soumises au moins dix (10) Jours Ouvrables avant la date limite de dépôt des </w:t>
            </w:r>
            <w:r>
              <w:rPr>
                <w:rFonts w:ascii="Andes" w:hAnsi="Andes" w:cs="Arial"/>
                <w:sz w:val="22"/>
                <w:szCs w:val="22"/>
              </w:rPr>
              <w:t>c</w:t>
            </w:r>
            <w:r w:rsidRPr="00833B69">
              <w:rPr>
                <w:rFonts w:ascii="Andes" w:hAnsi="Andes" w:cs="Arial"/>
                <w:sz w:val="22"/>
                <w:szCs w:val="22"/>
              </w:rPr>
              <w:t>andidatures, offres ou propositions</w:t>
            </w:r>
          </w:p>
          <w:p w14:paraId="37F5E3F0" w14:textId="77777777" w:rsidR="00995472" w:rsidRPr="00833B69" w:rsidRDefault="00995472" w:rsidP="006D600B">
            <w:pPr>
              <w:spacing w:before="40" w:after="40"/>
              <w:contextualSpacing w:val="0"/>
              <w:jc w:val="left"/>
              <w:rPr>
                <w:rFonts w:ascii="Andes" w:hAnsi="Andes" w:cs="Arial"/>
                <w:sz w:val="22"/>
                <w:szCs w:val="22"/>
              </w:rPr>
            </w:pPr>
            <w:r w:rsidRPr="00833B69">
              <w:rPr>
                <w:rFonts w:ascii="Andes" w:hAnsi="Andes" w:cs="Arial"/>
                <w:sz w:val="22"/>
                <w:szCs w:val="22"/>
              </w:rPr>
              <w:t>L’Emprunteur répond dans un délai maximum de sept (7) Jours Ouvrables à compter de la date de réception de la Plainte.</w:t>
            </w:r>
          </w:p>
        </w:tc>
      </w:tr>
      <w:tr w:rsidR="00995472" w:rsidRPr="00D672E8" w14:paraId="594B48CE" w14:textId="77777777" w:rsidTr="006D600B">
        <w:trPr>
          <w:trHeight w:val="600"/>
        </w:trPr>
        <w:tc>
          <w:tcPr>
            <w:tcW w:w="4775" w:type="dxa"/>
            <w:shd w:val="clear" w:color="auto" w:fill="D9D9D9" w:themeFill="background1" w:themeFillShade="D9"/>
          </w:tcPr>
          <w:p w14:paraId="11E315CB" w14:textId="77777777" w:rsidR="00995472" w:rsidRPr="00833B69" w:rsidRDefault="00995472" w:rsidP="006D600B">
            <w:pPr>
              <w:spacing w:before="40" w:after="40"/>
              <w:contextualSpacing w:val="0"/>
              <w:jc w:val="left"/>
              <w:rPr>
                <w:rFonts w:ascii="Andes" w:hAnsi="Andes" w:cs="Arial"/>
                <w:color w:val="000000"/>
                <w:sz w:val="22"/>
                <w:szCs w:val="22"/>
              </w:rPr>
            </w:pPr>
            <w:r w:rsidRPr="00833B69">
              <w:rPr>
                <w:rFonts w:ascii="Andes" w:hAnsi="Andes" w:cs="Arial"/>
                <w:color w:val="000000"/>
                <w:sz w:val="22"/>
                <w:szCs w:val="22"/>
              </w:rPr>
              <w:t>Notification au Candidat, Soumissionnaire, Proposant ou Consultant du fondement de sa non-prise en considération pour un marché, du rejet d’une soumission, ou d’une intention d’attribution</w:t>
            </w:r>
          </w:p>
        </w:tc>
        <w:tc>
          <w:tcPr>
            <w:tcW w:w="1620" w:type="dxa"/>
          </w:tcPr>
          <w:p w14:paraId="4FC7CD8F" w14:textId="77777777" w:rsidR="00995472" w:rsidRPr="00833B69" w:rsidRDefault="00995472" w:rsidP="006D600B">
            <w:pPr>
              <w:spacing w:before="40" w:after="40"/>
              <w:contextualSpacing w:val="0"/>
              <w:jc w:val="left"/>
              <w:rPr>
                <w:rFonts w:ascii="Andes" w:hAnsi="Andes" w:cs="Arial"/>
                <w:sz w:val="22"/>
                <w:szCs w:val="22"/>
              </w:rPr>
            </w:pPr>
            <w:r w:rsidRPr="00833B69">
              <w:rPr>
                <w:rFonts w:ascii="Andes" w:hAnsi="Andes" w:cs="Arial"/>
                <w:sz w:val="22"/>
                <w:szCs w:val="22"/>
              </w:rPr>
              <w:t>Emprunteur</w:t>
            </w:r>
          </w:p>
        </w:tc>
        <w:tc>
          <w:tcPr>
            <w:tcW w:w="7560" w:type="dxa"/>
          </w:tcPr>
          <w:p w14:paraId="3F25C55C" w14:textId="77777777" w:rsidR="00995472" w:rsidRPr="00833B69" w:rsidRDefault="00995472" w:rsidP="006D600B">
            <w:pPr>
              <w:spacing w:before="40" w:after="40"/>
              <w:contextualSpacing w:val="0"/>
              <w:jc w:val="left"/>
              <w:rPr>
                <w:rFonts w:ascii="Andes" w:hAnsi="Andes" w:cs="Arial"/>
                <w:sz w:val="22"/>
                <w:szCs w:val="22"/>
              </w:rPr>
            </w:pPr>
            <w:r w:rsidRPr="00833B69">
              <w:rPr>
                <w:rFonts w:ascii="Andes" w:hAnsi="Andes" w:cs="Arial"/>
                <w:sz w:val="22"/>
                <w:szCs w:val="22"/>
              </w:rPr>
              <w:t xml:space="preserve">Le délai est stipulé dans les différents documents régissant le processus de passation des marchés. En règle générale, cette notification intervient dans les plus brefs délais après la décision correspondante de l’Emprunteur. </w:t>
            </w:r>
          </w:p>
          <w:p w14:paraId="27112F2B" w14:textId="77777777" w:rsidR="00995472" w:rsidRPr="00833B69" w:rsidRDefault="00995472" w:rsidP="006D600B">
            <w:pPr>
              <w:spacing w:before="40" w:after="40"/>
              <w:contextualSpacing w:val="0"/>
              <w:jc w:val="left"/>
              <w:rPr>
                <w:rFonts w:ascii="Andes" w:hAnsi="Andes" w:cs="Arial"/>
                <w:sz w:val="22"/>
                <w:szCs w:val="22"/>
              </w:rPr>
            </w:pPr>
            <w:r w:rsidRPr="00833B69">
              <w:rPr>
                <w:rFonts w:ascii="Andes" w:hAnsi="Andes" w:cs="Arial"/>
                <w:sz w:val="22"/>
                <w:szCs w:val="22"/>
              </w:rPr>
              <w:t xml:space="preserve">À réception d’une Plainte contestant ladite décision, l’Emprunteur répond au plaignant dans un délai maximum de sept (7) Jours Ouvrables après réception de la Plainte. </w:t>
            </w:r>
          </w:p>
        </w:tc>
      </w:tr>
      <w:tr w:rsidR="00995472" w:rsidRPr="00D672E8" w14:paraId="50438849" w14:textId="77777777" w:rsidTr="006D600B">
        <w:trPr>
          <w:trHeight w:val="600"/>
        </w:trPr>
        <w:tc>
          <w:tcPr>
            <w:tcW w:w="4775" w:type="dxa"/>
            <w:shd w:val="clear" w:color="auto" w:fill="D9D9D9" w:themeFill="background1" w:themeFillShade="D9"/>
          </w:tcPr>
          <w:p w14:paraId="3834EBEA" w14:textId="77777777" w:rsidR="00995472" w:rsidRPr="00833B69" w:rsidRDefault="00995472" w:rsidP="006D600B">
            <w:pPr>
              <w:spacing w:before="40" w:after="40"/>
              <w:contextualSpacing w:val="0"/>
              <w:jc w:val="left"/>
              <w:rPr>
                <w:rFonts w:ascii="Andes" w:hAnsi="Andes" w:cs="Arial"/>
                <w:color w:val="000000"/>
                <w:sz w:val="22"/>
                <w:szCs w:val="22"/>
              </w:rPr>
            </w:pPr>
            <w:r w:rsidRPr="00833B69">
              <w:rPr>
                <w:rFonts w:ascii="Andes" w:hAnsi="Andes" w:cs="Arial"/>
                <w:color w:val="000000"/>
                <w:sz w:val="22"/>
                <w:szCs w:val="22"/>
              </w:rPr>
              <w:t xml:space="preserve">Plaintes faisant suite à la transmission de la notification d’intention d’attribution de marché (à soumettre à l’Emprunteur avant la fin du délai de suspension). </w:t>
            </w:r>
          </w:p>
        </w:tc>
        <w:tc>
          <w:tcPr>
            <w:tcW w:w="1620" w:type="dxa"/>
          </w:tcPr>
          <w:p w14:paraId="614B4B1E" w14:textId="77777777" w:rsidR="00995472" w:rsidRPr="00833B69" w:rsidRDefault="00995472" w:rsidP="006D600B">
            <w:pPr>
              <w:spacing w:before="40" w:after="40"/>
              <w:contextualSpacing w:val="0"/>
              <w:jc w:val="left"/>
              <w:rPr>
                <w:rFonts w:ascii="Andes" w:hAnsi="Andes" w:cs="Arial"/>
                <w:sz w:val="22"/>
                <w:szCs w:val="22"/>
              </w:rPr>
            </w:pPr>
          </w:p>
        </w:tc>
        <w:tc>
          <w:tcPr>
            <w:tcW w:w="7560" w:type="dxa"/>
          </w:tcPr>
          <w:p w14:paraId="208DB94F" w14:textId="77777777" w:rsidR="00995472" w:rsidRPr="00833B69" w:rsidRDefault="00995472" w:rsidP="006D600B">
            <w:pPr>
              <w:spacing w:before="40" w:after="40"/>
              <w:contextualSpacing w:val="0"/>
              <w:jc w:val="left"/>
              <w:rPr>
                <w:rFonts w:ascii="Andes" w:hAnsi="Andes" w:cs="Arial"/>
                <w:sz w:val="22"/>
                <w:szCs w:val="22"/>
              </w:rPr>
            </w:pPr>
            <w:r w:rsidRPr="00833B69">
              <w:rPr>
                <w:rFonts w:ascii="Andes" w:hAnsi="Andes" w:cs="Arial"/>
                <w:sz w:val="22"/>
                <w:szCs w:val="22"/>
              </w:rPr>
              <w:t xml:space="preserve">Les Plaintes doivent être soumises avant la fin du délai de suspension. </w:t>
            </w:r>
          </w:p>
          <w:p w14:paraId="780AC564" w14:textId="77777777" w:rsidR="00995472" w:rsidRPr="00833B69" w:rsidRDefault="00995472" w:rsidP="006D600B">
            <w:pPr>
              <w:spacing w:before="40" w:after="40"/>
              <w:contextualSpacing w:val="0"/>
              <w:jc w:val="left"/>
              <w:rPr>
                <w:rFonts w:ascii="Andes" w:hAnsi="Andes" w:cs="Arial"/>
                <w:sz w:val="22"/>
                <w:szCs w:val="22"/>
              </w:rPr>
            </w:pPr>
            <w:r w:rsidRPr="00833B69">
              <w:rPr>
                <w:rFonts w:ascii="Andes" w:hAnsi="Andes" w:cs="Arial"/>
                <w:sz w:val="22"/>
                <w:szCs w:val="22"/>
              </w:rPr>
              <w:t xml:space="preserve">L’Emprunteur répond dans un délai maximum de quinze (15) Jours Ouvrables à compter de la date de réception de la Plainte. </w:t>
            </w:r>
          </w:p>
        </w:tc>
      </w:tr>
      <w:tr w:rsidR="00995472" w:rsidRPr="00D672E8" w14:paraId="3DBDFF1A" w14:textId="77777777" w:rsidTr="006D600B">
        <w:trPr>
          <w:trHeight w:val="600"/>
        </w:trPr>
        <w:tc>
          <w:tcPr>
            <w:tcW w:w="4775" w:type="dxa"/>
            <w:shd w:val="clear" w:color="auto" w:fill="D9D9D9" w:themeFill="background1" w:themeFillShade="D9"/>
          </w:tcPr>
          <w:p w14:paraId="49D03535" w14:textId="77777777" w:rsidR="00995472" w:rsidRPr="00833B69" w:rsidRDefault="00995472" w:rsidP="006D600B">
            <w:pPr>
              <w:spacing w:before="40" w:after="40"/>
              <w:contextualSpacing w:val="0"/>
              <w:jc w:val="left"/>
              <w:rPr>
                <w:rFonts w:ascii="Andes" w:hAnsi="Andes" w:cs="Arial"/>
                <w:color w:val="000000"/>
                <w:sz w:val="22"/>
                <w:szCs w:val="22"/>
              </w:rPr>
            </w:pPr>
            <w:r w:rsidRPr="00833B69">
              <w:rPr>
                <w:rFonts w:ascii="Andes" w:hAnsi="Andes" w:cs="Arial"/>
                <w:color w:val="000000"/>
                <w:sz w:val="22"/>
                <w:szCs w:val="22"/>
              </w:rPr>
              <w:t xml:space="preserve">Demande de </w:t>
            </w:r>
            <w:r>
              <w:rPr>
                <w:rFonts w:ascii="Andes" w:hAnsi="Andes" w:cs="Arial"/>
                <w:color w:val="000000"/>
                <w:sz w:val="22"/>
                <w:szCs w:val="22"/>
              </w:rPr>
              <w:t>débriefing</w:t>
            </w:r>
          </w:p>
        </w:tc>
        <w:tc>
          <w:tcPr>
            <w:tcW w:w="1620" w:type="dxa"/>
          </w:tcPr>
          <w:p w14:paraId="5396002E" w14:textId="77777777" w:rsidR="00995472" w:rsidRPr="00833B69" w:rsidRDefault="00995472" w:rsidP="006D600B">
            <w:pPr>
              <w:spacing w:before="40" w:after="40"/>
              <w:contextualSpacing w:val="0"/>
              <w:jc w:val="left"/>
              <w:rPr>
                <w:rFonts w:ascii="Andes" w:hAnsi="Andes" w:cs="Arial"/>
                <w:sz w:val="22"/>
                <w:szCs w:val="22"/>
              </w:rPr>
            </w:pPr>
            <w:r w:rsidRPr="00833B69">
              <w:rPr>
                <w:rFonts w:ascii="Andes" w:hAnsi="Andes" w:cs="Arial"/>
                <w:sz w:val="22"/>
                <w:szCs w:val="22"/>
              </w:rPr>
              <w:t>Soumissionnaire/ Proposant/ Consultant</w:t>
            </w:r>
          </w:p>
        </w:tc>
        <w:tc>
          <w:tcPr>
            <w:tcW w:w="7560" w:type="dxa"/>
          </w:tcPr>
          <w:p w14:paraId="3C91BAF4" w14:textId="77777777" w:rsidR="00995472" w:rsidRPr="00833B69" w:rsidRDefault="00995472" w:rsidP="006D600B">
            <w:pPr>
              <w:spacing w:before="40" w:after="40"/>
              <w:contextualSpacing w:val="0"/>
              <w:jc w:val="left"/>
              <w:rPr>
                <w:rFonts w:ascii="Andes" w:hAnsi="Andes" w:cs="Arial"/>
                <w:sz w:val="22"/>
                <w:szCs w:val="22"/>
              </w:rPr>
            </w:pPr>
            <w:r w:rsidRPr="00833B69">
              <w:rPr>
                <w:rFonts w:ascii="Andes" w:hAnsi="Andes" w:cs="Arial"/>
                <w:sz w:val="22"/>
                <w:szCs w:val="22"/>
              </w:rPr>
              <w:t xml:space="preserve">Dans un délai de trois (3) Jours Ouvrables à compter de la réception de la notification d’intention d’attribution du marché envoyée par l’Emprunteur. </w:t>
            </w:r>
          </w:p>
        </w:tc>
      </w:tr>
      <w:tr w:rsidR="00995472" w:rsidRPr="00D672E8" w14:paraId="35E25E1B" w14:textId="77777777" w:rsidTr="006D600B">
        <w:trPr>
          <w:trHeight w:val="600"/>
        </w:trPr>
        <w:tc>
          <w:tcPr>
            <w:tcW w:w="4775" w:type="dxa"/>
            <w:shd w:val="clear" w:color="auto" w:fill="D9D9D9" w:themeFill="background1" w:themeFillShade="D9"/>
          </w:tcPr>
          <w:p w14:paraId="3CF067D4" w14:textId="77777777" w:rsidR="00995472" w:rsidRPr="00833B69" w:rsidRDefault="00995472" w:rsidP="006D600B">
            <w:pPr>
              <w:spacing w:before="40" w:after="40"/>
              <w:contextualSpacing w:val="0"/>
              <w:jc w:val="left"/>
              <w:rPr>
                <w:rFonts w:ascii="Andes" w:hAnsi="Andes" w:cs="Arial"/>
                <w:color w:val="000000"/>
                <w:sz w:val="22"/>
                <w:szCs w:val="22"/>
              </w:rPr>
            </w:pPr>
            <w:r w:rsidRPr="00833B69">
              <w:rPr>
                <w:rFonts w:ascii="Andes" w:hAnsi="Andes" w:cs="Arial"/>
                <w:color w:val="000000"/>
                <w:sz w:val="22"/>
                <w:szCs w:val="22"/>
              </w:rPr>
              <w:t>Organisation</w:t>
            </w:r>
            <w:r>
              <w:rPr>
                <w:rFonts w:ascii="Andes" w:hAnsi="Andes" w:cs="Arial"/>
                <w:color w:val="000000"/>
                <w:sz w:val="22"/>
                <w:szCs w:val="22"/>
              </w:rPr>
              <w:t xml:space="preserve"> d’un débriefing </w:t>
            </w:r>
            <w:r w:rsidRPr="00833B69">
              <w:rPr>
                <w:rFonts w:ascii="Andes" w:hAnsi="Andes" w:cs="Arial"/>
                <w:color w:val="000000"/>
                <w:sz w:val="22"/>
                <w:szCs w:val="22"/>
              </w:rPr>
              <w:t>dans les plus brefs délais après une demande.</w:t>
            </w:r>
          </w:p>
        </w:tc>
        <w:tc>
          <w:tcPr>
            <w:tcW w:w="1620" w:type="dxa"/>
          </w:tcPr>
          <w:p w14:paraId="6DCC129E" w14:textId="77777777" w:rsidR="00995472" w:rsidRPr="00833B69" w:rsidRDefault="00995472" w:rsidP="006D600B">
            <w:pPr>
              <w:spacing w:before="40" w:after="40"/>
              <w:contextualSpacing w:val="0"/>
              <w:jc w:val="left"/>
              <w:rPr>
                <w:rFonts w:ascii="Andes" w:hAnsi="Andes" w:cs="Arial"/>
                <w:sz w:val="22"/>
                <w:szCs w:val="22"/>
              </w:rPr>
            </w:pPr>
            <w:r w:rsidRPr="00833B69">
              <w:rPr>
                <w:rFonts w:ascii="Andes" w:hAnsi="Andes" w:cs="Arial"/>
                <w:sz w:val="22"/>
                <w:szCs w:val="22"/>
              </w:rPr>
              <w:t>Emprunteur</w:t>
            </w:r>
          </w:p>
        </w:tc>
        <w:tc>
          <w:tcPr>
            <w:tcW w:w="7560" w:type="dxa"/>
          </w:tcPr>
          <w:p w14:paraId="48F33919" w14:textId="7DCFEEB8" w:rsidR="00995472" w:rsidRPr="00833B69" w:rsidRDefault="00995472" w:rsidP="006D600B">
            <w:pPr>
              <w:spacing w:before="40" w:after="40"/>
              <w:contextualSpacing w:val="0"/>
              <w:jc w:val="left"/>
              <w:rPr>
                <w:rFonts w:ascii="Andes" w:hAnsi="Andes" w:cs="Arial"/>
                <w:sz w:val="22"/>
                <w:szCs w:val="22"/>
              </w:rPr>
            </w:pPr>
            <w:r w:rsidRPr="00833B69">
              <w:rPr>
                <w:rFonts w:ascii="Andes" w:hAnsi="Andes" w:cs="Arial"/>
                <w:sz w:val="22"/>
                <w:szCs w:val="22"/>
              </w:rPr>
              <w:t>L’Emprunteur tient</w:t>
            </w:r>
            <w:r>
              <w:rPr>
                <w:rFonts w:ascii="Andes" w:hAnsi="Andes" w:cs="Arial"/>
                <w:sz w:val="22"/>
                <w:szCs w:val="22"/>
              </w:rPr>
              <w:t xml:space="preserve"> un débriefing </w:t>
            </w:r>
            <w:r w:rsidRPr="00833B69">
              <w:rPr>
                <w:rFonts w:ascii="Andes" w:hAnsi="Andes" w:cs="Arial"/>
                <w:sz w:val="22"/>
                <w:szCs w:val="22"/>
              </w:rPr>
              <w:t>dans un délai de cinq (5) Jours Ouvrables à compter de la réception de la demande. Pour</w:t>
            </w:r>
            <w:r>
              <w:rPr>
                <w:rFonts w:ascii="Andes" w:hAnsi="Andes" w:cs="Arial"/>
                <w:sz w:val="22"/>
                <w:szCs w:val="22"/>
              </w:rPr>
              <w:t xml:space="preserve"> </w:t>
            </w:r>
            <w:r w:rsidR="00332FCD">
              <w:rPr>
                <w:rFonts w:ascii="Andes" w:hAnsi="Andes" w:cs="Arial"/>
                <w:sz w:val="22"/>
                <w:szCs w:val="22"/>
              </w:rPr>
              <w:t>toute</w:t>
            </w:r>
            <w:r w:rsidR="00332FCD" w:rsidRPr="00833B69">
              <w:rPr>
                <w:rFonts w:ascii="Andes" w:hAnsi="Andes" w:cs="Arial"/>
                <w:sz w:val="22"/>
                <w:szCs w:val="22"/>
              </w:rPr>
              <w:t>s les autres demandes</w:t>
            </w:r>
            <w:r>
              <w:rPr>
                <w:rFonts w:ascii="Andes" w:hAnsi="Andes" w:cs="Arial"/>
                <w:sz w:val="22"/>
                <w:szCs w:val="22"/>
              </w:rPr>
              <w:t xml:space="preserve"> de débriefing</w:t>
            </w:r>
            <w:r w:rsidRPr="00833B69">
              <w:rPr>
                <w:rFonts w:ascii="Andes" w:hAnsi="Andes" w:cs="Arial"/>
                <w:sz w:val="22"/>
                <w:szCs w:val="22"/>
              </w:rPr>
              <w:t>, l’Emprunteu</w:t>
            </w:r>
            <w:r>
              <w:rPr>
                <w:rFonts w:ascii="Andes" w:hAnsi="Andes" w:cs="Arial"/>
                <w:sz w:val="22"/>
                <w:szCs w:val="22"/>
              </w:rPr>
              <w:t>r organise</w:t>
            </w:r>
            <w:r w:rsidRPr="00833B69">
              <w:rPr>
                <w:rFonts w:ascii="Andes" w:hAnsi="Andes" w:cs="Arial"/>
                <w:sz w:val="22"/>
                <w:szCs w:val="22"/>
              </w:rPr>
              <w:t xml:space="preserve"> une séance dans un délai maximum de quinze (15) Jours Ouvrables à compter de la date de publication de l’avis public d’attribution du marché. </w:t>
            </w:r>
          </w:p>
        </w:tc>
      </w:tr>
      <w:tr w:rsidR="00995472" w:rsidRPr="00D672E8" w14:paraId="16A59814" w14:textId="77777777" w:rsidTr="006D600B">
        <w:trPr>
          <w:trHeight w:val="600"/>
        </w:trPr>
        <w:tc>
          <w:tcPr>
            <w:tcW w:w="4775" w:type="dxa"/>
            <w:shd w:val="clear" w:color="auto" w:fill="D9D9D9" w:themeFill="background1" w:themeFillShade="D9"/>
          </w:tcPr>
          <w:p w14:paraId="48410C79" w14:textId="77777777" w:rsidR="00995472" w:rsidRPr="00833B69" w:rsidRDefault="00995472" w:rsidP="006D600B">
            <w:pPr>
              <w:spacing w:before="40" w:after="40"/>
              <w:contextualSpacing w:val="0"/>
              <w:jc w:val="left"/>
              <w:rPr>
                <w:rFonts w:ascii="Andes" w:hAnsi="Andes" w:cs="Arial"/>
                <w:color w:val="000000"/>
                <w:sz w:val="22"/>
                <w:szCs w:val="22"/>
              </w:rPr>
            </w:pPr>
            <w:r w:rsidRPr="00833B69">
              <w:rPr>
                <w:rFonts w:ascii="Andes" w:hAnsi="Andes" w:cs="Arial"/>
                <w:color w:val="000000"/>
                <w:sz w:val="22"/>
                <w:szCs w:val="22"/>
              </w:rPr>
              <w:t>Accusé de réception d’une Plainte</w:t>
            </w:r>
          </w:p>
        </w:tc>
        <w:tc>
          <w:tcPr>
            <w:tcW w:w="1620" w:type="dxa"/>
          </w:tcPr>
          <w:p w14:paraId="02884F8F" w14:textId="77777777" w:rsidR="00995472" w:rsidRPr="00833B69" w:rsidRDefault="00995472" w:rsidP="006D600B">
            <w:pPr>
              <w:spacing w:before="40" w:after="40"/>
              <w:contextualSpacing w:val="0"/>
              <w:jc w:val="left"/>
              <w:rPr>
                <w:rFonts w:ascii="Andes" w:hAnsi="Andes" w:cs="Arial"/>
                <w:sz w:val="22"/>
                <w:szCs w:val="22"/>
              </w:rPr>
            </w:pPr>
            <w:r w:rsidRPr="00833B69">
              <w:rPr>
                <w:rFonts w:ascii="Andes" w:hAnsi="Andes" w:cs="Arial"/>
                <w:sz w:val="22"/>
                <w:szCs w:val="22"/>
              </w:rPr>
              <w:t>Emprunteur</w:t>
            </w:r>
          </w:p>
        </w:tc>
        <w:tc>
          <w:tcPr>
            <w:tcW w:w="7560" w:type="dxa"/>
          </w:tcPr>
          <w:p w14:paraId="4260CD02" w14:textId="77777777" w:rsidR="00995472" w:rsidRPr="00833B69" w:rsidRDefault="00995472" w:rsidP="006D600B">
            <w:pPr>
              <w:spacing w:before="40" w:after="40"/>
              <w:contextualSpacing w:val="0"/>
              <w:jc w:val="left"/>
              <w:rPr>
                <w:rFonts w:ascii="Andes" w:hAnsi="Andes" w:cs="Arial"/>
                <w:sz w:val="22"/>
                <w:szCs w:val="22"/>
              </w:rPr>
            </w:pPr>
            <w:r w:rsidRPr="00833B69">
              <w:rPr>
                <w:rFonts w:ascii="Andes" w:hAnsi="Andes" w:cs="Arial"/>
                <w:sz w:val="22"/>
                <w:szCs w:val="22"/>
              </w:rPr>
              <w:t>Dans un délai de trois (3) Jours Ouvrables à compter de la date de réception de la Plainte</w:t>
            </w:r>
          </w:p>
        </w:tc>
      </w:tr>
      <w:tr w:rsidR="00995472" w:rsidRPr="00D672E8" w14:paraId="710EF86C" w14:textId="77777777" w:rsidTr="006D600B">
        <w:trPr>
          <w:trHeight w:val="685"/>
        </w:trPr>
        <w:tc>
          <w:tcPr>
            <w:tcW w:w="4775" w:type="dxa"/>
            <w:shd w:val="clear" w:color="auto" w:fill="D9D9D9" w:themeFill="background1" w:themeFillShade="D9"/>
          </w:tcPr>
          <w:p w14:paraId="69C7F348" w14:textId="77777777" w:rsidR="00995472" w:rsidRPr="00833B69" w:rsidRDefault="00995472" w:rsidP="006D600B">
            <w:pPr>
              <w:spacing w:before="40" w:after="40"/>
              <w:contextualSpacing w:val="0"/>
              <w:jc w:val="left"/>
              <w:rPr>
                <w:rFonts w:ascii="Andes" w:hAnsi="Andes" w:cs="Arial"/>
                <w:color w:val="000000"/>
                <w:sz w:val="22"/>
                <w:szCs w:val="22"/>
              </w:rPr>
            </w:pPr>
            <w:r w:rsidRPr="00833B69">
              <w:rPr>
                <w:rFonts w:ascii="Andes" w:hAnsi="Andes" w:cs="Arial"/>
                <w:color w:val="000000"/>
                <w:sz w:val="22"/>
                <w:szCs w:val="22"/>
              </w:rPr>
              <w:t>Transmission de la Plainte à l’Emprunteur lorsqu’elle est soumise à la Banque</w:t>
            </w:r>
          </w:p>
        </w:tc>
        <w:tc>
          <w:tcPr>
            <w:tcW w:w="1620" w:type="dxa"/>
          </w:tcPr>
          <w:p w14:paraId="36CCFDF4" w14:textId="77777777" w:rsidR="00995472" w:rsidRPr="00833B69" w:rsidRDefault="00995472" w:rsidP="006D600B">
            <w:pPr>
              <w:spacing w:before="40" w:after="40"/>
              <w:contextualSpacing w:val="0"/>
              <w:jc w:val="left"/>
              <w:rPr>
                <w:rFonts w:ascii="Andes" w:hAnsi="Andes" w:cs="Arial"/>
                <w:bCs/>
                <w:sz w:val="22"/>
                <w:szCs w:val="22"/>
              </w:rPr>
            </w:pPr>
            <w:r w:rsidRPr="00833B69">
              <w:rPr>
                <w:rFonts w:ascii="Andes" w:hAnsi="Andes" w:cs="Arial"/>
                <w:bCs/>
                <w:sz w:val="22"/>
                <w:szCs w:val="22"/>
              </w:rPr>
              <w:t>Banque</w:t>
            </w:r>
          </w:p>
        </w:tc>
        <w:tc>
          <w:tcPr>
            <w:tcW w:w="7560" w:type="dxa"/>
          </w:tcPr>
          <w:p w14:paraId="71374996" w14:textId="77777777" w:rsidR="00995472" w:rsidRPr="00833B69" w:rsidRDefault="00995472" w:rsidP="006D600B">
            <w:pPr>
              <w:spacing w:before="40" w:after="40"/>
              <w:contextualSpacing w:val="0"/>
              <w:jc w:val="left"/>
              <w:rPr>
                <w:rFonts w:ascii="Andes" w:hAnsi="Andes" w:cs="Arial"/>
                <w:bCs/>
                <w:sz w:val="22"/>
                <w:szCs w:val="22"/>
              </w:rPr>
            </w:pPr>
            <w:r w:rsidRPr="00833B69">
              <w:rPr>
                <w:rFonts w:ascii="Andes" w:hAnsi="Andes" w:cs="Arial"/>
                <w:bCs/>
                <w:sz w:val="22"/>
                <w:szCs w:val="22"/>
              </w:rPr>
              <w:t>Dans un délai de trois (3) Jours Ouvrables à compter de la date de réception de la Plainte</w:t>
            </w:r>
          </w:p>
        </w:tc>
      </w:tr>
      <w:tr w:rsidR="00995472" w:rsidRPr="00D672E8" w14:paraId="67A11C85" w14:textId="77777777" w:rsidTr="006D600B">
        <w:trPr>
          <w:trHeight w:val="685"/>
        </w:trPr>
        <w:tc>
          <w:tcPr>
            <w:tcW w:w="4775" w:type="dxa"/>
            <w:shd w:val="clear" w:color="auto" w:fill="D9D9D9" w:themeFill="background1" w:themeFillShade="D9"/>
          </w:tcPr>
          <w:p w14:paraId="665D4E07" w14:textId="77777777" w:rsidR="00995472" w:rsidRPr="00833B69" w:rsidRDefault="00995472" w:rsidP="006D600B">
            <w:pPr>
              <w:spacing w:before="40" w:after="40"/>
              <w:contextualSpacing w:val="0"/>
              <w:jc w:val="left"/>
              <w:rPr>
                <w:rFonts w:ascii="Andes" w:hAnsi="Andes" w:cs="Arial"/>
                <w:color w:val="000000"/>
                <w:sz w:val="22"/>
                <w:szCs w:val="22"/>
              </w:rPr>
            </w:pPr>
            <w:r w:rsidRPr="00833B69">
              <w:rPr>
                <w:rFonts w:ascii="Andes" w:hAnsi="Andes" w:cs="Arial"/>
                <w:color w:val="000000"/>
                <w:sz w:val="22"/>
                <w:szCs w:val="22"/>
              </w:rPr>
              <w:lastRenderedPageBreak/>
              <w:t>Transmission de la Plainte à la Banque, avec l’ensemble des informations et des documents pertinents.</w:t>
            </w:r>
          </w:p>
        </w:tc>
        <w:tc>
          <w:tcPr>
            <w:tcW w:w="1620" w:type="dxa"/>
          </w:tcPr>
          <w:p w14:paraId="24875A0E" w14:textId="77777777" w:rsidR="00995472" w:rsidRPr="00833B69" w:rsidRDefault="00995472" w:rsidP="006D600B">
            <w:pPr>
              <w:spacing w:before="40" w:after="40"/>
              <w:contextualSpacing w:val="0"/>
              <w:jc w:val="left"/>
              <w:rPr>
                <w:rFonts w:ascii="Andes" w:hAnsi="Andes" w:cs="Arial"/>
                <w:bCs/>
                <w:sz w:val="22"/>
                <w:szCs w:val="22"/>
              </w:rPr>
            </w:pPr>
            <w:r w:rsidRPr="00833B69">
              <w:rPr>
                <w:rFonts w:ascii="Andes" w:hAnsi="Andes" w:cs="Arial"/>
                <w:bCs/>
                <w:sz w:val="22"/>
                <w:szCs w:val="22"/>
              </w:rPr>
              <w:t>Emprunteur</w:t>
            </w:r>
          </w:p>
        </w:tc>
        <w:tc>
          <w:tcPr>
            <w:tcW w:w="7560" w:type="dxa"/>
          </w:tcPr>
          <w:p w14:paraId="77969A0F" w14:textId="77777777" w:rsidR="00995472" w:rsidRPr="00833B69" w:rsidRDefault="00995472" w:rsidP="006D600B">
            <w:pPr>
              <w:spacing w:before="40" w:after="40"/>
              <w:contextualSpacing w:val="0"/>
              <w:jc w:val="left"/>
              <w:rPr>
                <w:rFonts w:ascii="Andes" w:hAnsi="Andes" w:cs="Arial"/>
                <w:bCs/>
                <w:sz w:val="22"/>
                <w:szCs w:val="22"/>
              </w:rPr>
            </w:pPr>
            <w:r w:rsidRPr="00833B69">
              <w:rPr>
                <w:rFonts w:ascii="Andes" w:hAnsi="Andes" w:cs="Arial"/>
                <w:bCs/>
                <w:sz w:val="22"/>
                <w:szCs w:val="22"/>
              </w:rPr>
              <w:t>Dans les plus brefs délais après réception de la Plainte.</w:t>
            </w:r>
          </w:p>
        </w:tc>
      </w:tr>
    </w:tbl>
    <w:p w14:paraId="2AD009E3" w14:textId="77777777" w:rsidR="00995472" w:rsidRPr="00833B69" w:rsidRDefault="00995472" w:rsidP="00995472">
      <w:pPr>
        <w:spacing w:before="0" w:after="200"/>
        <w:contextualSpacing w:val="0"/>
        <w:jc w:val="left"/>
        <w:rPr>
          <w:rFonts w:ascii="Andes" w:hAnsi="Andes" w:cs="Arial"/>
          <w:szCs w:val="24"/>
        </w:rPr>
      </w:pPr>
    </w:p>
    <w:p w14:paraId="5AC679B8" w14:textId="77777777" w:rsidR="00C07243" w:rsidRDefault="00C07243" w:rsidP="00995472">
      <w:pPr>
        <w:spacing w:before="0" w:after="200"/>
        <w:contextualSpacing w:val="0"/>
        <w:jc w:val="left"/>
        <w:rPr>
          <w:rFonts w:ascii="Andes" w:hAnsi="Andes" w:cs="Arial"/>
          <w:szCs w:val="24"/>
        </w:rPr>
        <w:sectPr w:rsidR="00C07243" w:rsidSect="00C07243">
          <w:pgSz w:w="15840" w:h="12240" w:orient="landscape"/>
          <w:pgMar w:top="1411" w:right="1872" w:bottom="1080" w:left="1440" w:header="720" w:footer="720" w:gutter="0"/>
          <w:cols w:space="720"/>
          <w:docGrid w:linePitch="360"/>
        </w:sectPr>
      </w:pPr>
    </w:p>
    <w:p w14:paraId="704F5171" w14:textId="2EE9FF18" w:rsidR="007C7CAE" w:rsidRPr="00995472" w:rsidRDefault="00C07243" w:rsidP="00C07243">
      <w:pPr>
        <w:tabs>
          <w:tab w:val="left" w:pos="625"/>
        </w:tabs>
        <w:spacing w:before="0" w:after="200"/>
        <w:contextualSpacing w:val="0"/>
        <w:jc w:val="left"/>
        <w:rPr>
          <w:rFonts w:ascii="Andes" w:hAnsi="Andes" w:cs="Arial"/>
          <w:szCs w:val="24"/>
        </w:rPr>
        <w:sectPr w:rsidR="007C7CAE" w:rsidRPr="00995472" w:rsidSect="004F1C69">
          <w:pgSz w:w="15840" w:h="12240" w:orient="landscape"/>
          <w:pgMar w:top="1411" w:right="1872" w:bottom="1080" w:left="1440" w:header="720" w:footer="720" w:gutter="0"/>
          <w:cols w:space="720"/>
          <w:docGrid w:linePitch="360"/>
        </w:sectPr>
      </w:pPr>
      <w:r>
        <w:rPr>
          <w:rFonts w:ascii="Andes" w:hAnsi="Andes" w:cs="Arial"/>
          <w:szCs w:val="24"/>
        </w:rPr>
        <w:lastRenderedPageBreak/>
        <w:tab/>
      </w:r>
    </w:p>
    <w:p w14:paraId="2DF45B0E" w14:textId="77777777" w:rsidR="00D7636C" w:rsidRPr="007656EB" w:rsidRDefault="00F00D96" w:rsidP="00A5557C">
      <w:pPr>
        <w:pStyle w:val="Titre1"/>
        <w:spacing w:before="0" w:after="0" w:line="240" w:lineRule="auto"/>
        <w:ind w:left="360"/>
        <w:jc w:val="left"/>
        <w:rPr>
          <w:rFonts w:ascii="Andes" w:hAnsi="Andes" w:cs="Arial"/>
          <w:sz w:val="32"/>
          <w:szCs w:val="32"/>
          <w:lang w:val="en-US"/>
        </w:rPr>
      </w:pPr>
      <w:bookmarkStart w:id="3506" w:name="_Toc392590873"/>
      <w:bookmarkStart w:id="3507" w:name="_Toc412531000"/>
      <w:bookmarkStart w:id="3508" w:name="_Toc453170975"/>
      <w:bookmarkStart w:id="3509" w:name="_Toc453544331"/>
      <w:bookmarkStart w:id="3510" w:name="_Toc405476117"/>
      <w:bookmarkStart w:id="3511" w:name="_Toc388957109"/>
      <w:bookmarkStart w:id="3512" w:name="_Toc389057166"/>
      <w:bookmarkStart w:id="3513" w:name="_Toc389473786"/>
      <w:bookmarkStart w:id="3514" w:name="_Toc389661621"/>
      <w:bookmarkStart w:id="3515" w:name="_Toc389662309"/>
      <w:bookmarkStart w:id="3516" w:name="_Toc391067804"/>
      <w:bookmarkStart w:id="3517" w:name="_Toc392590765"/>
      <w:bookmarkEnd w:id="3500"/>
      <w:bookmarkEnd w:id="3501"/>
      <w:bookmarkEnd w:id="3502"/>
      <w:bookmarkEnd w:id="3503"/>
      <w:bookmarkEnd w:id="3504"/>
      <w:bookmarkEnd w:id="3505"/>
      <w:r w:rsidRPr="004A283E">
        <w:rPr>
          <w:rFonts w:ascii="Andes" w:hAnsi="Andes" w:cs="Microsoft Sans Serif"/>
          <w:noProof/>
          <w:color w:val="002060"/>
          <w:sz w:val="24"/>
          <w:lang w:val="en-US"/>
        </w:rPr>
        <w:lastRenderedPageBreak/>
        <mc:AlternateContent>
          <mc:Choice Requires="wps">
            <w:drawing>
              <wp:anchor distT="0" distB="0" distL="114300" distR="114300" simplePos="0" relativeHeight="251658240" behindDoc="0" locked="0" layoutInCell="1" allowOverlap="1" wp14:anchorId="2FC9F4E3" wp14:editId="3A592ED5">
                <wp:simplePos x="0" y="0"/>
                <wp:positionH relativeFrom="page">
                  <wp:posOffset>0</wp:posOffset>
                </wp:positionH>
                <wp:positionV relativeFrom="paragraph">
                  <wp:posOffset>-1190996</wp:posOffset>
                </wp:positionV>
                <wp:extent cx="8151963" cy="1466491"/>
                <wp:effectExtent l="0" t="0" r="1905" b="635"/>
                <wp:wrapNone/>
                <wp:docPr id="21" name="Rectangle 21"/>
                <wp:cNvGraphicFramePr/>
                <a:graphic xmlns:a="http://schemas.openxmlformats.org/drawingml/2006/main">
                  <a:graphicData uri="http://schemas.microsoft.com/office/word/2010/wordprocessingShape">
                    <wps:wsp>
                      <wps:cNvSpPr/>
                      <wps:spPr>
                        <a:xfrm>
                          <a:off x="0" y="0"/>
                          <a:ext cx="8151963" cy="1466491"/>
                        </a:xfrm>
                        <a:prstGeom prst="rect">
                          <a:avLst/>
                        </a:prstGeom>
                        <a:solidFill>
                          <a:srgbClr val="C45911"/>
                        </a:solidFill>
                        <a:ln w="12700" cap="flat" cmpd="sng" algn="ctr">
                          <a:noFill/>
                          <a:prstDash val="solid"/>
                          <a:miter lim="800000"/>
                        </a:ln>
                        <a:effectLst/>
                      </wps:spPr>
                      <wps:txbx>
                        <w:txbxContent>
                          <w:p w14:paraId="7F0BBE59" w14:textId="4D487D2F" w:rsidR="00A41794" w:rsidRPr="008F0584" w:rsidRDefault="00A41794" w:rsidP="00995472">
                            <w:pPr>
                              <w:tabs>
                                <w:tab w:val="left" w:pos="3150"/>
                              </w:tabs>
                              <w:ind w:left="1260"/>
                              <w:rPr>
                                <w:rFonts w:ascii="Andes" w:hAnsi="Andes"/>
                                <w:color w:val="FFFFFF" w:themeColor="background1"/>
                                <w:sz w:val="44"/>
                                <w:szCs w:val="44"/>
                              </w:rPr>
                            </w:pPr>
                            <w:r>
                              <w:rPr>
                                <w:rFonts w:ascii="Andes" w:hAnsi="Andes"/>
                                <w:color w:val="FFFFFF" w:themeColor="background1"/>
                                <w:sz w:val="44"/>
                                <w:szCs w:val="44"/>
                              </w:rPr>
                              <w:t xml:space="preserve">Annexe IV.  </w:t>
                            </w:r>
                            <w:r>
                              <w:rPr>
                                <w:rFonts w:ascii="Andes" w:hAnsi="Andes"/>
                                <w:color w:val="FFFFFF" w:themeColor="background1"/>
                                <w:sz w:val="44"/>
                                <w:szCs w:val="44"/>
                              </w:rPr>
                              <w:tab/>
                              <w:t>Fraude et Corruption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9F4E3" id="Rectangle 21" o:spid="_x0000_s1040" style="position:absolute;left:0;text-align:left;margin-left:0;margin-top:-93.8pt;width:641.9pt;height:115.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" fillcolor="#c45911" stroked="f" strokeweight="1pt">
                <v:textbox>
                  <w:txbxContent>
                    <w:p w14:paraId="7F0BBE59" w14:textId="4D487D2F" w:rsidR="00A41794" w:rsidRPr="008F0584" w:rsidRDefault="00A41794" w:rsidP="00995472">
                      <w:pPr>
                        <w:tabs>
                          <w:tab w:val="left" w:pos="3150"/>
                        </w:tabs>
                        <w:ind w:left="1260"/>
                        <w:rPr>
                          <w:rFonts w:ascii="Andes" w:hAnsi="Andes"/>
                          <w:color w:val="FFFFFF" w:themeColor="background1"/>
                          <w:sz w:val="44"/>
                          <w:szCs w:val="44"/>
                        </w:rPr>
                      </w:pPr>
                      <w:r>
                        <w:rPr>
                          <w:rFonts w:ascii="Andes" w:hAnsi="Andes"/>
                          <w:color w:val="FFFFFF" w:themeColor="background1"/>
                          <w:sz w:val="44"/>
                          <w:szCs w:val="44"/>
                        </w:rPr>
                        <w:t xml:space="preserve">Annexe IV.  </w:t>
                      </w:r>
                      <w:r>
                        <w:rPr>
                          <w:rFonts w:ascii="Andes" w:hAnsi="Andes"/>
                          <w:color w:val="FFFFFF" w:themeColor="background1"/>
                          <w:sz w:val="44"/>
                          <w:szCs w:val="44"/>
                        </w:rPr>
                        <w:tab/>
                        <w:t>Fraude et Corruption</w:t>
                      </w:r>
                    </w:p>
                  </w:txbxContent>
                </v:textbox>
                <w10:wrap anchorx="page"/>
              </v:rect>
            </w:pict>
          </mc:Fallback>
        </mc:AlternateContent>
      </w:r>
      <w:r w:rsidR="008F6BC9" w:rsidRPr="007656EB">
        <w:rPr>
          <w:rFonts w:ascii="Andes" w:hAnsi="Andes" w:cs="Arial"/>
          <w:sz w:val="32"/>
          <w:szCs w:val="32"/>
          <w:lang w:val="en-US"/>
        </w:rPr>
        <w:t>A</w:t>
      </w:r>
      <w:r w:rsidR="00F9558A" w:rsidRPr="007656EB">
        <w:rPr>
          <w:rFonts w:ascii="Andes" w:hAnsi="Andes" w:cs="Arial"/>
          <w:sz w:val="32"/>
          <w:szCs w:val="32"/>
          <w:lang w:val="en-US"/>
        </w:rPr>
        <w:t>nnex</w:t>
      </w:r>
      <w:r w:rsidR="008F6BC9" w:rsidRPr="007656EB">
        <w:rPr>
          <w:rFonts w:ascii="Andes" w:hAnsi="Andes" w:cs="Arial"/>
          <w:sz w:val="32"/>
          <w:szCs w:val="32"/>
          <w:lang w:val="en-US"/>
        </w:rPr>
        <w:t xml:space="preserve"> IV</w:t>
      </w:r>
      <w:r w:rsidR="00687669">
        <w:rPr>
          <w:rFonts w:ascii="Andes" w:hAnsi="Andes" w:cs="Arial"/>
          <w:sz w:val="32"/>
          <w:szCs w:val="32"/>
          <w:lang w:val="en-US"/>
        </w:rPr>
        <w:t xml:space="preserve">.  </w:t>
      </w:r>
      <w:r w:rsidR="00D7636C" w:rsidRPr="007656EB">
        <w:rPr>
          <w:rFonts w:ascii="Andes" w:hAnsi="Andes" w:cs="Arial"/>
          <w:sz w:val="32"/>
          <w:szCs w:val="32"/>
          <w:lang w:val="en-US"/>
        </w:rPr>
        <w:t>Fraud and Corruption</w:t>
      </w:r>
      <w:bookmarkEnd w:id="3506"/>
      <w:bookmarkEnd w:id="3507"/>
      <w:bookmarkEnd w:id="3508"/>
      <w:bookmarkEnd w:id="3509"/>
    </w:p>
    <w:p w14:paraId="701FB898" w14:textId="77777777" w:rsidR="00591DA0" w:rsidRPr="00833B69" w:rsidRDefault="00591DA0" w:rsidP="00591DA0">
      <w:pPr>
        <w:pStyle w:val="Paragraphedeliste"/>
        <w:numPr>
          <w:ilvl w:val="0"/>
          <w:numId w:val="127"/>
        </w:numPr>
        <w:spacing w:before="36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Objet</w:t>
      </w:r>
    </w:p>
    <w:p w14:paraId="0BF98E6A" w14:textId="12F8C0C7" w:rsidR="00591DA0" w:rsidRPr="00833B69" w:rsidRDefault="00591DA0" w:rsidP="00591DA0">
      <w:pPr>
        <w:autoSpaceDE w:val="0"/>
        <w:autoSpaceDN w:val="0"/>
        <w:adjustRightInd w:val="0"/>
        <w:spacing w:line="240" w:lineRule="auto"/>
        <w:ind w:left="720" w:hanging="720"/>
        <w:rPr>
          <w:rFonts w:ascii="Andes" w:hAnsi="Andes" w:cs="Arial"/>
          <w:sz w:val="22"/>
          <w:szCs w:val="22"/>
        </w:rPr>
      </w:pPr>
      <w:r w:rsidRPr="00833B69">
        <w:rPr>
          <w:rFonts w:ascii="Andes" w:hAnsi="Andes" w:cs="Arial"/>
          <w:sz w:val="22"/>
          <w:szCs w:val="22"/>
        </w:rPr>
        <w:t>1.1</w:t>
      </w:r>
      <w:r w:rsidRPr="00833B69">
        <w:rPr>
          <w:rFonts w:ascii="Andes" w:hAnsi="Andes" w:cs="Arial"/>
          <w:sz w:val="22"/>
          <w:szCs w:val="22"/>
        </w:rPr>
        <w:tab/>
        <w:t xml:space="preserve">Les Directives de la Banque pour la lutte contre la </w:t>
      </w:r>
      <w:r w:rsidR="00011D3B">
        <w:rPr>
          <w:rFonts w:ascii="Andes" w:hAnsi="Andes" w:cs="Arial"/>
          <w:sz w:val="22"/>
          <w:szCs w:val="22"/>
        </w:rPr>
        <w:t>C</w:t>
      </w:r>
      <w:r w:rsidRPr="00833B69">
        <w:rPr>
          <w:rFonts w:ascii="Andes" w:hAnsi="Andes" w:cs="Arial"/>
          <w:sz w:val="22"/>
          <w:szCs w:val="22"/>
        </w:rPr>
        <w:t>orruption ainsi que la présente Annexe sont applicables à la passation des marchés dans le cadre des opérations de financement de projets d’investissement de la Banque.</w:t>
      </w:r>
    </w:p>
    <w:p w14:paraId="7FD94142" w14:textId="77777777" w:rsidR="00591DA0" w:rsidRPr="00833B69" w:rsidRDefault="00591DA0" w:rsidP="00591DA0">
      <w:pPr>
        <w:pStyle w:val="Paragraphedeliste"/>
        <w:spacing w:before="240"/>
        <w:ind w:left="630" w:hanging="630"/>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2.</w:t>
      </w:r>
      <w:r w:rsidRPr="00833B69">
        <w:rPr>
          <w:rFonts w:ascii="Andes" w:eastAsiaTheme="majorEastAsia" w:hAnsi="Andes"/>
          <w:b/>
          <w:color w:val="C45911"/>
          <w:sz w:val="32"/>
          <w:szCs w:val="32"/>
        </w:rPr>
        <w:tab/>
        <w:t>Prescriptions</w:t>
      </w:r>
    </w:p>
    <w:p w14:paraId="4CA98F7D" w14:textId="3F0A7F3A" w:rsidR="00591DA0" w:rsidRPr="00833B69" w:rsidRDefault="00591DA0" w:rsidP="00591DA0">
      <w:pPr>
        <w:autoSpaceDE w:val="0"/>
        <w:autoSpaceDN w:val="0"/>
        <w:adjustRightInd w:val="0"/>
        <w:spacing w:after="200" w:line="240" w:lineRule="auto"/>
        <w:ind w:left="720" w:hanging="720"/>
        <w:contextualSpacing w:val="0"/>
        <w:rPr>
          <w:rFonts w:ascii="Andes" w:hAnsi="Andes" w:cs="Arial"/>
          <w:color w:val="000000"/>
          <w:sz w:val="22"/>
          <w:szCs w:val="22"/>
        </w:rPr>
      </w:pPr>
      <w:r w:rsidRPr="00833B69">
        <w:rPr>
          <w:rFonts w:ascii="Andes" w:hAnsi="Andes" w:cs="Arial"/>
          <w:color w:val="000000"/>
          <w:sz w:val="22"/>
          <w:szCs w:val="22"/>
        </w:rPr>
        <w:t xml:space="preserve">2.1 </w:t>
      </w:r>
      <w:r w:rsidRPr="00833B69">
        <w:rPr>
          <w:rFonts w:ascii="Andes" w:hAnsi="Andes" w:cs="Arial"/>
          <w:color w:val="000000"/>
          <w:sz w:val="22"/>
          <w:szCs w:val="22"/>
        </w:rPr>
        <w:tab/>
        <w:t>La Banque exige que les Emprunteurs (y compris les bénéficiaires d’un financement de la Banque), les soumissionnaires (candidats et proposants), consultants, entrepreneurs et fournisseurs, les sous-traitants, sous-consultants, prestataires de services ou fournisseurs, tous les agents (déclarés ou non) ainsi que l’ensemble de leur personnel se conforment aux normes les plus strictes en matière d’éthique</w:t>
      </w:r>
      <w:r w:rsidR="00523149">
        <w:rPr>
          <w:rFonts w:ascii="Andes" w:hAnsi="Andes" w:cs="Arial"/>
          <w:color w:val="000000"/>
          <w:sz w:val="22"/>
          <w:szCs w:val="22"/>
        </w:rPr>
        <w:t>,</w:t>
      </w:r>
      <w:r w:rsidRPr="00833B69">
        <w:rPr>
          <w:rFonts w:ascii="Andes" w:hAnsi="Andes" w:cs="Arial"/>
          <w:color w:val="000000"/>
          <w:sz w:val="22"/>
          <w:szCs w:val="22"/>
        </w:rPr>
        <w:t xml:space="preserve"> durant le processus de passation des marchés, la sélection</w:t>
      </w:r>
      <w:r w:rsidR="00523149">
        <w:rPr>
          <w:rFonts w:ascii="Andes" w:hAnsi="Andes" w:cs="Arial"/>
          <w:color w:val="000000"/>
          <w:sz w:val="22"/>
          <w:szCs w:val="22"/>
        </w:rPr>
        <w:t>,</w:t>
      </w:r>
      <w:r w:rsidRPr="00833B69">
        <w:rPr>
          <w:rFonts w:ascii="Andes" w:hAnsi="Andes" w:cs="Arial"/>
          <w:color w:val="000000"/>
          <w:sz w:val="22"/>
          <w:szCs w:val="22"/>
        </w:rPr>
        <w:t xml:space="preserve"> et l’exécution des contrats financés par la Banque, et s’abstiennent de toute fraude et corruption.</w:t>
      </w:r>
    </w:p>
    <w:p w14:paraId="1FF29AD5" w14:textId="77777777" w:rsidR="00591DA0" w:rsidRPr="00833B69" w:rsidRDefault="00591DA0" w:rsidP="00591DA0">
      <w:pPr>
        <w:autoSpaceDE w:val="0"/>
        <w:autoSpaceDN w:val="0"/>
        <w:adjustRightInd w:val="0"/>
        <w:spacing w:line="240" w:lineRule="auto"/>
        <w:ind w:left="720" w:hanging="720"/>
        <w:rPr>
          <w:rFonts w:ascii="Andes" w:hAnsi="Andes" w:cs="Arial"/>
          <w:color w:val="000000"/>
          <w:sz w:val="22"/>
          <w:szCs w:val="22"/>
        </w:rPr>
      </w:pPr>
      <w:r w:rsidRPr="00833B69">
        <w:rPr>
          <w:rFonts w:ascii="Andes" w:hAnsi="Andes" w:cs="Arial"/>
          <w:color w:val="000000"/>
          <w:sz w:val="22"/>
          <w:szCs w:val="22"/>
        </w:rPr>
        <w:t xml:space="preserve">2.2 </w:t>
      </w:r>
      <w:r w:rsidRPr="00833B69">
        <w:rPr>
          <w:rFonts w:ascii="Andes" w:hAnsi="Andes" w:cs="Arial"/>
          <w:color w:val="000000"/>
          <w:sz w:val="22"/>
          <w:szCs w:val="22"/>
        </w:rPr>
        <w:tab/>
        <w:t>Dans cette optique, la Banque</w:t>
      </w:r>
    </w:p>
    <w:p w14:paraId="392AB0DA" w14:textId="77777777" w:rsidR="00591DA0" w:rsidRPr="00833B69" w:rsidRDefault="00591DA0" w:rsidP="00591DA0">
      <w:pPr>
        <w:pStyle w:val="Paragraphedeliste"/>
        <w:numPr>
          <w:ilvl w:val="0"/>
          <w:numId w:val="273"/>
        </w:numPr>
        <w:autoSpaceDE w:val="0"/>
        <w:autoSpaceDN w:val="0"/>
        <w:adjustRightInd w:val="0"/>
        <w:spacing w:before="0" w:line="240" w:lineRule="auto"/>
        <w:ind w:left="1260"/>
        <w:contextualSpacing w:val="0"/>
        <w:rPr>
          <w:rFonts w:ascii="Andes" w:hAnsi="Andes" w:cs="Arial"/>
          <w:color w:val="000000"/>
          <w:sz w:val="22"/>
          <w:szCs w:val="22"/>
        </w:rPr>
      </w:pPr>
      <w:r w:rsidRPr="00833B69">
        <w:rPr>
          <w:rFonts w:ascii="Andes" w:hAnsi="Andes" w:cs="Arial"/>
          <w:color w:val="000000"/>
          <w:sz w:val="22"/>
          <w:szCs w:val="22"/>
        </w:rPr>
        <w:t>définit aux fins de la présente clause, les termes ci-dessous de la façon suivante :</w:t>
      </w:r>
    </w:p>
    <w:p w14:paraId="35CF5C02" w14:textId="10BF9842" w:rsidR="00591DA0" w:rsidRPr="00833B69" w:rsidRDefault="00591DA0" w:rsidP="00591DA0">
      <w:pPr>
        <w:pStyle w:val="Paragraphedeliste"/>
        <w:numPr>
          <w:ilvl w:val="0"/>
          <w:numId w:val="274"/>
        </w:numPr>
        <w:autoSpaceDE w:val="0"/>
        <w:autoSpaceDN w:val="0"/>
        <w:adjustRightInd w:val="0"/>
        <w:spacing w:before="0" w:line="240" w:lineRule="auto"/>
        <w:ind w:left="1980" w:hanging="180"/>
        <w:contextualSpacing w:val="0"/>
        <w:rPr>
          <w:rFonts w:ascii="Andes" w:hAnsi="Andes" w:cs="Arial"/>
          <w:color w:val="000000"/>
          <w:sz w:val="22"/>
          <w:szCs w:val="22"/>
        </w:rPr>
      </w:pPr>
      <w:r w:rsidRPr="00833B69">
        <w:rPr>
          <w:rFonts w:ascii="Andes" w:hAnsi="Andes" w:cs="Arial"/>
          <w:color w:val="000000"/>
          <w:sz w:val="22"/>
          <w:szCs w:val="22"/>
        </w:rPr>
        <w:t>est considéré comme un « acte de corruption » le fait de proposer, donner, recevoir ou solliciter, directement ou indirectement, un quelconque avantage dans le but d’influencer indûment les actions d’une autre partie;</w:t>
      </w:r>
    </w:p>
    <w:p w14:paraId="6F099722" w14:textId="0A401E71" w:rsidR="00591DA0" w:rsidRPr="00833B69" w:rsidRDefault="00591DA0" w:rsidP="00591DA0">
      <w:pPr>
        <w:pStyle w:val="Paragraphedeliste"/>
        <w:numPr>
          <w:ilvl w:val="0"/>
          <w:numId w:val="274"/>
        </w:numPr>
        <w:autoSpaceDE w:val="0"/>
        <w:autoSpaceDN w:val="0"/>
        <w:adjustRightInd w:val="0"/>
        <w:spacing w:before="0" w:line="240" w:lineRule="auto"/>
        <w:ind w:left="1980" w:hanging="180"/>
        <w:contextualSpacing w:val="0"/>
        <w:rPr>
          <w:rFonts w:ascii="Andes" w:hAnsi="Andes" w:cs="Arial"/>
          <w:color w:val="000000"/>
          <w:sz w:val="22"/>
          <w:szCs w:val="22"/>
        </w:rPr>
      </w:pPr>
      <w:r w:rsidRPr="00833B69">
        <w:rPr>
          <w:rFonts w:ascii="Andes" w:hAnsi="Andes" w:cs="Arial"/>
          <w:color w:val="000000"/>
          <w:sz w:val="22"/>
          <w:szCs w:val="22"/>
        </w:rPr>
        <w:t>est considéré comme une « manœuvre frauduleuse » tout acte ou omission, y compris une présentation déformée des faits, qui induit une partie en erreur, délibérément ou par imprudence</w:t>
      </w:r>
      <w:r w:rsidR="00BC4EE6">
        <w:rPr>
          <w:rFonts w:ascii="Andes" w:hAnsi="Andes" w:cs="Arial"/>
          <w:color w:val="000000"/>
          <w:sz w:val="22"/>
          <w:szCs w:val="22"/>
        </w:rPr>
        <w:t xml:space="preserve"> intentionnelle</w:t>
      </w:r>
      <w:r w:rsidRPr="00833B69">
        <w:rPr>
          <w:rFonts w:ascii="Andes" w:hAnsi="Andes" w:cs="Arial"/>
          <w:color w:val="000000"/>
          <w:sz w:val="22"/>
          <w:szCs w:val="22"/>
        </w:rPr>
        <w:t xml:space="preserve">, ou tente d’induire une partie en erreur dans le but d’obtenir un avantage financier ou d’une autre nature, ou de se soustraire à une obligation ; </w:t>
      </w:r>
    </w:p>
    <w:p w14:paraId="5DF7EE75" w14:textId="2140DAB2" w:rsidR="00591DA0" w:rsidRPr="00833B69" w:rsidRDefault="00591DA0" w:rsidP="00591DA0">
      <w:pPr>
        <w:pStyle w:val="Paragraphedeliste"/>
        <w:numPr>
          <w:ilvl w:val="0"/>
          <w:numId w:val="274"/>
        </w:numPr>
        <w:autoSpaceDE w:val="0"/>
        <w:autoSpaceDN w:val="0"/>
        <w:adjustRightInd w:val="0"/>
        <w:spacing w:before="0" w:line="240" w:lineRule="auto"/>
        <w:ind w:left="1980" w:hanging="180"/>
        <w:contextualSpacing w:val="0"/>
        <w:rPr>
          <w:rFonts w:ascii="Andes" w:hAnsi="Andes" w:cs="Arial"/>
          <w:color w:val="000000"/>
          <w:sz w:val="22"/>
          <w:szCs w:val="22"/>
        </w:rPr>
      </w:pPr>
      <w:r w:rsidRPr="00833B69">
        <w:rPr>
          <w:rFonts w:ascii="Andes" w:hAnsi="Andes" w:cs="Arial"/>
          <w:color w:val="000000"/>
          <w:sz w:val="22"/>
          <w:szCs w:val="22"/>
        </w:rPr>
        <w:t xml:space="preserve">une « manœuvre collusoire » est une entente entre plusieurs parties destinée à atteindre un but illégitime, </w:t>
      </w:r>
      <w:r w:rsidR="00BC4EE6">
        <w:rPr>
          <w:rFonts w:ascii="Andes" w:hAnsi="Andes" w:cs="Arial"/>
          <w:color w:val="000000"/>
          <w:sz w:val="22"/>
          <w:szCs w:val="22"/>
        </w:rPr>
        <w:t xml:space="preserve">y compris </w:t>
      </w:r>
      <w:r w:rsidRPr="00833B69">
        <w:rPr>
          <w:rFonts w:ascii="Andes" w:hAnsi="Andes" w:cs="Arial"/>
          <w:color w:val="000000"/>
          <w:sz w:val="22"/>
          <w:szCs w:val="22"/>
        </w:rPr>
        <w:t>influencer indûment les actes d’une autre partie;</w:t>
      </w:r>
    </w:p>
    <w:p w14:paraId="0B83E921" w14:textId="77777777" w:rsidR="00591DA0" w:rsidRPr="00833B69" w:rsidRDefault="00591DA0" w:rsidP="00591DA0">
      <w:pPr>
        <w:pStyle w:val="Paragraphedeliste"/>
        <w:numPr>
          <w:ilvl w:val="0"/>
          <w:numId w:val="274"/>
        </w:numPr>
        <w:autoSpaceDE w:val="0"/>
        <w:autoSpaceDN w:val="0"/>
        <w:adjustRightInd w:val="0"/>
        <w:spacing w:before="0" w:line="240" w:lineRule="auto"/>
        <w:ind w:left="1980" w:hanging="180"/>
        <w:contextualSpacing w:val="0"/>
        <w:rPr>
          <w:rFonts w:ascii="Andes" w:hAnsi="Andes" w:cs="Arial"/>
          <w:color w:val="000000"/>
          <w:sz w:val="22"/>
          <w:szCs w:val="22"/>
        </w:rPr>
      </w:pPr>
      <w:r w:rsidRPr="00833B69">
        <w:rPr>
          <w:rFonts w:ascii="Andes" w:hAnsi="Andes" w:cs="Arial"/>
          <w:color w:val="000000"/>
          <w:sz w:val="22"/>
          <w:szCs w:val="22"/>
        </w:rPr>
        <w:t>une « manœuvre coercitive » consiste à porter atteinte ou à causer préjudice, ou à menacer de porter atteinte ou de causer préjudice, directement ou indirectement, à une quelconque partie ou à l’un de ses biens dans le but d’influencer indûment ses actes ;</w:t>
      </w:r>
    </w:p>
    <w:p w14:paraId="5E935CAC" w14:textId="77777777" w:rsidR="00591DA0" w:rsidRPr="00833B69" w:rsidRDefault="00591DA0" w:rsidP="00591DA0">
      <w:pPr>
        <w:pStyle w:val="Paragraphedeliste"/>
        <w:numPr>
          <w:ilvl w:val="0"/>
          <w:numId w:val="274"/>
        </w:numPr>
        <w:autoSpaceDE w:val="0"/>
        <w:autoSpaceDN w:val="0"/>
        <w:adjustRightInd w:val="0"/>
        <w:spacing w:before="0" w:line="240" w:lineRule="auto"/>
        <w:ind w:left="1980" w:hanging="180"/>
        <w:contextualSpacing w:val="0"/>
        <w:rPr>
          <w:rFonts w:ascii="Andes" w:hAnsi="Andes" w:cs="Arial"/>
          <w:color w:val="000000"/>
          <w:sz w:val="22"/>
          <w:szCs w:val="22"/>
        </w:rPr>
      </w:pPr>
      <w:r w:rsidRPr="00833B69">
        <w:rPr>
          <w:rFonts w:ascii="Andes" w:hAnsi="Andes" w:cs="Arial"/>
          <w:color w:val="000000"/>
          <w:sz w:val="22"/>
          <w:szCs w:val="22"/>
        </w:rPr>
        <w:t xml:space="preserve">par « manœuvre obstructionniste », on entend </w:t>
      </w:r>
    </w:p>
    <w:p w14:paraId="5657097A" w14:textId="77777777" w:rsidR="00591DA0" w:rsidRPr="00833B69" w:rsidRDefault="00591DA0" w:rsidP="00591DA0">
      <w:pPr>
        <w:pStyle w:val="Paragraphedeliste"/>
        <w:numPr>
          <w:ilvl w:val="0"/>
          <w:numId w:val="275"/>
        </w:numPr>
        <w:autoSpaceDE w:val="0"/>
        <w:autoSpaceDN w:val="0"/>
        <w:adjustRightInd w:val="0"/>
        <w:spacing w:before="0" w:line="240" w:lineRule="auto"/>
        <w:ind w:hanging="540"/>
        <w:contextualSpacing w:val="0"/>
        <w:rPr>
          <w:rFonts w:ascii="Andes" w:hAnsi="Andes" w:cs="Arial"/>
          <w:color w:val="000000"/>
          <w:sz w:val="22"/>
          <w:szCs w:val="22"/>
        </w:rPr>
      </w:pPr>
      <w:r w:rsidRPr="00833B69">
        <w:rPr>
          <w:rFonts w:ascii="Andes" w:hAnsi="Andes" w:cs="Arial"/>
          <w:color w:val="000000"/>
          <w:sz w:val="22"/>
          <w:szCs w:val="22"/>
        </w:rPr>
        <w:t>un acte visant à détruire, falsifier, altérer ou dissimuler délibérément tout élément de preuve dans une enquête, une fausse déclaration faite aux enquêteurs pour entraver concrètement une enquête menée par la Banque sur des affaires de corruption, des manœuvres frauduleuses ou des pratiques coercitives ou collusoires présumées, ou la menace, le harcèlement ou l’intimidation d’une quelconque partie pour l’empêcher de divulguer ce qu’elle sait sur des questions intéressant l’enquête ou de poursuivre l’enquête ; ou</w:t>
      </w:r>
    </w:p>
    <w:p w14:paraId="641362BD" w14:textId="5012936A" w:rsidR="00591DA0" w:rsidRPr="00833B69" w:rsidRDefault="00591DA0" w:rsidP="00591DA0">
      <w:pPr>
        <w:pStyle w:val="Paragraphedeliste"/>
        <w:numPr>
          <w:ilvl w:val="0"/>
          <w:numId w:val="275"/>
        </w:numPr>
        <w:autoSpaceDE w:val="0"/>
        <w:autoSpaceDN w:val="0"/>
        <w:adjustRightInd w:val="0"/>
        <w:spacing w:before="0" w:line="240" w:lineRule="auto"/>
        <w:ind w:hanging="540"/>
        <w:contextualSpacing w:val="0"/>
        <w:rPr>
          <w:rFonts w:ascii="Andes" w:hAnsi="Andes" w:cs="Arial"/>
          <w:color w:val="000000"/>
          <w:sz w:val="22"/>
          <w:szCs w:val="22"/>
        </w:rPr>
      </w:pPr>
      <w:r w:rsidRPr="00833B69">
        <w:rPr>
          <w:rFonts w:ascii="Andes" w:hAnsi="Andes" w:cs="Arial"/>
          <w:color w:val="000000"/>
          <w:sz w:val="22"/>
          <w:szCs w:val="22"/>
        </w:rPr>
        <w:lastRenderedPageBreak/>
        <w:t xml:space="preserve">un acte visant à entraver concrètement l’exercice par la Banque </w:t>
      </w:r>
      <w:r w:rsidR="00246B48">
        <w:rPr>
          <w:rFonts w:ascii="Andes" w:hAnsi="Andes" w:cs="Arial"/>
          <w:color w:val="000000"/>
          <w:sz w:val="22"/>
          <w:szCs w:val="22"/>
        </w:rPr>
        <w:t>de s</w:t>
      </w:r>
      <w:r w:rsidRPr="00833B69">
        <w:rPr>
          <w:rFonts w:ascii="Andes" w:hAnsi="Andes" w:cs="Arial"/>
          <w:color w:val="000000"/>
          <w:sz w:val="22"/>
          <w:szCs w:val="22"/>
        </w:rPr>
        <w:t>es droits d’inspection et d’audit qui lui sont conférés en vertu des stipulations du paragraphe 2.2 e. ci-après ;</w:t>
      </w:r>
    </w:p>
    <w:p w14:paraId="56BFC932" w14:textId="65EC05F5" w:rsidR="00591DA0" w:rsidRPr="00833B69" w:rsidRDefault="00591DA0" w:rsidP="00591DA0">
      <w:pPr>
        <w:pStyle w:val="Paragraphedeliste"/>
        <w:numPr>
          <w:ilvl w:val="0"/>
          <w:numId w:val="273"/>
        </w:numPr>
        <w:autoSpaceDE w:val="0"/>
        <w:autoSpaceDN w:val="0"/>
        <w:adjustRightInd w:val="0"/>
        <w:spacing w:before="0" w:line="240" w:lineRule="auto"/>
        <w:ind w:left="1260"/>
        <w:contextualSpacing w:val="0"/>
        <w:rPr>
          <w:rFonts w:ascii="Andes" w:hAnsi="Andes" w:cs="Arial"/>
          <w:color w:val="000000"/>
          <w:sz w:val="22"/>
          <w:szCs w:val="22"/>
        </w:rPr>
      </w:pPr>
      <w:r w:rsidRPr="00833B69">
        <w:rPr>
          <w:rFonts w:ascii="Andes" w:hAnsi="Andes" w:cs="Arial"/>
          <w:color w:val="000000"/>
          <w:sz w:val="22"/>
          <w:szCs w:val="22"/>
        </w:rPr>
        <w:t>rejette la proposition d’attribution d’un marché ou contrat si elle établit que la personne physique ou morale à laquelle il est recommandé d’attribuer ledit marché ou contrat, ou l’un des membres de son personnel ou l’un de ses agents, sous-consultants, sous-traitants, prestataires de service, fournisseurs, ou un de leurs employés s’est livré, directement ou indirectement, à un acte de corruption, une manœuvre frauduleuse, collusive, coercitive ou obstructionniste en vue de l’obtention dudit marché ou contrat ;</w:t>
      </w:r>
    </w:p>
    <w:p w14:paraId="16966985" w14:textId="77777777" w:rsidR="00591DA0" w:rsidRPr="00833B69" w:rsidRDefault="00591DA0" w:rsidP="00591DA0">
      <w:pPr>
        <w:pStyle w:val="Paragraphedeliste"/>
        <w:numPr>
          <w:ilvl w:val="0"/>
          <w:numId w:val="273"/>
        </w:numPr>
        <w:autoSpaceDE w:val="0"/>
        <w:autoSpaceDN w:val="0"/>
        <w:adjustRightInd w:val="0"/>
        <w:spacing w:before="0" w:line="240" w:lineRule="auto"/>
        <w:ind w:left="1260"/>
        <w:contextualSpacing w:val="0"/>
        <w:rPr>
          <w:rFonts w:ascii="Andes" w:hAnsi="Andes" w:cs="Arial"/>
          <w:color w:val="000000"/>
          <w:sz w:val="22"/>
          <w:szCs w:val="22"/>
        </w:rPr>
      </w:pPr>
      <w:r w:rsidRPr="00833B69">
        <w:rPr>
          <w:rFonts w:ascii="Andes" w:hAnsi="Andes" w:cs="Arial"/>
          <w:color w:val="000000"/>
          <w:sz w:val="22"/>
          <w:szCs w:val="22"/>
        </w:rPr>
        <w:t xml:space="preserve">pourra prendre, en plus des recours juridiques prévus dans l’Accord Juridique pertinent, toutes mesures appropriées, y compris déclarer la passation du marché non conforme, si elle établit qu’à un moment quelconque un représentant de l’Emprunteur ou d’un bénéficiaire d’une partie du prêt s’est livré à un acte de corruption, une manœuvre frauduleuse, collusive, coercitive ou obstructionniste pendant le processus de passation des marchés, la sélection ou l’exécution du marché en question, sans que l’Emprunteur ait pris en temps opportun des mesures appropriées jugées satisfaisantes par la Banque pour mettre fin à ces pratiques au moment de leur survenance, notamment sans en avoir informé la Banque dans les plus brefs délais après avoir pris connaissance de ces pratiques ; </w:t>
      </w:r>
    </w:p>
    <w:p w14:paraId="235ACB71" w14:textId="77777777" w:rsidR="00591DA0" w:rsidRPr="00833B69" w:rsidRDefault="00591DA0" w:rsidP="00591DA0">
      <w:pPr>
        <w:pStyle w:val="Paragraphedeliste"/>
        <w:numPr>
          <w:ilvl w:val="0"/>
          <w:numId w:val="273"/>
        </w:numPr>
        <w:autoSpaceDE w:val="0"/>
        <w:autoSpaceDN w:val="0"/>
        <w:adjustRightInd w:val="0"/>
        <w:spacing w:before="0" w:line="240" w:lineRule="auto"/>
        <w:ind w:left="1260"/>
        <w:contextualSpacing w:val="0"/>
        <w:rPr>
          <w:rFonts w:ascii="Andes" w:hAnsi="Andes" w:cs="Arial"/>
          <w:sz w:val="22"/>
          <w:szCs w:val="22"/>
        </w:rPr>
      </w:pPr>
      <w:r w:rsidRPr="00833B69">
        <w:rPr>
          <w:rFonts w:ascii="Andes" w:hAnsi="Andes" w:cs="Arial"/>
          <w:color w:val="000000"/>
          <w:sz w:val="22"/>
          <w:szCs w:val="22"/>
        </w:rPr>
        <w:t>sanctionne, en application des Directives pour la Lutte contre la Corruption et conformément aux politiques et aux procédures de sanction de la Banque définies dans le Cadre des Sanctions du Groupe de la Ba</w:t>
      </w:r>
      <w:r>
        <w:rPr>
          <w:rFonts w:ascii="Andes" w:hAnsi="Andes" w:cs="Arial"/>
          <w:color w:val="000000"/>
          <w:sz w:val="22"/>
          <w:szCs w:val="22"/>
        </w:rPr>
        <w:t>nque m</w:t>
      </w:r>
      <w:r w:rsidRPr="00833B69">
        <w:rPr>
          <w:rFonts w:ascii="Andes" w:hAnsi="Andes" w:cs="Arial"/>
          <w:color w:val="000000"/>
          <w:sz w:val="22"/>
          <w:szCs w:val="22"/>
        </w:rPr>
        <w:t xml:space="preserve">ondiale, toute personne physique ou morale dont il est déterminé qu’elle s’est livrée, à un moment quelconque, à un acte de fraude ou de corruption lié au </w:t>
      </w:r>
      <w:r w:rsidRPr="00833B69">
        <w:rPr>
          <w:rFonts w:ascii="Andes" w:hAnsi="Andes" w:cs="Arial"/>
          <w:sz w:val="22"/>
          <w:szCs w:val="22"/>
        </w:rPr>
        <w:t>processus de passation des marchés, à la sélection ou à l’exécution d’un contrat financé par la Banque ;</w:t>
      </w:r>
    </w:p>
    <w:p w14:paraId="6D3B6366" w14:textId="55791A70" w:rsidR="00591DA0" w:rsidRPr="00833B69" w:rsidRDefault="00591DA0" w:rsidP="00591DA0">
      <w:pPr>
        <w:pStyle w:val="Paragraphedeliste"/>
        <w:numPr>
          <w:ilvl w:val="0"/>
          <w:numId w:val="273"/>
        </w:numPr>
        <w:autoSpaceDE w:val="0"/>
        <w:autoSpaceDN w:val="0"/>
        <w:adjustRightInd w:val="0"/>
        <w:spacing w:before="0" w:line="240" w:lineRule="auto"/>
        <w:ind w:left="1260"/>
        <w:contextualSpacing w:val="0"/>
        <w:rPr>
          <w:rFonts w:ascii="Andes" w:hAnsi="Andes" w:cs="Arial"/>
          <w:color w:val="000000"/>
          <w:sz w:val="22"/>
          <w:szCs w:val="22"/>
        </w:rPr>
      </w:pPr>
      <w:r w:rsidRPr="00833B69">
        <w:rPr>
          <w:rFonts w:ascii="Andes" w:hAnsi="Andes" w:cs="Arial"/>
          <w:color w:val="000000"/>
          <w:sz w:val="22"/>
          <w:szCs w:val="22"/>
        </w:rPr>
        <w:t>exige qu’une clause soit introduite dans les dossiers d’</w:t>
      </w:r>
      <w:r w:rsidR="00E54405">
        <w:rPr>
          <w:rFonts w:ascii="Andes" w:hAnsi="Andes" w:cs="Arial"/>
          <w:color w:val="000000"/>
          <w:sz w:val="22"/>
          <w:szCs w:val="22"/>
        </w:rPr>
        <w:t>A</w:t>
      </w:r>
      <w:r w:rsidRPr="00833B69">
        <w:rPr>
          <w:rFonts w:ascii="Andes" w:hAnsi="Andes" w:cs="Arial"/>
          <w:color w:val="000000"/>
          <w:sz w:val="22"/>
          <w:szCs w:val="22"/>
        </w:rPr>
        <w:t>ppel d’</w:t>
      </w:r>
      <w:r w:rsidR="00E54405">
        <w:rPr>
          <w:rFonts w:ascii="Andes" w:hAnsi="Andes" w:cs="Arial"/>
          <w:color w:val="000000"/>
          <w:sz w:val="22"/>
          <w:szCs w:val="22"/>
        </w:rPr>
        <w:t>O</w:t>
      </w:r>
      <w:r w:rsidRPr="00833B69">
        <w:rPr>
          <w:rFonts w:ascii="Andes" w:hAnsi="Andes" w:cs="Arial"/>
          <w:color w:val="000000"/>
          <w:sz w:val="22"/>
          <w:szCs w:val="22"/>
        </w:rPr>
        <w:t>ffres et d’</w:t>
      </w:r>
      <w:r w:rsidR="00E54405">
        <w:rPr>
          <w:rFonts w:ascii="Andes" w:hAnsi="Andes" w:cs="Arial"/>
          <w:color w:val="000000"/>
          <w:sz w:val="22"/>
          <w:szCs w:val="22"/>
        </w:rPr>
        <w:t>A</w:t>
      </w:r>
      <w:r w:rsidRPr="00833B69">
        <w:rPr>
          <w:rFonts w:ascii="Andes" w:hAnsi="Andes" w:cs="Arial"/>
          <w:color w:val="000000"/>
          <w:sz w:val="22"/>
          <w:szCs w:val="22"/>
        </w:rPr>
        <w:t xml:space="preserve">ppels à </w:t>
      </w:r>
      <w:r w:rsidR="00E54405">
        <w:rPr>
          <w:rFonts w:ascii="Andes" w:hAnsi="Andes" w:cs="Arial"/>
          <w:color w:val="000000"/>
          <w:sz w:val="22"/>
          <w:szCs w:val="22"/>
        </w:rPr>
        <w:t>P</w:t>
      </w:r>
      <w:r w:rsidRPr="00833B69">
        <w:rPr>
          <w:rFonts w:ascii="Andes" w:hAnsi="Andes" w:cs="Arial"/>
          <w:color w:val="000000"/>
          <w:sz w:val="22"/>
          <w:szCs w:val="22"/>
        </w:rPr>
        <w:t>ropositions ainsi que dans les contrats financés par un prêt de la Banque obligeant les soumissionnaires (candidats/proposants), consultants, entrepreneurs et fournisseurs, leurs sous-traitants, sous-consultants, agents, personnels, consultants, prestataires de services et fournisseurs à autoriser la Banque à inspecter</w:t>
      </w:r>
      <w:r w:rsidRPr="00833B69">
        <w:rPr>
          <w:rStyle w:val="Appelnotedebasdep"/>
          <w:rFonts w:ascii="Andes" w:hAnsi="Andes" w:cs="Arial"/>
          <w:color w:val="000000"/>
          <w:sz w:val="22"/>
          <w:szCs w:val="22"/>
        </w:rPr>
        <w:footnoteReference w:id="2"/>
      </w:r>
      <w:r w:rsidRPr="00833B69">
        <w:rPr>
          <w:rFonts w:ascii="Andes" w:hAnsi="Andes" w:cs="Arial"/>
          <w:color w:val="000000"/>
          <w:sz w:val="22"/>
          <w:szCs w:val="22"/>
        </w:rPr>
        <w:t xml:space="preserve"> tous les comptes, dossiers et autre documents relatifs au processus de passation des marchés, à la sélection et à l’exécution du marché et à charger des vérificateurs nommés par elle de réaliser un audit ; </w:t>
      </w:r>
    </w:p>
    <w:p w14:paraId="1A61267C" w14:textId="31F9F5AE" w:rsidR="00591DA0" w:rsidRPr="00833B69" w:rsidRDefault="00591DA0" w:rsidP="00591DA0">
      <w:pPr>
        <w:pStyle w:val="Paragraphedeliste"/>
        <w:numPr>
          <w:ilvl w:val="0"/>
          <w:numId w:val="273"/>
        </w:numPr>
        <w:autoSpaceDE w:val="0"/>
        <w:autoSpaceDN w:val="0"/>
        <w:adjustRightInd w:val="0"/>
        <w:spacing w:before="0" w:line="240" w:lineRule="auto"/>
        <w:ind w:left="1260"/>
        <w:contextualSpacing w:val="0"/>
        <w:rPr>
          <w:rFonts w:ascii="Andes" w:hAnsi="Andes" w:cs="Arial"/>
          <w:color w:val="000000"/>
          <w:sz w:val="22"/>
          <w:szCs w:val="22"/>
        </w:rPr>
      </w:pPr>
      <w:r w:rsidRPr="00833B69">
        <w:rPr>
          <w:rFonts w:ascii="Andes" w:hAnsi="Andes" w:cs="Arial"/>
          <w:color w:val="000000"/>
          <w:sz w:val="22"/>
          <w:szCs w:val="22"/>
        </w:rPr>
        <w:t>exige que, s’agissant des opérations financées par la Banque qui doivent être mises en œuvre sur la base de modalités nationales de passation de marchés et de PPP, approuvées par la Banque, les soumissionnaires (candidats/proposants) et consultants soumettant des offres/propositions</w:t>
      </w:r>
      <w:r w:rsidR="004C1DD0">
        <w:rPr>
          <w:rFonts w:ascii="Andes" w:hAnsi="Andes" w:cs="Arial"/>
          <w:color w:val="000000"/>
          <w:sz w:val="22"/>
          <w:szCs w:val="22"/>
        </w:rPr>
        <w:t>,</w:t>
      </w:r>
      <w:r w:rsidRPr="00833B69">
        <w:rPr>
          <w:rFonts w:ascii="Andes" w:hAnsi="Andes" w:cs="Arial"/>
          <w:color w:val="000000"/>
          <w:sz w:val="22"/>
          <w:szCs w:val="22"/>
        </w:rPr>
        <w:t xml:space="preserve"> acceptent l’application des </w:t>
      </w:r>
      <w:r w:rsidRPr="00833B69">
        <w:rPr>
          <w:rFonts w:ascii="Andes" w:hAnsi="Andes" w:cs="Arial"/>
          <w:sz w:val="22"/>
          <w:szCs w:val="22"/>
        </w:rPr>
        <w:t xml:space="preserve">Directives pour la lutte contre la corruption et s’engagent à les respecter tout au long du processus de passation des marchés, de la sélection et de l’exécution du contrat, et reconnaissent notamment le droit de la Banque d’infliger des sanctions selon les stipulations du paragraphe 2.2.d., </w:t>
      </w:r>
      <w:r w:rsidRPr="00833B69">
        <w:rPr>
          <w:rFonts w:ascii="Andes" w:hAnsi="Andes" w:cs="Arial"/>
          <w:sz w:val="22"/>
          <w:szCs w:val="22"/>
        </w:rPr>
        <w:lastRenderedPageBreak/>
        <w:t xml:space="preserve">et le droit de la Banque d’effectuer des inspections et des vérifications selon les stipulations du paragraphe 2.2.e. Les Emprunteurs s’engagent à consulter et à observer les listes des personnes morales et physiques suspendues ou exclues par le Groupe de la Banque mondiale. </w:t>
      </w:r>
      <w:r w:rsidRPr="00833B69">
        <w:rPr>
          <w:rFonts w:ascii="Andes" w:hAnsi="Andes" w:cs="Arial"/>
          <w:color w:val="000000"/>
          <w:sz w:val="22"/>
          <w:szCs w:val="22"/>
        </w:rPr>
        <w:t xml:space="preserve">En cas de signature par un Emprunteur d’un contrat avec une personne physique ou morale suspendue ou exclue par le Groupe de la Banque mondiale, la Banque ne financera par les dépenses correspondantes et pourra exercer d’autres recours, le cas échéant ; et </w:t>
      </w:r>
    </w:p>
    <w:p w14:paraId="1C0E2237" w14:textId="77777777" w:rsidR="00591DA0" w:rsidRPr="00833B69" w:rsidRDefault="00591DA0" w:rsidP="003000E4">
      <w:pPr>
        <w:pStyle w:val="Paragraphedeliste"/>
        <w:numPr>
          <w:ilvl w:val="0"/>
          <w:numId w:val="273"/>
        </w:numPr>
        <w:autoSpaceDE w:val="0"/>
        <w:autoSpaceDN w:val="0"/>
        <w:adjustRightInd w:val="0"/>
        <w:spacing w:before="0" w:line="240" w:lineRule="auto"/>
        <w:ind w:left="1260"/>
        <w:contextualSpacing w:val="0"/>
        <w:rPr>
          <w:rFonts w:ascii="Andes" w:hAnsi="Andes" w:cs="Arial"/>
          <w:color w:val="000000"/>
          <w:sz w:val="22"/>
          <w:szCs w:val="22"/>
        </w:rPr>
      </w:pPr>
      <w:r w:rsidRPr="00833B69">
        <w:rPr>
          <w:rFonts w:ascii="Andes" w:hAnsi="Andes" w:cs="Arial"/>
          <w:color w:val="000000"/>
          <w:sz w:val="22"/>
          <w:szCs w:val="22"/>
        </w:rPr>
        <w:t>exige que, lorsque l’Emprunteur sélectionne une Institution des Nations Unies comme fournisseur de Fournitures, de Travaux, de Services Autres que des Services de Consultants ou de services d’assistance technique, conformément aux paragraphes 6.47-6.48 et 7.27-7.28 du présent Règlement de Passation des Marchés, en vertu d’un accord signé entre l’Emprunteur et l’Institution des Nations Unies, les stipulations ci-dessus du paragraphe 2 de la présente Annexe relatives aux sanctions applicables en cas de fraude et de corruption s’appliquent intégralement à tous les entrepreneurs, consultants, sous-traitants, sous-consultants, prestataires de services, fournisseurs, et leurs employés, qui ont signé un contrat avec ladite Institution des Nations Unies.</w:t>
      </w:r>
      <w:r w:rsidRPr="00833B69">
        <w:rPr>
          <w:rFonts w:ascii="Andes" w:hAnsi="Andes" w:cs="Arial"/>
          <w:sz w:val="22"/>
          <w:szCs w:val="22"/>
        </w:rPr>
        <w:t xml:space="preserve"> </w:t>
      </w:r>
      <w:r w:rsidRPr="00833B69">
        <w:rPr>
          <w:rFonts w:ascii="Andes" w:hAnsi="Andes" w:cs="Arial"/>
          <w:color w:val="000000"/>
          <w:sz w:val="22"/>
          <w:szCs w:val="22"/>
        </w:rPr>
        <w:t>Par dérogation à ce qui précède, les paragraphes 2.2 d. et 2.2 e. ne s’appliquent pas aux Institutions des Nations Unies et à leurs employés, et le paragraphe 2.2 e. ne s’applique pas aux contrats passés entre une Institution des Nations Unies et ses prestataires de services et fournisseurs.</w:t>
      </w:r>
      <w:r w:rsidRPr="00833B69">
        <w:rPr>
          <w:rFonts w:ascii="Andes" w:hAnsi="Andes" w:cs="Arial"/>
          <w:sz w:val="22"/>
          <w:szCs w:val="22"/>
        </w:rPr>
        <w:t xml:space="preserve"> </w:t>
      </w:r>
      <w:r w:rsidRPr="00833B69">
        <w:rPr>
          <w:rFonts w:ascii="Andes" w:hAnsi="Andes" w:cs="Arial"/>
          <w:color w:val="000000"/>
          <w:sz w:val="22"/>
          <w:szCs w:val="22"/>
        </w:rPr>
        <w:t>Dans ce cas, l’Institution des Nations Unies applique ses propres règles et réglementations pour enquêter sur des allégations de fraude ou de corruption, sous réserve des conditions convenues entre la Banque et l’Institution des Nations Unies concernée, notamment en ce qui concerne l’obligation de tenir la Banque régulièrement informée des décisions et mesures prises</w:t>
      </w:r>
      <w:r w:rsidRPr="00833B69">
        <w:rPr>
          <w:rFonts w:ascii="Andes" w:hAnsi="Andes" w:cs="Arial"/>
          <w:sz w:val="22"/>
          <w:szCs w:val="22"/>
        </w:rPr>
        <w:t xml:space="preserve">. </w:t>
      </w:r>
      <w:r w:rsidRPr="00833B69">
        <w:rPr>
          <w:rFonts w:ascii="Andes" w:hAnsi="Andes" w:cs="Arial"/>
          <w:color w:val="000000"/>
          <w:sz w:val="22"/>
          <w:szCs w:val="22"/>
        </w:rPr>
        <w:t xml:space="preserve">La Banque conserve le droit d’exiger de l’Emprunteur qu’il exerce des recours tels qu’une interruption provisoire ou définitive du projet. Les Institutions des Nations Unies consultent la liste établie par le Groupe de la Banque mondiale des personnes physiques ou morales suspendues ou exclues. En cas de signature par une Institution des Nations Unies d’un contrat ou d’un bon de commande avec une personne physique ou morale suspendue ou exclue par le Groupe de la Banque mondiale, la Banque ne financera par les dépenses correspondantes et pourra exercer d’autres recours, le cas échéant. </w:t>
      </w:r>
    </w:p>
    <w:p w14:paraId="3100E552" w14:textId="7600908F" w:rsidR="004A0FBC" w:rsidRPr="00B1581D" w:rsidRDefault="00591DA0" w:rsidP="00591DA0">
      <w:pPr>
        <w:autoSpaceDE w:val="0"/>
        <w:autoSpaceDN w:val="0"/>
        <w:adjustRightInd w:val="0"/>
        <w:spacing w:line="240" w:lineRule="auto"/>
        <w:ind w:left="720" w:hanging="720"/>
        <w:rPr>
          <w:rFonts w:ascii="Andes" w:hAnsi="Andes" w:cs="Arial"/>
          <w:color w:val="000000"/>
          <w:sz w:val="22"/>
          <w:szCs w:val="22"/>
        </w:rPr>
      </w:pPr>
      <w:r w:rsidRPr="00833B69">
        <w:rPr>
          <w:rFonts w:ascii="Andes" w:hAnsi="Andes" w:cs="Arial"/>
          <w:color w:val="000000"/>
          <w:sz w:val="22"/>
          <w:szCs w:val="22"/>
        </w:rPr>
        <w:t xml:space="preserve">2.3 </w:t>
      </w:r>
      <w:r w:rsidRPr="00833B69">
        <w:rPr>
          <w:rFonts w:ascii="Andes" w:hAnsi="Andes" w:cs="Arial"/>
          <w:color w:val="000000"/>
          <w:sz w:val="22"/>
          <w:szCs w:val="22"/>
        </w:rPr>
        <w:tab/>
        <w:t xml:space="preserve">Avec l’accord </w:t>
      </w:r>
      <w:r w:rsidR="0028248E">
        <w:rPr>
          <w:rFonts w:ascii="Andes" w:hAnsi="Andes" w:cs="Arial"/>
          <w:color w:val="000000"/>
          <w:sz w:val="22"/>
          <w:szCs w:val="22"/>
        </w:rPr>
        <w:t>formel</w:t>
      </w:r>
      <w:r w:rsidR="0028248E" w:rsidRPr="00833B69">
        <w:rPr>
          <w:rFonts w:ascii="Andes" w:hAnsi="Andes" w:cs="Arial"/>
          <w:color w:val="000000"/>
          <w:sz w:val="22"/>
          <w:szCs w:val="22"/>
        </w:rPr>
        <w:t xml:space="preserve"> </w:t>
      </w:r>
      <w:r w:rsidRPr="00833B69">
        <w:rPr>
          <w:rFonts w:ascii="Andes" w:hAnsi="Andes" w:cs="Arial"/>
          <w:color w:val="000000"/>
          <w:sz w:val="22"/>
          <w:szCs w:val="22"/>
        </w:rPr>
        <w:t>de la Banque, l’Emprunteur peut exiger dans les dossiers d’</w:t>
      </w:r>
      <w:r w:rsidR="000319B0">
        <w:rPr>
          <w:rFonts w:ascii="Andes" w:hAnsi="Andes" w:cs="Arial"/>
          <w:color w:val="000000"/>
          <w:sz w:val="22"/>
          <w:szCs w:val="22"/>
        </w:rPr>
        <w:t>A</w:t>
      </w:r>
      <w:r w:rsidRPr="00833B69">
        <w:rPr>
          <w:rFonts w:ascii="Andes" w:hAnsi="Andes" w:cs="Arial"/>
          <w:color w:val="000000"/>
          <w:sz w:val="22"/>
          <w:szCs w:val="22"/>
        </w:rPr>
        <w:t>ppel d’</w:t>
      </w:r>
      <w:r w:rsidR="000319B0">
        <w:rPr>
          <w:rFonts w:ascii="Andes" w:hAnsi="Andes" w:cs="Arial"/>
          <w:color w:val="000000"/>
          <w:sz w:val="22"/>
          <w:szCs w:val="22"/>
        </w:rPr>
        <w:t>O</w:t>
      </w:r>
      <w:r w:rsidRPr="00833B69">
        <w:rPr>
          <w:rFonts w:ascii="Andes" w:hAnsi="Andes" w:cs="Arial"/>
          <w:color w:val="000000"/>
          <w:sz w:val="22"/>
          <w:szCs w:val="22"/>
        </w:rPr>
        <w:t>ffres et d’</w:t>
      </w:r>
      <w:r w:rsidR="000319B0">
        <w:rPr>
          <w:rFonts w:ascii="Andes" w:hAnsi="Andes" w:cs="Arial"/>
          <w:color w:val="000000"/>
          <w:sz w:val="22"/>
          <w:szCs w:val="22"/>
        </w:rPr>
        <w:t>A</w:t>
      </w:r>
      <w:r w:rsidRPr="00833B69">
        <w:rPr>
          <w:rFonts w:ascii="Andes" w:hAnsi="Andes" w:cs="Arial"/>
          <w:color w:val="000000"/>
          <w:sz w:val="22"/>
          <w:szCs w:val="22"/>
        </w:rPr>
        <w:t xml:space="preserve">ppel à </w:t>
      </w:r>
      <w:r w:rsidR="000319B0">
        <w:rPr>
          <w:rFonts w:ascii="Andes" w:hAnsi="Andes" w:cs="Arial"/>
          <w:color w:val="000000"/>
          <w:sz w:val="22"/>
          <w:szCs w:val="22"/>
        </w:rPr>
        <w:t>P</w:t>
      </w:r>
      <w:r w:rsidRPr="00833B69">
        <w:rPr>
          <w:rFonts w:ascii="Andes" w:hAnsi="Andes" w:cs="Arial"/>
          <w:color w:val="000000"/>
          <w:sz w:val="22"/>
          <w:szCs w:val="22"/>
        </w:rPr>
        <w:t>ropositions pour les marchés financés par la Banque, que les Soumissionnaires ou Consultants incluent dans leur offre ou proposition un engagement de respect, dans le cadre du Processus de Passation de Marché, des lois nationales contre la fraude et la corruption (y compris les pots-de-vin) telles qu’énumérées dans le dossier d’</w:t>
      </w:r>
      <w:r w:rsidR="006E344A">
        <w:rPr>
          <w:rFonts w:ascii="Andes" w:hAnsi="Andes" w:cs="Arial"/>
          <w:color w:val="000000"/>
          <w:sz w:val="22"/>
          <w:szCs w:val="22"/>
        </w:rPr>
        <w:t>A</w:t>
      </w:r>
      <w:r w:rsidRPr="00833B69">
        <w:rPr>
          <w:rFonts w:ascii="Andes" w:hAnsi="Andes" w:cs="Arial"/>
          <w:color w:val="000000"/>
          <w:sz w:val="22"/>
          <w:szCs w:val="22"/>
        </w:rPr>
        <w:t>ppel d’</w:t>
      </w:r>
      <w:r w:rsidR="006E344A">
        <w:rPr>
          <w:rFonts w:ascii="Andes" w:hAnsi="Andes" w:cs="Arial"/>
          <w:color w:val="000000"/>
          <w:sz w:val="22"/>
          <w:szCs w:val="22"/>
        </w:rPr>
        <w:t>O</w:t>
      </w:r>
      <w:r w:rsidRPr="00833B69">
        <w:rPr>
          <w:rFonts w:ascii="Andes" w:hAnsi="Andes" w:cs="Arial"/>
          <w:color w:val="000000"/>
          <w:sz w:val="22"/>
          <w:szCs w:val="22"/>
        </w:rPr>
        <w:t>ffres ou d’</w:t>
      </w:r>
      <w:r w:rsidR="006E344A">
        <w:rPr>
          <w:rFonts w:ascii="Andes" w:hAnsi="Andes" w:cs="Arial"/>
          <w:color w:val="000000"/>
          <w:sz w:val="22"/>
          <w:szCs w:val="22"/>
        </w:rPr>
        <w:t>A</w:t>
      </w:r>
      <w:r w:rsidRPr="00833B69">
        <w:rPr>
          <w:rFonts w:ascii="Andes" w:hAnsi="Andes" w:cs="Arial"/>
          <w:color w:val="000000"/>
          <w:sz w:val="22"/>
          <w:szCs w:val="22"/>
        </w:rPr>
        <w:t xml:space="preserve">ppel à </w:t>
      </w:r>
      <w:r w:rsidR="006E344A">
        <w:rPr>
          <w:rFonts w:ascii="Andes" w:hAnsi="Andes" w:cs="Arial"/>
          <w:color w:val="000000"/>
          <w:sz w:val="22"/>
          <w:szCs w:val="22"/>
        </w:rPr>
        <w:t>P</w:t>
      </w:r>
      <w:r w:rsidRPr="00833B69">
        <w:rPr>
          <w:rFonts w:ascii="Andes" w:hAnsi="Andes" w:cs="Arial"/>
          <w:color w:val="000000"/>
          <w:sz w:val="22"/>
          <w:szCs w:val="22"/>
        </w:rPr>
        <w:t>ropositions. La Banque accepte l’inclusion d’une telle exigence à la demande de l’Emprunteur, sous réserve que les modalités régissant cet engagement soient jugées satisfaisantes par la Banque.</w:t>
      </w:r>
    </w:p>
    <w:p w14:paraId="0A6A3E74" w14:textId="77777777" w:rsidR="004A0FBC" w:rsidRPr="00B1581D" w:rsidRDefault="004A0FBC" w:rsidP="00A5557C">
      <w:pPr>
        <w:jc w:val="left"/>
        <w:rPr>
          <w:rFonts w:ascii="Andes" w:hAnsi="Andes" w:cs="Arial"/>
        </w:rPr>
      </w:pPr>
    </w:p>
    <w:p w14:paraId="28EA9C71" w14:textId="77777777" w:rsidR="003120EA" w:rsidRPr="00B1581D" w:rsidRDefault="003120EA" w:rsidP="003120EA">
      <w:pPr>
        <w:autoSpaceDE w:val="0"/>
        <w:autoSpaceDN w:val="0"/>
        <w:adjustRightInd w:val="0"/>
        <w:spacing w:after="0" w:line="240" w:lineRule="auto"/>
        <w:rPr>
          <w:rFonts w:ascii="Arial" w:hAnsi="Arial" w:cs="Arial"/>
          <w:color w:val="000000"/>
          <w:sz w:val="12"/>
          <w:szCs w:val="12"/>
        </w:rPr>
      </w:pPr>
    </w:p>
    <w:p w14:paraId="4B806CA6" w14:textId="77777777" w:rsidR="008F0584" w:rsidRPr="00B1581D" w:rsidRDefault="008F0584" w:rsidP="008F0584">
      <w:pPr>
        <w:spacing w:before="0" w:after="200" w:line="240" w:lineRule="auto"/>
        <w:ind w:left="630"/>
        <w:contextualSpacing w:val="0"/>
        <w:jc w:val="left"/>
        <w:rPr>
          <w:rFonts w:ascii="Andes" w:hAnsi="Andes" w:cs="Arial"/>
          <w:sz w:val="22"/>
          <w:szCs w:val="22"/>
          <w:highlight w:val="yellow"/>
        </w:rPr>
      </w:pPr>
    </w:p>
    <w:p w14:paraId="18D4EEBB" w14:textId="77777777" w:rsidR="008A510A" w:rsidRPr="00B1581D" w:rsidRDefault="008A510A" w:rsidP="000730F6">
      <w:pPr>
        <w:spacing w:before="0" w:after="200" w:line="240" w:lineRule="auto"/>
        <w:ind w:left="630"/>
        <w:contextualSpacing w:val="0"/>
        <w:jc w:val="left"/>
        <w:rPr>
          <w:rFonts w:ascii="Andes" w:hAnsi="Andes" w:cs="Arial"/>
          <w:sz w:val="22"/>
          <w:szCs w:val="22"/>
          <w:highlight w:val="yellow"/>
        </w:rPr>
        <w:sectPr w:rsidR="008A510A" w:rsidRPr="00B1581D" w:rsidSect="00DE672C">
          <w:headerReference w:type="default" r:id="rId29"/>
          <w:footnotePr>
            <w:numRestart w:val="eachSect"/>
          </w:footnotePr>
          <w:pgSz w:w="11907" w:h="16839" w:code="9"/>
          <w:pgMar w:top="1872" w:right="1440" w:bottom="1440" w:left="1411" w:header="720" w:footer="720" w:gutter="0"/>
          <w:cols w:space="720"/>
          <w:docGrid w:linePitch="360"/>
        </w:sectPr>
      </w:pPr>
    </w:p>
    <w:p w14:paraId="48232DC0" w14:textId="77777777" w:rsidR="002D1F73" w:rsidRPr="00F00D96" w:rsidRDefault="003120EA" w:rsidP="00F00D96">
      <w:pPr>
        <w:pStyle w:val="Titre1"/>
        <w:spacing w:before="0" w:after="0" w:line="240" w:lineRule="auto"/>
        <w:ind w:left="360"/>
        <w:jc w:val="left"/>
        <w:rPr>
          <w:rFonts w:ascii="Andes" w:hAnsi="Andes" w:cs="Arial"/>
          <w:sz w:val="32"/>
          <w:szCs w:val="32"/>
          <w:lang w:val="en-US"/>
        </w:rPr>
      </w:pPr>
      <w:bookmarkStart w:id="3518" w:name="_Toc453170976"/>
      <w:bookmarkStart w:id="3519" w:name="_Toc453544332"/>
      <w:r w:rsidRPr="004A283E">
        <w:rPr>
          <w:rFonts w:ascii="Andes" w:hAnsi="Andes" w:cs="Microsoft Sans Serif"/>
          <w:b w:val="0"/>
          <w:caps/>
          <w:noProof/>
          <w:color w:val="002060"/>
          <w:lang w:val="en-US"/>
        </w:rPr>
        <w:lastRenderedPageBreak/>
        <mc:AlternateContent>
          <mc:Choice Requires="wps">
            <w:drawing>
              <wp:anchor distT="0" distB="0" distL="114300" distR="114300" simplePos="0" relativeHeight="251656192" behindDoc="0" locked="0" layoutInCell="1" allowOverlap="1" wp14:anchorId="176682F0" wp14:editId="0A667C92">
                <wp:simplePos x="0" y="0"/>
                <wp:positionH relativeFrom="page">
                  <wp:posOffset>0</wp:posOffset>
                </wp:positionH>
                <wp:positionV relativeFrom="paragraph">
                  <wp:posOffset>-1179525</wp:posOffset>
                </wp:positionV>
                <wp:extent cx="7850038" cy="1466491"/>
                <wp:effectExtent l="0" t="0" r="0" b="635"/>
                <wp:wrapNone/>
                <wp:docPr id="23" name="Rectangle 23"/>
                <wp:cNvGraphicFramePr/>
                <a:graphic xmlns:a="http://schemas.openxmlformats.org/drawingml/2006/main">
                  <a:graphicData uri="http://schemas.microsoft.com/office/word/2010/wordprocessingShape">
                    <wps:wsp>
                      <wps:cNvSpPr/>
                      <wps:spPr>
                        <a:xfrm>
                          <a:off x="0" y="0"/>
                          <a:ext cx="7850038" cy="1466491"/>
                        </a:xfrm>
                        <a:prstGeom prst="rect">
                          <a:avLst/>
                        </a:prstGeom>
                        <a:solidFill>
                          <a:srgbClr val="C45911"/>
                        </a:solidFill>
                        <a:ln w="12700" cap="flat" cmpd="sng" algn="ctr">
                          <a:noFill/>
                          <a:prstDash val="solid"/>
                          <a:miter lim="800000"/>
                        </a:ln>
                        <a:effectLst/>
                      </wps:spPr>
                      <wps:txbx>
                        <w:txbxContent>
                          <w:p w14:paraId="3CED3D8B" w14:textId="745ED6A8" w:rsidR="00A41794" w:rsidRPr="00EF7732" w:rsidRDefault="00A41794" w:rsidP="002F1DDC">
                            <w:pPr>
                              <w:tabs>
                                <w:tab w:val="left" w:pos="3240"/>
                              </w:tabs>
                              <w:ind w:left="1350"/>
                              <w:jc w:val="left"/>
                            </w:pPr>
                            <w:r w:rsidRPr="00EF7732">
                              <w:rPr>
                                <w:rFonts w:ascii="Andes" w:hAnsi="Andes"/>
                                <w:color w:val="FFFFFF" w:themeColor="background1"/>
                                <w:sz w:val="44"/>
                                <w:szCs w:val="44"/>
                              </w:rPr>
                              <w:t xml:space="preserve">Annexe V.  </w:t>
                            </w:r>
                            <w:r w:rsidRPr="00EF7732">
                              <w:rPr>
                                <w:rFonts w:ascii="Andes" w:hAnsi="Andes"/>
                                <w:color w:val="FFFFFF" w:themeColor="background1"/>
                                <w:sz w:val="44"/>
                                <w:szCs w:val="44"/>
                              </w:rPr>
                              <w:tab/>
                            </w:r>
                            <w:r w:rsidRPr="00DA3384">
                              <w:rPr>
                                <w:rFonts w:ascii="Andes" w:hAnsi="Andes"/>
                                <w:color w:val="FFFFFF" w:themeColor="background1"/>
                                <w:sz w:val="44"/>
                                <w:szCs w:val="44"/>
                              </w:rPr>
                              <w:t>Stratégie de Passation des Marchés du Projet pour Promouvoir le Développement</w:t>
                            </w:r>
                          </w:p>
                          <w:p w14:paraId="08C6F32D" w14:textId="5B67EC9E" w:rsidR="00A41794" w:rsidRPr="002F1DDC" w:rsidRDefault="00A41794" w:rsidP="00DE082D">
                            <w:pPr>
                              <w:tabs>
                                <w:tab w:val="left" w:pos="3240"/>
                              </w:tabs>
                              <w:ind w:left="1350"/>
                              <w:jc w:val="left"/>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682F0" id="Rectangle 23" o:spid="_x0000_s1041" style="position:absolute;left:0;text-align:left;margin-left:0;margin-top:-92.9pt;width:618.1pt;height:115.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" fillcolor="#c45911" stroked="f" strokeweight="1pt">
                <v:textbox>
                  <w:txbxContent>
                    <w:p w14:paraId="3CED3D8B" w14:textId="745ED6A8" w:rsidR="00A41794" w:rsidRPr="00EF7732" w:rsidRDefault="00A41794" w:rsidP="002F1DDC">
                      <w:pPr>
                        <w:tabs>
                          <w:tab w:val="left" w:pos="3240"/>
                        </w:tabs>
                        <w:ind w:left="1350"/>
                        <w:jc w:val="left"/>
                      </w:pPr>
                      <w:r w:rsidRPr="00EF7732">
                        <w:rPr>
                          <w:rFonts w:ascii="Andes" w:hAnsi="Andes"/>
                          <w:color w:val="FFFFFF" w:themeColor="background1"/>
                          <w:sz w:val="44"/>
                          <w:szCs w:val="44"/>
                        </w:rPr>
                        <w:t xml:space="preserve">Annexe V.  </w:t>
                      </w:r>
                      <w:r w:rsidRPr="00EF7732">
                        <w:rPr>
                          <w:rFonts w:ascii="Andes" w:hAnsi="Andes"/>
                          <w:color w:val="FFFFFF" w:themeColor="background1"/>
                          <w:sz w:val="44"/>
                          <w:szCs w:val="44"/>
                        </w:rPr>
                        <w:tab/>
                      </w:r>
                      <w:r w:rsidRPr="00DA3384">
                        <w:rPr>
                          <w:rFonts w:ascii="Andes" w:hAnsi="Andes"/>
                          <w:color w:val="FFFFFF" w:themeColor="background1"/>
                          <w:sz w:val="44"/>
                          <w:szCs w:val="44"/>
                        </w:rPr>
                        <w:t>Stratégie de Passation des Marchés du Projet pour Promouvoir le Développement</w:t>
                      </w:r>
                    </w:p>
                    <w:p w14:paraId="08C6F32D" w14:textId="5B67EC9E" w:rsidR="00A41794" w:rsidRPr="002F1DDC" w:rsidRDefault="00A41794" w:rsidP="00DE082D">
                      <w:pPr>
                        <w:tabs>
                          <w:tab w:val="left" w:pos="3240"/>
                        </w:tabs>
                        <w:ind w:left="1350"/>
                        <w:jc w:val="left"/>
                      </w:pPr>
                    </w:p>
                  </w:txbxContent>
                </v:textbox>
                <w10:wrap anchorx="page"/>
              </v:rect>
            </w:pict>
          </mc:Fallback>
        </mc:AlternateContent>
      </w:r>
      <w:bookmarkStart w:id="3520" w:name="_Toc453170977"/>
      <w:bookmarkEnd w:id="3518"/>
      <w:r w:rsidR="002D1F73" w:rsidRPr="00F00D96">
        <w:rPr>
          <w:rFonts w:ascii="Andes" w:hAnsi="Andes" w:cs="Arial"/>
          <w:sz w:val="32"/>
          <w:szCs w:val="32"/>
          <w:lang w:val="en-US"/>
        </w:rPr>
        <w:t>Annex V</w:t>
      </w:r>
      <w:r w:rsidR="00687669">
        <w:rPr>
          <w:rFonts w:ascii="Andes" w:hAnsi="Andes" w:cs="Arial"/>
          <w:sz w:val="32"/>
          <w:szCs w:val="32"/>
          <w:lang w:val="en-US"/>
        </w:rPr>
        <w:t xml:space="preserve">.  </w:t>
      </w:r>
      <w:r w:rsidR="002D1F73" w:rsidRPr="00F00D96">
        <w:rPr>
          <w:rFonts w:ascii="Andes" w:hAnsi="Andes" w:cs="Arial"/>
          <w:sz w:val="32"/>
          <w:szCs w:val="32"/>
          <w:lang w:val="en-US"/>
        </w:rPr>
        <w:t>Project Procurement Strategy for Development</w:t>
      </w:r>
      <w:bookmarkEnd w:id="3519"/>
      <w:bookmarkEnd w:id="3520"/>
    </w:p>
    <w:p w14:paraId="6165482D" w14:textId="77777777" w:rsidR="00E061C6" w:rsidRPr="00833B69" w:rsidRDefault="00E061C6" w:rsidP="00E061C6">
      <w:pPr>
        <w:pStyle w:val="Paragraphedeliste"/>
        <w:numPr>
          <w:ilvl w:val="0"/>
          <w:numId w:val="276"/>
        </w:numPr>
        <w:spacing w:before="360" w:line="240" w:lineRule="auto"/>
        <w:ind w:left="630" w:hanging="630"/>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Objet</w:t>
      </w:r>
    </w:p>
    <w:p w14:paraId="058EDF23" w14:textId="63F211A5" w:rsidR="00E061C6" w:rsidRPr="00833B69" w:rsidRDefault="00E061C6" w:rsidP="00E061C6">
      <w:pPr>
        <w:pStyle w:val="Paragraphedeliste"/>
        <w:numPr>
          <w:ilvl w:val="0"/>
          <w:numId w:val="83"/>
        </w:numPr>
        <w:spacing w:before="0" w:line="240" w:lineRule="auto"/>
        <w:ind w:left="634"/>
        <w:contextualSpacing w:val="0"/>
        <w:rPr>
          <w:rFonts w:ascii="Andes" w:hAnsi="Andes" w:cs="Arial"/>
          <w:sz w:val="22"/>
          <w:szCs w:val="22"/>
        </w:rPr>
      </w:pPr>
      <w:r w:rsidRPr="00833B69">
        <w:rPr>
          <w:rFonts w:ascii="Andes" w:hAnsi="Andes" w:cs="Arial"/>
          <w:sz w:val="22"/>
          <w:szCs w:val="22"/>
        </w:rPr>
        <w:t xml:space="preserve">La présente Annexe définit les conditions d’élaboration de la Stratégie de Passation des Marchés du Projet pour Promouvoir le Développement </w:t>
      </w:r>
      <w:r w:rsidR="00332FCD" w:rsidRPr="00833B69">
        <w:rPr>
          <w:rFonts w:ascii="Andes" w:hAnsi="Andes" w:cs="Arial"/>
          <w:sz w:val="22"/>
          <w:szCs w:val="22"/>
        </w:rPr>
        <w:t>(</w:t>
      </w:r>
      <w:r w:rsidR="00D70438">
        <w:rPr>
          <w:rFonts w:ascii="Andes" w:hAnsi="Andes" w:cs="Arial"/>
          <w:sz w:val="22"/>
          <w:szCs w:val="22"/>
        </w:rPr>
        <w:t>SPMPD</w:t>
      </w:r>
      <w:r w:rsidRPr="00833B69">
        <w:rPr>
          <w:rFonts w:ascii="Andes" w:hAnsi="Andes" w:cs="Arial"/>
          <w:sz w:val="22"/>
          <w:szCs w:val="22"/>
        </w:rPr>
        <w:t xml:space="preserve">). La </w:t>
      </w:r>
      <w:r w:rsidR="006634EF">
        <w:rPr>
          <w:rFonts w:ascii="Andes" w:hAnsi="Andes" w:cs="Arial"/>
          <w:sz w:val="22"/>
          <w:szCs w:val="22"/>
        </w:rPr>
        <w:t>SPMPD</w:t>
      </w:r>
      <w:r w:rsidRPr="00833B69">
        <w:rPr>
          <w:rFonts w:ascii="Andes" w:hAnsi="Andes" w:cs="Arial"/>
          <w:sz w:val="22"/>
          <w:szCs w:val="22"/>
        </w:rPr>
        <w:t xml:space="preserve"> pose le fondement et la justification des décisions relatives à la passation des marchés, y compris le mode d’approche du marché et les méthodes de sélection. </w:t>
      </w:r>
      <w:r w:rsidR="00374DA7" w:rsidRPr="00882278">
        <w:rPr>
          <w:rFonts w:ascii="Andes" w:hAnsi="Andes" w:cs="Arial"/>
          <w:sz w:val="22"/>
          <w:szCs w:val="22"/>
        </w:rPr>
        <w:t xml:space="preserve">Le niveau de détail et d'analyse de la </w:t>
      </w:r>
      <w:r w:rsidR="00374DA7">
        <w:rPr>
          <w:rFonts w:ascii="Andes" w:hAnsi="Andes" w:cs="Arial"/>
          <w:sz w:val="22"/>
          <w:szCs w:val="22"/>
        </w:rPr>
        <w:t>SMPPD</w:t>
      </w:r>
      <w:r w:rsidR="00374DA7" w:rsidRPr="00882278">
        <w:rPr>
          <w:rFonts w:ascii="Andes" w:hAnsi="Andes" w:cs="Arial"/>
          <w:sz w:val="22"/>
          <w:szCs w:val="22"/>
        </w:rPr>
        <w:t xml:space="preserve"> est proportionnel au risque, à la valeur et à la complexité de la passation de marché du projet.</w:t>
      </w:r>
    </w:p>
    <w:p w14:paraId="5512EDB2" w14:textId="77777777" w:rsidR="00E061C6" w:rsidRPr="00833B69" w:rsidRDefault="00E061C6" w:rsidP="00E061C6">
      <w:pPr>
        <w:pStyle w:val="Paragraphedeliste"/>
        <w:numPr>
          <w:ilvl w:val="0"/>
          <w:numId w:val="276"/>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Prescriptions</w:t>
      </w:r>
    </w:p>
    <w:p w14:paraId="706BBA53" w14:textId="31798F28" w:rsidR="00325992" w:rsidRPr="00882278" w:rsidRDefault="00325992" w:rsidP="00882278">
      <w:pPr>
        <w:pStyle w:val="Paragraphedeliste"/>
        <w:numPr>
          <w:ilvl w:val="1"/>
          <w:numId w:val="276"/>
        </w:numPr>
        <w:spacing w:before="0" w:line="240" w:lineRule="auto"/>
        <w:ind w:left="630" w:hanging="630"/>
        <w:contextualSpacing w:val="0"/>
        <w:rPr>
          <w:rFonts w:ascii="Andes" w:hAnsi="Andes" w:cs="Arial"/>
          <w:sz w:val="22"/>
          <w:szCs w:val="22"/>
        </w:rPr>
      </w:pPr>
      <w:r w:rsidRPr="00882278">
        <w:rPr>
          <w:rFonts w:ascii="Andes" w:hAnsi="Andes" w:cs="Arial"/>
          <w:sz w:val="22"/>
          <w:szCs w:val="22"/>
        </w:rPr>
        <w:t>La Banque demande à l'</w:t>
      </w:r>
      <w:r w:rsidR="00C3417E">
        <w:rPr>
          <w:rFonts w:ascii="Andes" w:hAnsi="Andes" w:cs="Arial"/>
          <w:sz w:val="22"/>
          <w:szCs w:val="22"/>
        </w:rPr>
        <w:t>E</w:t>
      </w:r>
      <w:r w:rsidRPr="00882278">
        <w:rPr>
          <w:rFonts w:ascii="Andes" w:hAnsi="Andes" w:cs="Arial"/>
          <w:sz w:val="22"/>
          <w:szCs w:val="22"/>
        </w:rPr>
        <w:t xml:space="preserve">mprunteur d'élaborer et de tenir à jour </w:t>
      </w:r>
      <w:r w:rsidR="00C3417E">
        <w:rPr>
          <w:rFonts w:ascii="Andes" w:hAnsi="Andes" w:cs="Arial"/>
          <w:sz w:val="22"/>
          <w:szCs w:val="22"/>
        </w:rPr>
        <w:t>une SPMPD</w:t>
      </w:r>
      <w:r w:rsidRPr="00882278">
        <w:rPr>
          <w:rFonts w:ascii="Andes" w:hAnsi="Andes" w:cs="Arial"/>
          <w:sz w:val="22"/>
          <w:szCs w:val="22"/>
        </w:rPr>
        <w:t xml:space="preserve"> pour chaque projet financé dans le cadre </w:t>
      </w:r>
      <w:r w:rsidR="00C3417E">
        <w:rPr>
          <w:rFonts w:ascii="Andes" w:hAnsi="Andes" w:cs="Arial"/>
          <w:sz w:val="22"/>
          <w:szCs w:val="22"/>
        </w:rPr>
        <w:t>du FPI</w:t>
      </w:r>
      <w:r w:rsidRPr="00882278">
        <w:rPr>
          <w:rFonts w:ascii="Andes" w:hAnsi="Andes" w:cs="Arial"/>
          <w:sz w:val="22"/>
          <w:szCs w:val="22"/>
        </w:rPr>
        <w:t xml:space="preserve">. </w:t>
      </w:r>
      <w:r w:rsidR="00C3417E">
        <w:rPr>
          <w:rFonts w:ascii="Andes" w:hAnsi="Andes" w:cs="Arial"/>
          <w:sz w:val="22"/>
          <w:szCs w:val="22"/>
        </w:rPr>
        <w:t>La SPMPD</w:t>
      </w:r>
      <w:r w:rsidRPr="00882278">
        <w:rPr>
          <w:rFonts w:ascii="Andes" w:hAnsi="Andes" w:cs="Arial"/>
          <w:sz w:val="22"/>
          <w:szCs w:val="22"/>
        </w:rPr>
        <w:t xml:space="preserve"> doit indiquer comment les activités de passation de marchés soutiennent les objectifs de développement du projet et permettent d'obtenir l</w:t>
      </w:r>
      <w:r w:rsidR="00AB4702">
        <w:rPr>
          <w:rFonts w:ascii="Andes" w:hAnsi="Andes" w:cs="Arial"/>
          <w:sz w:val="22"/>
          <w:szCs w:val="22"/>
        </w:rPr>
        <w:t>a</w:t>
      </w:r>
      <w:r w:rsidRPr="00882278">
        <w:rPr>
          <w:rFonts w:ascii="Andes" w:hAnsi="Andes" w:cs="Arial"/>
          <w:sz w:val="22"/>
          <w:szCs w:val="22"/>
        </w:rPr>
        <w:t xml:space="preserve"> meilleur</w:t>
      </w:r>
      <w:r w:rsidR="00AB4702">
        <w:rPr>
          <w:rFonts w:ascii="Andes" w:hAnsi="Andes" w:cs="Arial"/>
          <w:sz w:val="22"/>
          <w:szCs w:val="22"/>
        </w:rPr>
        <w:t>e</w:t>
      </w:r>
      <w:r w:rsidRPr="00882278">
        <w:rPr>
          <w:rFonts w:ascii="Andes" w:hAnsi="Andes" w:cs="Arial"/>
          <w:sz w:val="22"/>
          <w:szCs w:val="22"/>
        </w:rPr>
        <w:t xml:space="preserve"> </w:t>
      </w:r>
      <w:r w:rsidR="00AB4702">
        <w:rPr>
          <w:rFonts w:ascii="Andes" w:hAnsi="Andes" w:cs="Arial"/>
          <w:sz w:val="22"/>
          <w:szCs w:val="22"/>
        </w:rPr>
        <w:t>Optimisation des Ressources (OdR</w:t>
      </w:r>
      <w:r w:rsidRPr="00882278">
        <w:rPr>
          <w:rFonts w:ascii="Andes" w:hAnsi="Andes" w:cs="Arial"/>
          <w:sz w:val="22"/>
          <w:szCs w:val="22"/>
        </w:rPr>
        <w:t>) dans le cadre d'une approche fondée sur les risques. L'</w:t>
      </w:r>
      <w:r w:rsidR="00100C1C">
        <w:rPr>
          <w:rFonts w:ascii="Andes" w:hAnsi="Andes" w:cs="Arial"/>
          <w:sz w:val="22"/>
          <w:szCs w:val="22"/>
        </w:rPr>
        <w:t>E</w:t>
      </w:r>
      <w:r w:rsidRPr="00882278">
        <w:rPr>
          <w:rFonts w:ascii="Andes" w:hAnsi="Andes" w:cs="Arial"/>
          <w:sz w:val="22"/>
          <w:szCs w:val="22"/>
        </w:rPr>
        <w:t xml:space="preserve">mprunteur prépare </w:t>
      </w:r>
      <w:r w:rsidR="00100C1C">
        <w:rPr>
          <w:rFonts w:ascii="Andes" w:hAnsi="Andes" w:cs="Arial"/>
          <w:sz w:val="22"/>
          <w:szCs w:val="22"/>
        </w:rPr>
        <w:t>la SPMPD</w:t>
      </w:r>
      <w:r w:rsidRPr="00882278">
        <w:rPr>
          <w:rFonts w:ascii="Andes" w:hAnsi="Andes" w:cs="Arial"/>
          <w:sz w:val="22"/>
          <w:szCs w:val="22"/>
        </w:rPr>
        <w:t xml:space="preserve"> au cours de la préparation du projet, et la Banque examine et approuve </w:t>
      </w:r>
      <w:r w:rsidR="00100C1C">
        <w:rPr>
          <w:rFonts w:ascii="Andes" w:hAnsi="Andes" w:cs="Arial"/>
          <w:sz w:val="22"/>
          <w:szCs w:val="22"/>
        </w:rPr>
        <w:t>la SPMPD</w:t>
      </w:r>
      <w:r w:rsidRPr="00882278">
        <w:rPr>
          <w:rFonts w:ascii="Andes" w:hAnsi="Andes" w:cs="Arial"/>
          <w:sz w:val="22"/>
          <w:szCs w:val="22"/>
        </w:rPr>
        <w:t xml:space="preserve"> avant l'achèvement des négociations de prêt. </w:t>
      </w:r>
    </w:p>
    <w:p w14:paraId="6FD7F670" w14:textId="660E08CA" w:rsidR="00325992" w:rsidRPr="00882278" w:rsidRDefault="00325992" w:rsidP="00882278">
      <w:pPr>
        <w:pStyle w:val="Paragraphedeliste"/>
        <w:numPr>
          <w:ilvl w:val="1"/>
          <w:numId w:val="276"/>
        </w:numPr>
        <w:spacing w:before="0" w:line="240" w:lineRule="auto"/>
        <w:ind w:left="630" w:hanging="630"/>
        <w:contextualSpacing w:val="0"/>
        <w:rPr>
          <w:rFonts w:ascii="Andes" w:hAnsi="Andes" w:cs="Arial"/>
          <w:sz w:val="22"/>
          <w:szCs w:val="22"/>
        </w:rPr>
      </w:pPr>
      <w:r w:rsidRPr="00882278">
        <w:rPr>
          <w:rFonts w:ascii="Andes" w:hAnsi="Andes" w:cs="Arial"/>
          <w:sz w:val="22"/>
          <w:szCs w:val="22"/>
        </w:rPr>
        <w:t xml:space="preserve">L'Emprunteur prépare également des mises à jour annuelles (ou plus fréquentes à la demande de la Banque) </w:t>
      </w:r>
      <w:r w:rsidR="00867D10">
        <w:rPr>
          <w:rFonts w:ascii="Andes" w:hAnsi="Andes" w:cs="Arial"/>
          <w:sz w:val="22"/>
          <w:szCs w:val="22"/>
        </w:rPr>
        <w:t>de la SPMPD</w:t>
      </w:r>
      <w:r w:rsidRPr="00882278">
        <w:rPr>
          <w:rFonts w:ascii="Andes" w:hAnsi="Andes" w:cs="Arial"/>
          <w:sz w:val="22"/>
          <w:szCs w:val="22"/>
        </w:rPr>
        <w:t xml:space="preserve"> et les soumet à la Banque pour examen et approbation. L'Emprunteur met également à jour </w:t>
      </w:r>
      <w:r w:rsidR="00100C1C">
        <w:rPr>
          <w:rFonts w:ascii="Andes" w:hAnsi="Andes" w:cs="Arial"/>
          <w:sz w:val="22"/>
          <w:szCs w:val="22"/>
        </w:rPr>
        <w:t>la SPMPD</w:t>
      </w:r>
      <w:r w:rsidRPr="00882278">
        <w:rPr>
          <w:rFonts w:ascii="Andes" w:hAnsi="Andes" w:cs="Arial"/>
          <w:sz w:val="22"/>
          <w:szCs w:val="22"/>
        </w:rPr>
        <w:t xml:space="preserve"> pour y inclure les conclusions de l'Engagement précoce </w:t>
      </w:r>
      <w:r w:rsidR="00867D10">
        <w:rPr>
          <w:rFonts w:ascii="Andes" w:hAnsi="Andes" w:cs="Arial"/>
          <w:sz w:val="22"/>
          <w:szCs w:val="22"/>
        </w:rPr>
        <w:t>du</w:t>
      </w:r>
      <w:r w:rsidRPr="00882278">
        <w:rPr>
          <w:rFonts w:ascii="Andes" w:hAnsi="Andes" w:cs="Arial"/>
          <w:sz w:val="22"/>
          <w:szCs w:val="22"/>
        </w:rPr>
        <w:t xml:space="preserve"> </w:t>
      </w:r>
      <w:r w:rsidR="00867D10">
        <w:rPr>
          <w:rFonts w:ascii="Andes" w:hAnsi="Andes" w:cs="Arial"/>
          <w:sz w:val="22"/>
          <w:szCs w:val="22"/>
        </w:rPr>
        <w:t>M</w:t>
      </w:r>
      <w:r w:rsidRPr="00882278">
        <w:rPr>
          <w:rFonts w:ascii="Andes" w:hAnsi="Andes" w:cs="Arial"/>
          <w:sz w:val="22"/>
          <w:szCs w:val="22"/>
        </w:rPr>
        <w:t>arché et toute modification nécessaire de l'approche prévue pour la passation des marchés et d'autres questions, et soumet ces mises à jour à la Banque pour examen et approbation.</w:t>
      </w:r>
    </w:p>
    <w:p w14:paraId="68ADF947" w14:textId="589BD516" w:rsidR="00E061C6" w:rsidRPr="00833B69" w:rsidRDefault="00E061C6" w:rsidP="00E061C6">
      <w:pPr>
        <w:pStyle w:val="Paragraphedeliste"/>
        <w:numPr>
          <w:ilvl w:val="1"/>
          <w:numId w:val="276"/>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La </w:t>
      </w:r>
      <w:r w:rsidR="006634EF">
        <w:rPr>
          <w:rFonts w:ascii="Andes" w:hAnsi="Andes" w:cs="Arial"/>
          <w:sz w:val="22"/>
          <w:szCs w:val="22"/>
        </w:rPr>
        <w:t>SPMPD</w:t>
      </w:r>
      <w:r w:rsidRPr="00833B69">
        <w:rPr>
          <w:rFonts w:ascii="Andes" w:hAnsi="Andes" w:cs="Arial"/>
          <w:sz w:val="22"/>
          <w:szCs w:val="22"/>
        </w:rPr>
        <w:t xml:space="preserve"> traite des domaines suivants :</w:t>
      </w:r>
    </w:p>
    <w:p w14:paraId="754111CD" w14:textId="635126FA" w:rsidR="00E061C6" w:rsidRPr="00833B69" w:rsidRDefault="00E061C6" w:rsidP="00E061C6">
      <w:pPr>
        <w:pStyle w:val="Paragraphedeliste"/>
        <w:numPr>
          <w:ilvl w:val="0"/>
          <w:numId w:val="207"/>
        </w:numPr>
        <w:spacing w:before="0" w:line="240" w:lineRule="auto"/>
        <w:ind w:left="1354"/>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identification des besoins </w:t>
      </w:r>
      <w:r w:rsidR="00E85892">
        <w:rPr>
          <w:rFonts w:ascii="Andes" w:eastAsiaTheme="minorHAnsi" w:hAnsi="Andes" w:cs="Arial"/>
          <w:color w:val="000000"/>
          <w:sz w:val="22"/>
          <w:szCs w:val="22"/>
        </w:rPr>
        <w:t>spécifique</w:t>
      </w:r>
      <w:r w:rsidR="00E85892" w:rsidRPr="00833B69">
        <w:rPr>
          <w:rFonts w:ascii="Andes" w:eastAsiaTheme="minorHAnsi" w:hAnsi="Andes" w:cs="Arial"/>
          <w:color w:val="000000"/>
          <w:sz w:val="22"/>
          <w:szCs w:val="22"/>
        </w:rPr>
        <w:t xml:space="preserve">s </w:t>
      </w:r>
      <w:r w:rsidRPr="00833B69">
        <w:rPr>
          <w:rFonts w:ascii="Andes" w:eastAsiaTheme="minorHAnsi" w:hAnsi="Andes" w:cs="Arial"/>
          <w:color w:val="000000"/>
          <w:sz w:val="22"/>
          <w:szCs w:val="22"/>
        </w:rPr>
        <w:t>du projet </w:t>
      </w:r>
      <w:r w:rsidR="00663462">
        <w:rPr>
          <w:rFonts w:ascii="Andes" w:eastAsiaTheme="minorHAnsi" w:hAnsi="Andes" w:cs="Arial"/>
          <w:color w:val="000000"/>
          <w:sz w:val="22"/>
          <w:szCs w:val="22"/>
        </w:rPr>
        <w:t xml:space="preserve">et </w:t>
      </w:r>
      <w:r w:rsidR="00AE1175">
        <w:rPr>
          <w:rFonts w:ascii="Andes" w:eastAsiaTheme="minorHAnsi" w:hAnsi="Andes" w:cs="Arial"/>
          <w:color w:val="000000"/>
          <w:sz w:val="22"/>
          <w:szCs w:val="22"/>
        </w:rPr>
        <w:t xml:space="preserve">des objectifs liés </w:t>
      </w:r>
      <w:r w:rsidR="00AE1175">
        <w:rPr>
          <w:rFonts w:ascii="Andes" w:eastAsiaTheme="minorHAnsi" w:hAnsi="Andes" w:cs="Arial"/>
          <w:color w:val="000000"/>
          <w:sz w:val="22"/>
          <w:szCs w:val="22"/>
        </w:rPr>
        <w:tab/>
        <w:t>à</w:t>
      </w:r>
      <w:r w:rsidR="00E85892">
        <w:rPr>
          <w:rFonts w:ascii="Andes" w:eastAsiaTheme="minorHAnsi" w:hAnsi="Andes" w:cs="Arial"/>
          <w:color w:val="000000"/>
          <w:sz w:val="22"/>
          <w:szCs w:val="22"/>
        </w:rPr>
        <w:t xml:space="preserve"> </w:t>
      </w:r>
      <w:r w:rsidR="00AE1175">
        <w:rPr>
          <w:rFonts w:ascii="Andes" w:eastAsiaTheme="minorHAnsi" w:hAnsi="Andes" w:cs="Arial"/>
          <w:color w:val="000000"/>
          <w:sz w:val="22"/>
          <w:szCs w:val="22"/>
        </w:rPr>
        <w:t xml:space="preserve">la </w:t>
      </w:r>
      <w:r w:rsidR="00E85892">
        <w:rPr>
          <w:rFonts w:ascii="Andes" w:eastAsiaTheme="minorHAnsi" w:hAnsi="Andes" w:cs="Arial"/>
          <w:color w:val="000000"/>
          <w:sz w:val="22"/>
          <w:szCs w:val="22"/>
        </w:rPr>
        <w:t>p</w:t>
      </w:r>
      <w:r w:rsidR="00AE1175">
        <w:rPr>
          <w:rFonts w:ascii="Andes" w:eastAsiaTheme="minorHAnsi" w:hAnsi="Andes" w:cs="Arial"/>
          <w:color w:val="000000"/>
          <w:sz w:val="22"/>
          <w:szCs w:val="22"/>
        </w:rPr>
        <w:t xml:space="preserve">assation des </w:t>
      </w:r>
      <w:r w:rsidR="00E85892">
        <w:rPr>
          <w:rFonts w:ascii="Andes" w:eastAsiaTheme="minorHAnsi" w:hAnsi="Andes" w:cs="Arial"/>
          <w:color w:val="000000"/>
          <w:sz w:val="22"/>
          <w:szCs w:val="22"/>
        </w:rPr>
        <w:t>m</w:t>
      </w:r>
      <w:r w:rsidR="00AE1175">
        <w:rPr>
          <w:rFonts w:ascii="Andes" w:eastAsiaTheme="minorHAnsi" w:hAnsi="Andes" w:cs="Arial"/>
          <w:color w:val="000000"/>
          <w:sz w:val="22"/>
          <w:szCs w:val="22"/>
        </w:rPr>
        <w:t xml:space="preserve">archés </w:t>
      </w:r>
      <w:r w:rsidRPr="00833B69">
        <w:rPr>
          <w:rFonts w:ascii="Andes" w:eastAsiaTheme="minorHAnsi" w:hAnsi="Andes" w:cs="Arial"/>
          <w:color w:val="000000"/>
          <w:sz w:val="22"/>
          <w:szCs w:val="22"/>
        </w:rPr>
        <w:t>;</w:t>
      </w:r>
    </w:p>
    <w:p w14:paraId="5C54CCB9" w14:textId="77777777" w:rsidR="00E061C6" w:rsidRPr="00833B69" w:rsidRDefault="00E061C6" w:rsidP="00E061C6">
      <w:pPr>
        <w:pStyle w:val="Paragraphedeliste"/>
        <w:numPr>
          <w:ilvl w:val="0"/>
          <w:numId w:val="207"/>
        </w:numPr>
        <w:spacing w:before="0" w:line="240" w:lineRule="auto"/>
        <w:ind w:left="1354"/>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évaluation du contexte opérationnel et de ses répercussions éventuelles sur la passation des marchés ; </w:t>
      </w:r>
    </w:p>
    <w:p w14:paraId="3C3EBABC" w14:textId="77777777" w:rsidR="00E061C6" w:rsidRPr="00833B69" w:rsidRDefault="00E061C6" w:rsidP="00E061C6">
      <w:pPr>
        <w:pStyle w:val="Paragraphedeliste"/>
        <w:numPr>
          <w:ilvl w:val="0"/>
          <w:numId w:val="207"/>
        </w:numPr>
        <w:spacing w:before="0" w:line="240" w:lineRule="auto"/>
        <w:ind w:left="1354"/>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évaluation des capacités de l’agence d’exécution, de ses ressources et de ses expériences préalables en matière de marchés relatifs au même type d’activités ;</w:t>
      </w:r>
    </w:p>
    <w:p w14:paraId="1BF21F47" w14:textId="024950F8" w:rsidR="00000BBC" w:rsidRDefault="005A1CD6" w:rsidP="00E061C6">
      <w:pPr>
        <w:pStyle w:val="Paragraphedeliste"/>
        <w:numPr>
          <w:ilvl w:val="0"/>
          <w:numId w:val="207"/>
        </w:numPr>
        <w:spacing w:before="0" w:line="240" w:lineRule="auto"/>
        <w:ind w:left="1354"/>
        <w:contextualSpacing w:val="0"/>
        <w:rPr>
          <w:rFonts w:ascii="Andes" w:eastAsiaTheme="minorHAnsi" w:hAnsi="Andes" w:cs="Arial"/>
          <w:color w:val="000000"/>
          <w:sz w:val="22"/>
          <w:szCs w:val="22"/>
        </w:rPr>
      </w:pPr>
      <w:r>
        <w:rPr>
          <w:rFonts w:ascii="Andes" w:eastAsiaTheme="minorHAnsi" w:hAnsi="Andes" w:cs="Arial"/>
          <w:color w:val="000000"/>
          <w:sz w:val="22"/>
          <w:szCs w:val="22"/>
        </w:rPr>
        <w:t xml:space="preserve">approche pour minimiser </w:t>
      </w:r>
      <w:r w:rsidR="00C232BA">
        <w:rPr>
          <w:rFonts w:ascii="Andes" w:eastAsiaTheme="minorHAnsi" w:hAnsi="Andes" w:cs="Arial"/>
          <w:color w:val="000000"/>
          <w:sz w:val="22"/>
          <w:szCs w:val="22"/>
        </w:rPr>
        <w:t>les risques de passation de marchés du projet</w:t>
      </w:r>
      <w:r w:rsidR="002639AF">
        <w:rPr>
          <w:rFonts w:ascii="Andes" w:eastAsiaTheme="minorHAnsi" w:hAnsi="Andes" w:cs="Arial"/>
          <w:color w:val="000000"/>
          <w:sz w:val="22"/>
          <w:szCs w:val="22"/>
        </w:rPr>
        <w:t xml:space="preserve">, y compris ceux </w:t>
      </w:r>
      <w:r w:rsidR="000B3BB3">
        <w:rPr>
          <w:rFonts w:ascii="Andes" w:eastAsiaTheme="minorHAnsi" w:hAnsi="Andes" w:cs="Arial"/>
          <w:color w:val="000000"/>
          <w:sz w:val="22"/>
          <w:szCs w:val="22"/>
        </w:rPr>
        <w:t>identifiés à travers l</w:t>
      </w:r>
      <w:r w:rsidR="00521701">
        <w:rPr>
          <w:rFonts w:ascii="Andes" w:eastAsiaTheme="minorHAnsi" w:hAnsi="Andes" w:cs="Arial"/>
          <w:color w:val="000000"/>
          <w:sz w:val="22"/>
          <w:szCs w:val="22"/>
        </w:rPr>
        <w:t>’application du</w:t>
      </w:r>
      <w:r w:rsidR="000B3BB3">
        <w:rPr>
          <w:rFonts w:ascii="Andes" w:eastAsiaTheme="minorHAnsi" w:hAnsi="Andes" w:cs="Arial"/>
          <w:color w:val="000000"/>
          <w:sz w:val="22"/>
          <w:szCs w:val="22"/>
        </w:rPr>
        <w:t xml:space="preserve"> Cadre</w:t>
      </w:r>
      <w:r w:rsidR="00521701">
        <w:rPr>
          <w:rFonts w:ascii="Andes" w:eastAsiaTheme="minorHAnsi" w:hAnsi="Andes" w:cs="Arial"/>
          <w:color w:val="000000"/>
          <w:sz w:val="22"/>
          <w:szCs w:val="22"/>
        </w:rPr>
        <w:t xml:space="preserve"> </w:t>
      </w:r>
      <w:r w:rsidR="000B3BB3">
        <w:rPr>
          <w:rFonts w:ascii="Andes" w:eastAsiaTheme="minorHAnsi" w:hAnsi="Andes" w:cs="Arial"/>
          <w:color w:val="000000"/>
          <w:sz w:val="22"/>
          <w:szCs w:val="22"/>
        </w:rPr>
        <w:t xml:space="preserve"> </w:t>
      </w:r>
      <w:r w:rsidR="002639AF">
        <w:rPr>
          <w:rFonts w:ascii="Andes" w:eastAsiaTheme="minorHAnsi" w:hAnsi="Andes" w:cs="Arial"/>
          <w:color w:val="000000"/>
          <w:sz w:val="22"/>
          <w:szCs w:val="22"/>
        </w:rPr>
        <w:t xml:space="preserve"> </w:t>
      </w:r>
      <w:r w:rsidR="00521701">
        <w:rPr>
          <w:rFonts w:ascii="Andes" w:eastAsiaTheme="minorHAnsi" w:hAnsi="Andes" w:cs="Arial"/>
          <w:color w:val="000000"/>
          <w:sz w:val="22"/>
          <w:szCs w:val="22"/>
        </w:rPr>
        <w:t>Environnemental et Social de la Banque ;</w:t>
      </w:r>
    </w:p>
    <w:p w14:paraId="4D8E9CDB" w14:textId="3B5121CF" w:rsidR="00E061C6" w:rsidRPr="00833B69" w:rsidRDefault="00E061C6" w:rsidP="00E061C6">
      <w:pPr>
        <w:pStyle w:val="Paragraphedeliste"/>
        <w:numPr>
          <w:ilvl w:val="0"/>
          <w:numId w:val="207"/>
        </w:numPr>
        <w:spacing w:before="0" w:line="240" w:lineRule="auto"/>
        <w:ind w:left="1354"/>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évaluation </w:t>
      </w:r>
      <w:r w:rsidR="00E85892">
        <w:rPr>
          <w:rFonts w:ascii="Andes" w:eastAsiaTheme="minorHAnsi" w:hAnsi="Andes" w:cs="Arial"/>
          <w:color w:val="000000"/>
          <w:sz w:val="22"/>
          <w:szCs w:val="22"/>
        </w:rPr>
        <w:t xml:space="preserve">de l’adéquation, </w:t>
      </w:r>
      <w:r w:rsidRPr="00833B69">
        <w:rPr>
          <w:rFonts w:ascii="Andes" w:eastAsiaTheme="minorHAnsi" w:hAnsi="Andes" w:cs="Arial"/>
          <w:color w:val="000000"/>
          <w:sz w:val="22"/>
          <w:szCs w:val="22"/>
        </w:rPr>
        <w:t>du comportement et des capacités du marché à répondre à la demande ;</w:t>
      </w:r>
    </w:p>
    <w:p w14:paraId="44219491" w14:textId="64E4D8BA" w:rsidR="00F21330" w:rsidRDefault="00E061C6" w:rsidP="00E061C6">
      <w:pPr>
        <w:pStyle w:val="Paragraphedeliste"/>
        <w:numPr>
          <w:ilvl w:val="0"/>
          <w:numId w:val="207"/>
        </w:numPr>
        <w:spacing w:before="0" w:line="240" w:lineRule="auto"/>
        <w:ind w:left="1354"/>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justification des modalités de passation des marchés proposées sur la base d’une étude de marché, des risques et du contexte opérationnel ainsi que des circonstances propres au projet</w:t>
      </w:r>
      <w:r w:rsidR="00F21330">
        <w:rPr>
          <w:rFonts w:ascii="Andes" w:eastAsiaTheme="minorHAnsi" w:hAnsi="Andes" w:cs="Arial"/>
          <w:color w:val="000000"/>
          <w:sz w:val="22"/>
          <w:szCs w:val="22"/>
        </w:rPr>
        <w:t> ;</w:t>
      </w:r>
      <w:r w:rsidR="0010704D">
        <w:rPr>
          <w:rFonts w:ascii="Andes" w:eastAsiaTheme="minorHAnsi" w:hAnsi="Andes" w:cs="Arial"/>
          <w:color w:val="000000"/>
          <w:sz w:val="22"/>
          <w:szCs w:val="22"/>
        </w:rPr>
        <w:t xml:space="preserve"> et</w:t>
      </w:r>
    </w:p>
    <w:p w14:paraId="7324603D" w14:textId="0EEF89B2" w:rsidR="00E061C6" w:rsidRPr="00833B69" w:rsidRDefault="00F21330" w:rsidP="00E061C6">
      <w:pPr>
        <w:pStyle w:val="Paragraphedeliste"/>
        <w:numPr>
          <w:ilvl w:val="0"/>
          <w:numId w:val="207"/>
        </w:numPr>
        <w:spacing w:before="0" w:line="240" w:lineRule="auto"/>
        <w:ind w:left="1354"/>
        <w:contextualSpacing w:val="0"/>
        <w:rPr>
          <w:rFonts w:ascii="Andes" w:eastAsiaTheme="minorHAnsi" w:hAnsi="Andes" w:cs="Arial"/>
          <w:color w:val="000000"/>
          <w:sz w:val="22"/>
          <w:szCs w:val="22"/>
        </w:rPr>
      </w:pPr>
      <w:r>
        <w:rPr>
          <w:rFonts w:ascii="Andes" w:eastAsiaTheme="minorHAnsi" w:hAnsi="Andes" w:cs="Arial"/>
          <w:color w:val="000000"/>
          <w:sz w:val="22"/>
          <w:szCs w:val="22"/>
        </w:rPr>
        <w:t xml:space="preserve">approche </w:t>
      </w:r>
      <w:r w:rsidR="007D13A1">
        <w:rPr>
          <w:rFonts w:ascii="Andes" w:eastAsiaTheme="minorHAnsi" w:hAnsi="Andes" w:cs="Arial"/>
          <w:color w:val="000000"/>
          <w:sz w:val="22"/>
          <w:szCs w:val="22"/>
        </w:rPr>
        <w:t>et méthodologie d’évaluation proposée</w:t>
      </w:r>
      <w:r w:rsidR="004909DD">
        <w:rPr>
          <w:rFonts w:ascii="Andes" w:eastAsiaTheme="minorHAnsi" w:hAnsi="Andes" w:cs="Arial"/>
          <w:color w:val="000000"/>
          <w:sz w:val="22"/>
          <w:szCs w:val="22"/>
        </w:rPr>
        <w:t xml:space="preserve">, les </w:t>
      </w:r>
      <w:r w:rsidR="0010704D">
        <w:rPr>
          <w:rFonts w:ascii="Andes" w:eastAsiaTheme="minorHAnsi" w:hAnsi="Andes" w:cs="Arial"/>
          <w:color w:val="000000"/>
          <w:sz w:val="22"/>
          <w:szCs w:val="22"/>
        </w:rPr>
        <w:t xml:space="preserve">différentes </w:t>
      </w:r>
      <w:r w:rsidR="004909DD">
        <w:rPr>
          <w:rFonts w:ascii="Andes" w:eastAsiaTheme="minorHAnsi" w:hAnsi="Andes" w:cs="Arial"/>
          <w:color w:val="000000"/>
          <w:sz w:val="22"/>
          <w:szCs w:val="22"/>
        </w:rPr>
        <w:t>étapes d</w:t>
      </w:r>
      <w:r w:rsidR="004930E8">
        <w:rPr>
          <w:rFonts w:ascii="Andes" w:eastAsiaTheme="minorHAnsi" w:hAnsi="Andes" w:cs="Arial"/>
          <w:color w:val="000000"/>
          <w:sz w:val="22"/>
          <w:szCs w:val="22"/>
        </w:rPr>
        <w:t>e l</w:t>
      </w:r>
      <w:r w:rsidR="004909DD">
        <w:rPr>
          <w:rFonts w:ascii="Andes" w:eastAsiaTheme="minorHAnsi" w:hAnsi="Andes" w:cs="Arial"/>
          <w:color w:val="000000"/>
          <w:sz w:val="22"/>
          <w:szCs w:val="22"/>
        </w:rPr>
        <w:t>’évaluation et</w:t>
      </w:r>
      <w:r w:rsidR="004930E8">
        <w:rPr>
          <w:rFonts w:ascii="Andes" w:eastAsiaTheme="minorHAnsi" w:hAnsi="Andes" w:cs="Arial"/>
          <w:color w:val="000000"/>
          <w:sz w:val="22"/>
          <w:szCs w:val="22"/>
        </w:rPr>
        <w:t xml:space="preserve"> l</w:t>
      </w:r>
      <w:r w:rsidR="004909DD">
        <w:rPr>
          <w:rFonts w:ascii="Andes" w:eastAsiaTheme="minorHAnsi" w:hAnsi="Andes" w:cs="Arial"/>
          <w:color w:val="000000"/>
          <w:sz w:val="22"/>
          <w:szCs w:val="22"/>
        </w:rPr>
        <w:t xml:space="preserve">es Critères </w:t>
      </w:r>
      <w:r w:rsidR="004930E8">
        <w:rPr>
          <w:rFonts w:ascii="Andes" w:eastAsiaTheme="minorHAnsi" w:hAnsi="Andes" w:cs="Arial"/>
          <w:color w:val="000000"/>
          <w:sz w:val="22"/>
          <w:szCs w:val="22"/>
        </w:rPr>
        <w:t>n</w:t>
      </w:r>
      <w:r w:rsidR="004909DD">
        <w:rPr>
          <w:rFonts w:ascii="Andes" w:eastAsiaTheme="minorHAnsi" w:hAnsi="Andes" w:cs="Arial"/>
          <w:color w:val="000000"/>
          <w:sz w:val="22"/>
          <w:szCs w:val="22"/>
        </w:rPr>
        <w:t xml:space="preserve">otés </w:t>
      </w:r>
      <w:r w:rsidR="007538D0">
        <w:rPr>
          <w:rFonts w:ascii="Andes" w:eastAsiaTheme="minorHAnsi" w:hAnsi="Andes" w:cs="Arial"/>
          <w:color w:val="000000"/>
          <w:sz w:val="22"/>
          <w:szCs w:val="22"/>
        </w:rPr>
        <w:t xml:space="preserve">spécifiques </w:t>
      </w:r>
      <w:r w:rsidR="00450B9E">
        <w:rPr>
          <w:rFonts w:ascii="Andes" w:eastAsiaTheme="minorHAnsi" w:hAnsi="Andes" w:cs="Arial"/>
          <w:color w:val="000000"/>
          <w:sz w:val="22"/>
          <w:szCs w:val="22"/>
        </w:rPr>
        <w:t>ainsi que</w:t>
      </w:r>
      <w:r w:rsidR="00D460BF">
        <w:rPr>
          <w:rFonts w:ascii="Andes" w:eastAsiaTheme="minorHAnsi" w:hAnsi="Andes" w:cs="Arial"/>
          <w:color w:val="000000"/>
          <w:sz w:val="22"/>
          <w:szCs w:val="22"/>
        </w:rPr>
        <w:t xml:space="preserve"> leur </w:t>
      </w:r>
      <w:r w:rsidR="00450B9E">
        <w:rPr>
          <w:rFonts w:ascii="Andes" w:eastAsiaTheme="minorHAnsi" w:hAnsi="Andes" w:cs="Arial"/>
          <w:color w:val="000000"/>
          <w:sz w:val="22"/>
          <w:szCs w:val="22"/>
        </w:rPr>
        <w:t>hiérarchis</w:t>
      </w:r>
      <w:r w:rsidR="00450B9E">
        <w:rPr>
          <w:rFonts w:ascii="Andes" w:eastAsiaTheme="minorHAnsi" w:hAnsi="Andes" w:cs="Arial"/>
          <w:color w:val="000000"/>
          <w:sz w:val="22"/>
          <w:szCs w:val="22"/>
        </w:rPr>
        <w:t xml:space="preserve">ation </w:t>
      </w:r>
      <w:r w:rsidR="00D460BF">
        <w:rPr>
          <w:rFonts w:ascii="Andes" w:eastAsiaTheme="minorHAnsi" w:hAnsi="Andes" w:cs="Arial"/>
          <w:color w:val="000000"/>
          <w:sz w:val="22"/>
          <w:szCs w:val="22"/>
        </w:rPr>
        <w:t xml:space="preserve">et </w:t>
      </w:r>
      <w:proofErr w:type="spellStart"/>
      <w:r w:rsidR="000533C7">
        <w:rPr>
          <w:rFonts w:ascii="Andes" w:eastAsiaTheme="minorHAnsi" w:hAnsi="Andes" w:cs="Arial"/>
          <w:color w:val="000000"/>
          <w:sz w:val="22"/>
          <w:szCs w:val="22"/>
        </w:rPr>
        <w:t>et</w:t>
      </w:r>
      <w:proofErr w:type="spellEnd"/>
      <w:r w:rsidR="000533C7">
        <w:rPr>
          <w:rFonts w:ascii="Andes" w:eastAsiaTheme="minorHAnsi" w:hAnsi="Andes" w:cs="Arial"/>
          <w:color w:val="000000"/>
          <w:sz w:val="22"/>
          <w:szCs w:val="22"/>
        </w:rPr>
        <w:t xml:space="preserve"> les </w:t>
      </w:r>
      <w:r w:rsidR="00D460BF">
        <w:rPr>
          <w:rFonts w:ascii="Andes" w:eastAsiaTheme="minorHAnsi" w:hAnsi="Andes" w:cs="Arial"/>
          <w:color w:val="000000"/>
          <w:sz w:val="22"/>
          <w:szCs w:val="22"/>
        </w:rPr>
        <w:t>pondération</w:t>
      </w:r>
      <w:r w:rsidR="000533C7">
        <w:rPr>
          <w:rFonts w:ascii="Andes" w:eastAsiaTheme="minorHAnsi" w:hAnsi="Andes" w:cs="Arial"/>
          <w:color w:val="000000"/>
          <w:sz w:val="22"/>
          <w:szCs w:val="22"/>
        </w:rPr>
        <w:t>s proposées</w:t>
      </w:r>
      <w:r w:rsidR="00E061C6" w:rsidRPr="00833B69">
        <w:rPr>
          <w:rFonts w:ascii="Andes" w:eastAsiaTheme="minorHAnsi" w:hAnsi="Andes" w:cs="Arial"/>
          <w:color w:val="000000"/>
          <w:sz w:val="22"/>
          <w:szCs w:val="22"/>
        </w:rPr>
        <w:t>.</w:t>
      </w:r>
    </w:p>
    <w:p w14:paraId="558CE677" w14:textId="16823494" w:rsidR="00E061C6" w:rsidRPr="00833B69" w:rsidRDefault="00E061C6" w:rsidP="00E061C6">
      <w:pPr>
        <w:pStyle w:val="Paragraphedeliste"/>
        <w:numPr>
          <w:ilvl w:val="0"/>
          <w:numId w:val="276"/>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lastRenderedPageBreak/>
        <w:t xml:space="preserve">Éléments spécifiques de la </w:t>
      </w:r>
      <w:r w:rsidR="006634EF">
        <w:rPr>
          <w:rFonts w:ascii="Andes" w:eastAsiaTheme="majorEastAsia" w:hAnsi="Andes"/>
          <w:b/>
          <w:color w:val="C45911"/>
          <w:sz w:val="32"/>
          <w:szCs w:val="32"/>
        </w:rPr>
        <w:t>SPMPD</w:t>
      </w:r>
      <w:r w:rsidRPr="00833B69">
        <w:rPr>
          <w:rFonts w:ascii="Andes" w:eastAsiaTheme="majorEastAsia" w:hAnsi="Andes"/>
          <w:b/>
          <w:color w:val="C45911"/>
          <w:sz w:val="32"/>
          <w:szCs w:val="32"/>
        </w:rPr>
        <w:t xml:space="preserve"> </w:t>
      </w:r>
    </w:p>
    <w:p w14:paraId="19724910" w14:textId="3DF47F9E" w:rsidR="00E061C6" w:rsidRPr="00833B69" w:rsidRDefault="00E061C6" w:rsidP="00E061C6">
      <w:pPr>
        <w:pStyle w:val="Paragraphedeliste"/>
        <w:numPr>
          <w:ilvl w:val="1"/>
          <w:numId w:val="276"/>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La </w:t>
      </w:r>
      <w:r w:rsidR="006634EF">
        <w:rPr>
          <w:rFonts w:ascii="Andes" w:hAnsi="Andes" w:cs="Arial"/>
          <w:sz w:val="22"/>
          <w:szCs w:val="22"/>
        </w:rPr>
        <w:t>SPMPD</w:t>
      </w:r>
      <w:r w:rsidRPr="00833B69">
        <w:rPr>
          <w:rFonts w:ascii="Andes" w:hAnsi="Andes" w:cs="Arial"/>
          <w:sz w:val="22"/>
          <w:szCs w:val="22"/>
        </w:rPr>
        <w:t xml:space="preserve"> établit la base sur laquelle l’Emprunteur prépare le Plan de Passation des Marchés et le Plan de </w:t>
      </w:r>
      <w:r w:rsidR="003E4CB7">
        <w:rPr>
          <w:rFonts w:ascii="Andes" w:hAnsi="Andes" w:cs="Arial"/>
          <w:sz w:val="22"/>
          <w:szCs w:val="22"/>
        </w:rPr>
        <w:t>G</w:t>
      </w:r>
      <w:r w:rsidRPr="00833B69">
        <w:rPr>
          <w:rFonts w:ascii="Andes" w:hAnsi="Andes" w:cs="Arial"/>
          <w:sz w:val="22"/>
          <w:szCs w:val="22"/>
        </w:rPr>
        <w:t>estion du contrat ou du marché. Elle comprend les parties suivantes.</w:t>
      </w:r>
    </w:p>
    <w:p w14:paraId="50699885" w14:textId="77777777" w:rsidR="00E061C6" w:rsidRPr="00833B69" w:rsidRDefault="00E061C6" w:rsidP="00E061C6">
      <w:pPr>
        <w:pStyle w:val="Paragraphedeliste"/>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 xml:space="preserve">Aperçu du projet </w:t>
      </w:r>
    </w:p>
    <w:p w14:paraId="7E0CF882" w14:textId="67D09F12" w:rsidR="00E061C6" w:rsidRPr="00833B69" w:rsidRDefault="007B7DE1" w:rsidP="00E061C6">
      <w:pPr>
        <w:pStyle w:val="Paragraphedeliste"/>
        <w:numPr>
          <w:ilvl w:val="1"/>
          <w:numId w:val="276"/>
        </w:numPr>
        <w:spacing w:before="0" w:line="240" w:lineRule="auto"/>
        <w:ind w:left="630" w:hanging="630"/>
        <w:contextualSpacing w:val="0"/>
        <w:rPr>
          <w:rFonts w:ascii="Andes" w:hAnsi="Andes" w:cs="Arial"/>
          <w:sz w:val="22"/>
          <w:szCs w:val="22"/>
        </w:rPr>
      </w:pPr>
      <w:r>
        <w:rPr>
          <w:rFonts w:ascii="Andes" w:hAnsi="Andes" w:cs="Arial"/>
          <w:sz w:val="22"/>
          <w:szCs w:val="22"/>
        </w:rPr>
        <w:t>L</w:t>
      </w:r>
      <w:r w:rsidR="00E061C6" w:rsidRPr="00833B69">
        <w:rPr>
          <w:rFonts w:ascii="Andes" w:hAnsi="Andes" w:cs="Arial"/>
          <w:sz w:val="22"/>
          <w:szCs w:val="22"/>
        </w:rPr>
        <w:t>es éléments suivants </w:t>
      </w:r>
      <w:r w:rsidR="00F511D7">
        <w:rPr>
          <w:rFonts w:ascii="Andes" w:hAnsi="Andes" w:cs="Arial"/>
          <w:sz w:val="22"/>
          <w:szCs w:val="22"/>
        </w:rPr>
        <w:t>sont inclus</w:t>
      </w:r>
      <w:r w:rsidR="00E061C6" w:rsidRPr="00833B69">
        <w:rPr>
          <w:rFonts w:ascii="Andes" w:hAnsi="Andes" w:cs="Arial"/>
          <w:sz w:val="22"/>
          <w:szCs w:val="22"/>
        </w:rPr>
        <w:t>:</w:t>
      </w:r>
    </w:p>
    <w:p w14:paraId="52A69D65" w14:textId="77777777" w:rsidR="00E061C6" w:rsidRPr="00833B69" w:rsidRDefault="00E061C6" w:rsidP="00E061C6">
      <w:pPr>
        <w:pStyle w:val="Paragraphedeliste"/>
        <w:numPr>
          <w:ilvl w:val="0"/>
          <w:numId w:val="208"/>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description du projet</w:t>
      </w:r>
    </w:p>
    <w:p w14:paraId="5CF1036E" w14:textId="77777777" w:rsidR="00E061C6" w:rsidRPr="00833B69" w:rsidRDefault="00E061C6" w:rsidP="00E061C6">
      <w:pPr>
        <w:pStyle w:val="Paragraphedeliste"/>
        <w:numPr>
          <w:ilvl w:val="0"/>
          <w:numId w:val="208"/>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objectifs de développement du projet ;</w:t>
      </w:r>
    </w:p>
    <w:p w14:paraId="251D87B4" w14:textId="77777777" w:rsidR="00E061C6" w:rsidRPr="00833B69" w:rsidRDefault="00E061C6" w:rsidP="00E061C6">
      <w:pPr>
        <w:pStyle w:val="Paragraphedeliste"/>
        <w:numPr>
          <w:ilvl w:val="0"/>
          <w:numId w:val="208"/>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indicateurs de performance clés</w:t>
      </w:r>
    </w:p>
    <w:p w14:paraId="78EBB7B7" w14:textId="77777777" w:rsidR="00E061C6" w:rsidRPr="00833B69" w:rsidRDefault="00E061C6" w:rsidP="00E061C6">
      <w:pPr>
        <w:pStyle w:val="Paragraphedeliste"/>
        <w:numPr>
          <w:ilvl w:val="0"/>
          <w:numId w:val="208"/>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énoncé des exigences juridiques ou politiques particulières, notamment des éventuelles exigences de pratiques durables ou de la proposition de recourir à des modalités alternatives de passation des marchés ; </w:t>
      </w:r>
    </w:p>
    <w:p w14:paraId="05F3D195" w14:textId="77777777" w:rsidR="00E061C6" w:rsidRPr="00833B69" w:rsidRDefault="00E061C6" w:rsidP="00E061C6">
      <w:pPr>
        <w:pStyle w:val="Paragraphedeliste"/>
        <w:numPr>
          <w:ilvl w:val="0"/>
          <w:numId w:val="208"/>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résumé des contrats de passation de marchés proposés.</w:t>
      </w:r>
    </w:p>
    <w:p w14:paraId="75BBFC65" w14:textId="77777777" w:rsidR="00E061C6" w:rsidRPr="00833B69" w:rsidRDefault="00E061C6" w:rsidP="00E061C6">
      <w:pPr>
        <w:pStyle w:val="Paragraphedeliste"/>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Contexte opérationnel et capacités de l’Emprunteur</w:t>
      </w:r>
    </w:p>
    <w:p w14:paraId="47CEA288" w14:textId="6BE09E0F" w:rsidR="00E061C6" w:rsidRPr="00833B69" w:rsidRDefault="00E061C6" w:rsidP="00E061C6">
      <w:pPr>
        <w:pStyle w:val="Paragraphedeliste"/>
        <w:numPr>
          <w:ilvl w:val="1"/>
          <w:numId w:val="276"/>
        </w:numPr>
        <w:spacing w:before="0" w:line="240" w:lineRule="auto"/>
        <w:ind w:left="630" w:hanging="630"/>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La </w:t>
      </w:r>
      <w:r w:rsidR="006634EF">
        <w:rPr>
          <w:rFonts w:ascii="Andes" w:eastAsiaTheme="minorHAnsi" w:hAnsi="Andes" w:cs="Arial"/>
          <w:color w:val="000000"/>
          <w:sz w:val="22"/>
          <w:szCs w:val="22"/>
        </w:rPr>
        <w:t>SPMPD</w:t>
      </w:r>
      <w:r w:rsidRPr="00833B69">
        <w:rPr>
          <w:rFonts w:ascii="Andes" w:eastAsiaTheme="minorHAnsi" w:hAnsi="Andes" w:cs="Arial"/>
          <w:color w:val="000000"/>
          <w:sz w:val="22"/>
          <w:szCs w:val="22"/>
        </w:rPr>
        <w:t xml:space="preserve"> doit analyser les différents facteurs du contexte opérationnel susceptibles d’avoir un effet sur le mode d’approche de la passation des marchés, d’inciter les Soumissionnaires à participer et d’être déterminants pour la réussite des contrats qui suivront. </w:t>
      </w:r>
      <w:r w:rsidR="00531827">
        <w:rPr>
          <w:rFonts w:ascii="Andes" w:eastAsiaTheme="minorHAnsi" w:hAnsi="Andes" w:cs="Arial"/>
          <w:color w:val="000000"/>
          <w:sz w:val="22"/>
          <w:szCs w:val="22"/>
        </w:rPr>
        <w:t>C</w:t>
      </w:r>
      <w:r w:rsidRPr="00833B69">
        <w:rPr>
          <w:rFonts w:ascii="Andes" w:eastAsiaTheme="minorHAnsi" w:hAnsi="Andes" w:cs="Arial"/>
          <w:color w:val="000000"/>
          <w:sz w:val="22"/>
          <w:szCs w:val="22"/>
        </w:rPr>
        <w:t>es facteurs </w:t>
      </w:r>
      <w:r w:rsidR="00531827">
        <w:rPr>
          <w:rFonts w:ascii="Andes" w:eastAsiaTheme="minorHAnsi" w:hAnsi="Andes" w:cs="Arial"/>
          <w:color w:val="000000"/>
          <w:sz w:val="22"/>
          <w:szCs w:val="22"/>
        </w:rPr>
        <w:t>comprennent</w:t>
      </w:r>
      <w:r w:rsidRPr="00833B69">
        <w:rPr>
          <w:rFonts w:ascii="Andes" w:eastAsiaTheme="minorHAnsi" w:hAnsi="Andes" w:cs="Arial"/>
          <w:color w:val="000000"/>
          <w:sz w:val="22"/>
          <w:szCs w:val="22"/>
        </w:rPr>
        <w:t>:</w:t>
      </w:r>
    </w:p>
    <w:p w14:paraId="5D3E0E5A" w14:textId="77777777" w:rsidR="00E061C6" w:rsidRPr="00833B69" w:rsidRDefault="00E061C6" w:rsidP="00E061C6">
      <w:pPr>
        <w:pStyle w:val="Paragraphedeliste"/>
        <w:numPr>
          <w:ilvl w:val="0"/>
          <w:numId w:val="209"/>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les aspects de gouvernance : situations volatiles, de conflit ou de fragilité susceptibles de créer des problèmes sécuritaires ; implication des pouvoirs publics dans le secteur économique concerné (entreprises publiques recevant des subventions du gouvernement par ex.) ; processus législatifs pouvant réglementer le marché/ les soumissionnaires ; cadre juridique général et Situations d’Urgence ;</w:t>
      </w:r>
    </w:p>
    <w:p w14:paraId="30B96F75" w14:textId="77777777" w:rsidR="00E061C6" w:rsidRPr="00833B69" w:rsidRDefault="00E061C6" w:rsidP="00E061C6">
      <w:pPr>
        <w:pStyle w:val="Paragraphedeliste"/>
        <w:numPr>
          <w:ilvl w:val="0"/>
          <w:numId w:val="209"/>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les aspects économiques : une petite économie peut entraîner un manque de concurrence ou être peu motivante pour les Soumissionnaires internationaux ; une forte inflation peut imposer le recours à une autre monnaie ou à des mesures de défense contre l’inflation pour protéger les soumissionnaires et les inciter à participer ; la préférence nationale est susceptible de motiver les entreprises locales mais peut décourager la concurrence internationale ; historique des paiements à échéance des fournisseurs et de la volatilité du taux de change ;</w:t>
      </w:r>
    </w:p>
    <w:p w14:paraId="390F41CF" w14:textId="4C05FB4C" w:rsidR="00233A5D" w:rsidRDefault="00E061C6" w:rsidP="00233A5D">
      <w:pPr>
        <w:pStyle w:val="Paragraphedeliste"/>
        <w:numPr>
          <w:ilvl w:val="0"/>
          <w:numId w:val="209"/>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les aspects technologiques : rapidité des changements technologiques ; besoin de transfert d’informations et besoin de sécurité, de manière à éviter une dépendance permanente vis-à-vis des soumissionnaires ; accès internet et restrictions ; accès à la téléphonie mobile et couverture du réseau ; possibilité d’utilisation de la technologie pour la réalisation du projet et dépendance vis-à-vis d’elle ; et éventuellement</w:t>
      </w:r>
      <w:r w:rsidR="00D227B1">
        <w:rPr>
          <w:rFonts w:ascii="Calibri" w:eastAsiaTheme="minorHAnsi" w:hAnsi="Calibri" w:cs="Calibri"/>
          <w:color w:val="000000"/>
          <w:sz w:val="22"/>
          <w:szCs w:val="22"/>
        </w:rPr>
        <w:t> </w:t>
      </w:r>
      <w:r w:rsidR="00D227B1">
        <w:rPr>
          <w:rFonts w:ascii="Andes" w:eastAsiaTheme="minorHAnsi" w:hAnsi="Andes" w:cs="Arial"/>
          <w:color w:val="000000"/>
          <w:sz w:val="22"/>
          <w:szCs w:val="22"/>
        </w:rPr>
        <w:t>;</w:t>
      </w:r>
    </w:p>
    <w:p w14:paraId="53914A00" w14:textId="54360FF6" w:rsidR="00233A5D" w:rsidRPr="00233A5D" w:rsidRDefault="00E061C6" w:rsidP="00233A5D">
      <w:pPr>
        <w:pStyle w:val="Paragraphedeliste"/>
        <w:numPr>
          <w:ilvl w:val="0"/>
          <w:numId w:val="209"/>
        </w:numPr>
        <w:spacing w:before="0" w:line="240" w:lineRule="auto"/>
        <w:contextualSpacing w:val="0"/>
        <w:rPr>
          <w:rFonts w:ascii="Andes" w:eastAsiaTheme="minorHAnsi" w:hAnsi="Andes" w:cs="Arial"/>
          <w:color w:val="000000"/>
          <w:sz w:val="22"/>
          <w:szCs w:val="22"/>
        </w:rPr>
      </w:pPr>
      <w:r w:rsidRPr="00233A5D">
        <w:rPr>
          <w:rFonts w:ascii="Andes" w:eastAsiaTheme="minorHAnsi" w:hAnsi="Andes" w:cs="Arial"/>
          <w:color w:val="000000"/>
          <w:sz w:val="22"/>
          <w:szCs w:val="22"/>
        </w:rPr>
        <w:t>les aspects de développement durable</w:t>
      </w:r>
      <w:r w:rsidRPr="00233A5D">
        <w:rPr>
          <w:rFonts w:ascii="Calibri" w:eastAsiaTheme="minorHAnsi" w:hAnsi="Calibri" w:cs="Calibri"/>
          <w:color w:val="000000"/>
          <w:sz w:val="22"/>
          <w:szCs w:val="22"/>
        </w:rPr>
        <w:t> </w:t>
      </w:r>
      <w:r w:rsidRPr="00233A5D">
        <w:rPr>
          <w:rFonts w:ascii="Andes" w:eastAsiaTheme="minorHAnsi" w:hAnsi="Andes" w:cs="Arial"/>
          <w:color w:val="000000"/>
          <w:sz w:val="22"/>
          <w:szCs w:val="22"/>
        </w:rPr>
        <w:t xml:space="preserve">: exigences relatives </w:t>
      </w:r>
      <w:r w:rsidRPr="00233A5D">
        <w:rPr>
          <w:rFonts w:ascii="Andes" w:eastAsiaTheme="minorHAnsi" w:hAnsi="Andes" w:cs="Andes"/>
          <w:color w:val="000000"/>
          <w:sz w:val="22"/>
          <w:szCs w:val="22"/>
        </w:rPr>
        <w:t>à</w:t>
      </w:r>
      <w:r w:rsidRPr="00233A5D">
        <w:rPr>
          <w:rFonts w:ascii="Andes" w:eastAsiaTheme="minorHAnsi" w:hAnsi="Andes" w:cs="Arial"/>
          <w:color w:val="000000"/>
          <w:sz w:val="22"/>
          <w:szCs w:val="22"/>
        </w:rPr>
        <w:t xml:space="preserve"> des pratiques durables de la passation des march</w:t>
      </w:r>
      <w:r w:rsidRPr="00233A5D">
        <w:rPr>
          <w:rFonts w:ascii="Andes" w:eastAsiaTheme="minorHAnsi" w:hAnsi="Andes" w:cs="Andes"/>
          <w:color w:val="000000"/>
          <w:sz w:val="22"/>
          <w:szCs w:val="22"/>
        </w:rPr>
        <w:t>é</w:t>
      </w:r>
      <w:r w:rsidRPr="00233A5D">
        <w:rPr>
          <w:rFonts w:ascii="Andes" w:eastAsiaTheme="minorHAnsi" w:hAnsi="Andes" w:cs="Arial"/>
          <w:color w:val="000000"/>
          <w:sz w:val="22"/>
          <w:szCs w:val="22"/>
        </w:rPr>
        <w:t xml:space="preserve">s </w:t>
      </w:r>
      <w:r w:rsidR="00EA64ED" w:rsidRPr="00233A5D">
        <w:rPr>
          <w:rFonts w:ascii="Andes" w:eastAsiaTheme="minorHAnsi" w:hAnsi="Andes" w:cs="Arial"/>
          <w:color w:val="000000"/>
          <w:sz w:val="22"/>
          <w:szCs w:val="22"/>
        </w:rPr>
        <w:t xml:space="preserve">y compris </w:t>
      </w:r>
      <w:r w:rsidR="00821246" w:rsidRPr="00233A5D">
        <w:rPr>
          <w:rFonts w:ascii="Andes" w:eastAsiaTheme="minorHAnsi" w:hAnsi="Andes" w:cs="Arial"/>
          <w:color w:val="000000"/>
          <w:sz w:val="22"/>
          <w:szCs w:val="22"/>
        </w:rPr>
        <w:t xml:space="preserve">les aspects </w:t>
      </w:r>
      <w:r w:rsidR="003C0B3D" w:rsidRPr="00233A5D">
        <w:rPr>
          <w:rFonts w:ascii="Andes" w:eastAsiaTheme="minorHAnsi" w:hAnsi="Andes" w:cs="Arial"/>
          <w:color w:val="000000"/>
          <w:sz w:val="22"/>
          <w:szCs w:val="22"/>
        </w:rPr>
        <w:t xml:space="preserve">provenant de l’application par l’Emprunteur </w:t>
      </w:r>
      <w:r w:rsidR="001502AE" w:rsidRPr="00233A5D">
        <w:rPr>
          <w:rFonts w:ascii="Andes" w:eastAsiaTheme="minorHAnsi" w:hAnsi="Andes" w:cs="Arial"/>
          <w:color w:val="000000"/>
          <w:sz w:val="22"/>
          <w:szCs w:val="22"/>
        </w:rPr>
        <w:t>du Cadre Environnemental et Social de la Banque</w:t>
      </w:r>
      <w:r w:rsidR="001502AE" w:rsidRPr="00233A5D">
        <w:rPr>
          <w:rFonts w:ascii="Andes" w:hAnsi="Andes" w:cs="Arial"/>
          <w:sz w:val="22"/>
          <w:szCs w:val="22"/>
        </w:rPr>
        <w:t>.</w:t>
      </w:r>
      <w:r w:rsidR="000A7F1B" w:rsidRPr="00233A5D">
        <w:rPr>
          <w:rFonts w:ascii="Andes" w:hAnsi="Andes" w:cs="Arial"/>
          <w:sz w:val="22"/>
          <w:szCs w:val="22"/>
        </w:rPr>
        <w:t xml:space="preserve"> </w:t>
      </w:r>
    </w:p>
    <w:p w14:paraId="08229A30" w14:textId="37FBD7C4" w:rsidR="00E061C6" w:rsidRPr="001502AE" w:rsidRDefault="00E061C6" w:rsidP="001502AE">
      <w:pPr>
        <w:pStyle w:val="Paragraphedeliste"/>
        <w:numPr>
          <w:ilvl w:val="1"/>
          <w:numId w:val="276"/>
        </w:numPr>
        <w:spacing w:before="0" w:line="240" w:lineRule="auto"/>
        <w:ind w:left="630" w:hanging="630"/>
        <w:contextualSpacing w:val="0"/>
        <w:rPr>
          <w:rFonts w:ascii="Andes" w:hAnsi="Andes" w:cs="Arial"/>
          <w:sz w:val="22"/>
          <w:szCs w:val="22"/>
        </w:rPr>
      </w:pPr>
      <w:r w:rsidRPr="001502AE">
        <w:rPr>
          <w:rFonts w:ascii="Andes" w:hAnsi="Andes" w:cs="Arial"/>
          <w:sz w:val="22"/>
          <w:szCs w:val="22"/>
        </w:rPr>
        <w:lastRenderedPageBreak/>
        <w:t>Pour évaluer les ressources nécessaires à la mise en œuvre de la passation des marchés, l’Emprunteur tient compte des facteurs suivants :</w:t>
      </w:r>
    </w:p>
    <w:p w14:paraId="3281D903" w14:textId="77777777" w:rsidR="00E061C6" w:rsidRPr="00833B69" w:rsidRDefault="00E061C6" w:rsidP="00E061C6">
      <w:pPr>
        <w:pStyle w:val="Paragraphedeliste"/>
        <w:numPr>
          <w:ilvl w:val="0"/>
          <w:numId w:val="26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les capacités de passation des marchés nécessaires pour mener à bien le Processus de Passation des Marchés depuis sa planification jusqu’à la gestion des marchés et contrats ;</w:t>
      </w:r>
    </w:p>
    <w:p w14:paraId="3A6F1D0F" w14:textId="77777777" w:rsidR="00E061C6" w:rsidRPr="00833B69" w:rsidRDefault="00E061C6" w:rsidP="00E061C6">
      <w:pPr>
        <w:pStyle w:val="Paragraphedeliste"/>
        <w:numPr>
          <w:ilvl w:val="0"/>
          <w:numId w:val="26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l’expérience de mise en œuvre de projets similaires, l’historique des niveaux de réussites et les enseignements à en tirer ;</w:t>
      </w:r>
    </w:p>
    <w:p w14:paraId="53BAA18A" w14:textId="77777777" w:rsidR="00E061C6" w:rsidRPr="00833B69" w:rsidRDefault="00E061C6" w:rsidP="00E061C6">
      <w:pPr>
        <w:pStyle w:val="Paragraphedeliste"/>
        <w:numPr>
          <w:ilvl w:val="0"/>
          <w:numId w:val="26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les capacités de gestion des marchés et contrats ;</w:t>
      </w:r>
    </w:p>
    <w:p w14:paraId="39D403D9" w14:textId="77777777" w:rsidR="00E061C6" w:rsidRPr="00833B69" w:rsidRDefault="00E061C6" w:rsidP="00E061C6">
      <w:pPr>
        <w:pStyle w:val="Paragraphedeliste"/>
        <w:numPr>
          <w:ilvl w:val="0"/>
          <w:numId w:val="26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les systèmes de gestion des Plaintes.</w:t>
      </w:r>
    </w:p>
    <w:p w14:paraId="738026E5" w14:textId="231C8895" w:rsidR="00FD2E43" w:rsidRPr="00882278" w:rsidRDefault="00FD2E43" w:rsidP="00882278">
      <w:pPr>
        <w:pStyle w:val="Paragraphedeliste"/>
        <w:tabs>
          <w:tab w:val="left" w:pos="4136"/>
        </w:tabs>
        <w:spacing w:before="240" w:line="240" w:lineRule="auto"/>
        <w:contextualSpacing w:val="0"/>
        <w:rPr>
          <w:rFonts w:ascii="Andes" w:hAnsi="Andes" w:cs="Arial"/>
          <w:b/>
          <w:color w:val="000000" w:themeColor="text1"/>
          <w:sz w:val="28"/>
          <w:szCs w:val="28"/>
        </w:rPr>
      </w:pPr>
      <w:r w:rsidRPr="00882278">
        <w:rPr>
          <w:rFonts w:ascii="Andes" w:hAnsi="Andes" w:cs="Arial"/>
          <w:b/>
          <w:color w:val="000000" w:themeColor="text1"/>
          <w:sz w:val="28"/>
          <w:szCs w:val="28"/>
        </w:rPr>
        <w:t>Étude de marché, analyse et engagement</w:t>
      </w:r>
    </w:p>
    <w:p w14:paraId="16610DDD" w14:textId="28E26E68" w:rsidR="00FD2E43" w:rsidRPr="00882278" w:rsidRDefault="00FD2E43" w:rsidP="00882278">
      <w:pPr>
        <w:pStyle w:val="Paragraphedeliste"/>
        <w:numPr>
          <w:ilvl w:val="1"/>
          <w:numId w:val="276"/>
        </w:numPr>
        <w:spacing w:before="0" w:line="240" w:lineRule="auto"/>
        <w:ind w:left="630" w:hanging="630"/>
        <w:contextualSpacing w:val="0"/>
        <w:rPr>
          <w:rFonts w:ascii="Andes" w:hAnsi="Andes" w:cs="Arial"/>
          <w:sz w:val="22"/>
          <w:szCs w:val="22"/>
        </w:rPr>
      </w:pPr>
      <w:r w:rsidRPr="00882278">
        <w:rPr>
          <w:rFonts w:ascii="Andes" w:hAnsi="Andes" w:cs="Arial"/>
          <w:sz w:val="22"/>
          <w:szCs w:val="22"/>
        </w:rPr>
        <w:t xml:space="preserve">L'étude de marché, l'analyse et l'approche de l'engagement du marché sont l'un des aspects les plus critiques </w:t>
      </w:r>
      <w:r w:rsidR="002F4A90">
        <w:rPr>
          <w:rFonts w:ascii="Andes" w:hAnsi="Andes" w:cs="Arial"/>
          <w:sz w:val="22"/>
          <w:szCs w:val="22"/>
        </w:rPr>
        <w:t>de la SPMPD</w:t>
      </w:r>
      <w:r w:rsidRPr="00882278">
        <w:rPr>
          <w:rFonts w:ascii="Andes" w:hAnsi="Andes" w:cs="Arial"/>
          <w:sz w:val="22"/>
          <w:szCs w:val="22"/>
        </w:rPr>
        <w:t xml:space="preserve">, car ces résultats informent directement la sélection de la bonne </w:t>
      </w:r>
      <w:r w:rsidR="000575C8">
        <w:rPr>
          <w:rFonts w:ascii="Andes" w:hAnsi="Andes" w:cs="Arial"/>
          <w:sz w:val="22"/>
          <w:szCs w:val="22"/>
        </w:rPr>
        <w:t>option de l’</w:t>
      </w:r>
      <w:r w:rsidRPr="00882278">
        <w:rPr>
          <w:rFonts w:ascii="Andes" w:hAnsi="Andes" w:cs="Arial"/>
          <w:sz w:val="22"/>
          <w:szCs w:val="22"/>
        </w:rPr>
        <w:t xml:space="preserve">approche du marché, la méthode de sélection, la conception du processus de passation de marché, la détermination des </w:t>
      </w:r>
      <w:r w:rsidR="000575C8">
        <w:rPr>
          <w:rFonts w:ascii="Andes" w:hAnsi="Andes" w:cs="Arial"/>
          <w:sz w:val="22"/>
          <w:szCs w:val="22"/>
        </w:rPr>
        <w:t>C</w:t>
      </w:r>
      <w:r w:rsidRPr="00882278">
        <w:rPr>
          <w:rFonts w:ascii="Andes" w:hAnsi="Andes" w:cs="Arial"/>
          <w:sz w:val="22"/>
          <w:szCs w:val="22"/>
        </w:rPr>
        <w:t xml:space="preserve">ritères notés, les pondérations, etc. Si l'approche de la passation des marchés n'est pas optimale, les soumissionnaires qualifiés risquent de ne pas participer, ce qui peut entraîner des retards prolongés dans la mise en œuvre du projet, </w:t>
      </w:r>
      <w:r w:rsidR="00A83C48">
        <w:rPr>
          <w:rFonts w:ascii="Andes" w:hAnsi="Andes" w:cs="Arial"/>
          <w:sz w:val="22"/>
          <w:szCs w:val="22"/>
        </w:rPr>
        <w:t xml:space="preserve">une moindre </w:t>
      </w:r>
      <w:r w:rsidR="000755AC">
        <w:rPr>
          <w:rFonts w:ascii="Andes" w:hAnsi="Andes" w:cs="Arial"/>
          <w:sz w:val="22"/>
          <w:szCs w:val="22"/>
        </w:rPr>
        <w:t>optimisation</w:t>
      </w:r>
      <w:r w:rsidR="00A83C48">
        <w:rPr>
          <w:rFonts w:ascii="Andes" w:hAnsi="Andes" w:cs="Arial"/>
          <w:sz w:val="22"/>
          <w:szCs w:val="22"/>
        </w:rPr>
        <w:t xml:space="preserve"> des ressources</w:t>
      </w:r>
      <w:r w:rsidRPr="00882278">
        <w:rPr>
          <w:rFonts w:ascii="Andes" w:hAnsi="Andes" w:cs="Arial"/>
          <w:sz w:val="22"/>
          <w:szCs w:val="22"/>
        </w:rPr>
        <w:t xml:space="preserve"> et une érosion de la réputation de l'</w:t>
      </w:r>
      <w:r w:rsidR="00F42945">
        <w:rPr>
          <w:rFonts w:ascii="Andes" w:hAnsi="Andes" w:cs="Arial"/>
          <w:sz w:val="22"/>
          <w:szCs w:val="22"/>
        </w:rPr>
        <w:t>E</w:t>
      </w:r>
      <w:r w:rsidRPr="00882278">
        <w:rPr>
          <w:rFonts w:ascii="Andes" w:hAnsi="Andes" w:cs="Arial"/>
          <w:sz w:val="22"/>
          <w:szCs w:val="22"/>
        </w:rPr>
        <w:t>mprunteur sur le marché.</w:t>
      </w:r>
    </w:p>
    <w:p w14:paraId="245D95B4" w14:textId="0B96F025" w:rsidR="00FD2E43" w:rsidRPr="00882278" w:rsidRDefault="00FD2E43" w:rsidP="00882278">
      <w:pPr>
        <w:pStyle w:val="Paragraphedeliste"/>
        <w:numPr>
          <w:ilvl w:val="1"/>
          <w:numId w:val="276"/>
        </w:numPr>
        <w:spacing w:before="0" w:line="240" w:lineRule="auto"/>
        <w:ind w:left="630" w:hanging="630"/>
        <w:contextualSpacing w:val="0"/>
        <w:rPr>
          <w:rFonts w:ascii="Andes" w:hAnsi="Andes" w:cs="Arial"/>
          <w:sz w:val="22"/>
          <w:szCs w:val="22"/>
        </w:rPr>
      </w:pPr>
      <w:r w:rsidRPr="00882278">
        <w:rPr>
          <w:rFonts w:ascii="Andes" w:hAnsi="Andes" w:cs="Arial"/>
          <w:sz w:val="22"/>
          <w:szCs w:val="22"/>
        </w:rPr>
        <w:t xml:space="preserve">L'objectif de l'étude de marché est d'acquérir une connaissance approfondie des secteurs concernés et des </w:t>
      </w:r>
      <w:r w:rsidR="00D81C3A">
        <w:rPr>
          <w:rFonts w:ascii="Andes" w:hAnsi="Andes" w:cs="Arial"/>
          <w:sz w:val="22"/>
          <w:szCs w:val="22"/>
        </w:rPr>
        <w:t>S</w:t>
      </w:r>
      <w:r w:rsidRPr="00882278">
        <w:rPr>
          <w:rFonts w:ascii="Andes" w:hAnsi="Andes" w:cs="Arial"/>
          <w:sz w:val="22"/>
          <w:szCs w:val="22"/>
        </w:rPr>
        <w:t>oumissionnaires/</w:t>
      </w:r>
      <w:r w:rsidR="00D81C3A">
        <w:rPr>
          <w:rFonts w:ascii="Andes" w:hAnsi="Andes" w:cs="Arial"/>
          <w:sz w:val="22"/>
          <w:szCs w:val="22"/>
        </w:rPr>
        <w:t>P</w:t>
      </w:r>
      <w:r w:rsidRPr="00882278">
        <w:rPr>
          <w:rFonts w:ascii="Andes" w:hAnsi="Andes" w:cs="Arial"/>
          <w:sz w:val="22"/>
          <w:szCs w:val="22"/>
        </w:rPr>
        <w:t>roposants/</w:t>
      </w:r>
      <w:r w:rsidR="00D81C3A">
        <w:rPr>
          <w:rFonts w:ascii="Andes" w:hAnsi="Andes" w:cs="Arial"/>
          <w:sz w:val="22"/>
          <w:szCs w:val="22"/>
        </w:rPr>
        <w:t>C</w:t>
      </w:r>
      <w:r w:rsidRPr="00882278">
        <w:rPr>
          <w:rFonts w:ascii="Andes" w:hAnsi="Andes" w:cs="Arial"/>
          <w:sz w:val="22"/>
          <w:szCs w:val="22"/>
        </w:rPr>
        <w:t xml:space="preserve">onsultants potentiels </w:t>
      </w:r>
      <w:r w:rsidR="00647D90">
        <w:rPr>
          <w:rFonts w:ascii="Andes" w:hAnsi="Andes" w:cs="Arial"/>
          <w:sz w:val="22"/>
          <w:szCs w:val="22"/>
        </w:rPr>
        <w:t>concernés par l’acquisition</w:t>
      </w:r>
      <w:r w:rsidRPr="00882278">
        <w:rPr>
          <w:rFonts w:ascii="Andes" w:hAnsi="Andes" w:cs="Arial"/>
          <w:sz w:val="22"/>
          <w:szCs w:val="22"/>
        </w:rPr>
        <w:t xml:space="preserve"> afin de s'assurer que l'approche du marché maximise la probabilité de participation et de sélection des </w:t>
      </w:r>
      <w:r w:rsidR="00747B02">
        <w:rPr>
          <w:rFonts w:ascii="Andes" w:hAnsi="Andes" w:cs="Arial"/>
          <w:sz w:val="22"/>
          <w:szCs w:val="22"/>
        </w:rPr>
        <w:t>S</w:t>
      </w:r>
      <w:r w:rsidRPr="00882278">
        <w:rPr>
          <w:rFonts w:ascii="Andes" w:hAnsi="Andes" w:cs="Arial"/>
          <w:sz w:val="22"/>
          <w:szCs w:val="22"/>
        </w:rPr>
        <w:t>oumissionnaires/</w:t>
      </w:r>
      <w:r w:rsidR="00747B02">
        <w:rPr>
          <w:rFonts w:ascii="Andes" w:hAnsi="Andes" w:cs="Arial"/>
          <w:sz w:val="22"/>
          <w:szCs w:val="22"/>
        </w:rPr>
        <w:t>P</w:t>
      </w:r>
      <w:r w:rsidRPr="00882278">
        <w:rPr>
          <w:rFonts w:ascii="Andes" w:hAnsi="Andes" w:cs="Arial"/>
          <w:sz w:val="22"/>
          <w:szCs w:val="22"/>
        </w:rPr>
        <w:t>roposants/</w:t>
      </w:r>
      <w:r w:rsidR="00747B02">
        <w:rPr>
          <w:rFonts w:ascii="Andes" w:hAnsi="Andes" w:cs="Arial"/>
          <w:sz w:val="22"/>
          <w:szCs w:val="22"/>
        </w:rPr>
        <w:t>C</w:t>
      </w:r>
      <w:r w:rsidRPr="00882278">
        <w:rPr>
          <w:rFonts w:ascii="Andes" w:hAnsi="Andes" w:cs="Arial"/>
          <w:sz w:val="22"/>
          <w:szCs w:val="22"/>
        </w:rPr>
        <w:t xml:space="preserve">onsultants adéquats qui </w:t>
      </w:r>
      <w:r w:rsidR="00CA569B">
        <w:rPr>
          <w:rFonts w:ascii="Andes" w:hAnsi="Andes" w:cs="Arial"/>
          <w:sz w:val="22"/>
          <w:szCs w:val="22"/>
        </w:rPr>
        <w:t>assur</w:t>
      </w:r>
      <w:r w:rsidRPr="00882278">
        <w:rPr>
          <w:rFonts w:ascii="Andes" w:hAnsi="Andes" w:cs="Arial"/>
          <w:sz w:val="22"/>
          <w:szCs w:val="22"/>
        </w:rPr>
        <w:t xml:space="preserve">ent la meilleure </w:t>
      </w:r>
      <w:r w:rsidR="000755AC">
        <w:rPr>
          <w:rFonts w:ascii="Andes" w:hAnsi="Andes" w:cs="Arial"/>
          <w:sz w:val="22"/>
          <w:szCs w:val="22"/>
        </w:rPr>
        <w:t>optimisation des ressources</w:t>
      </w:r>
      <w:r w:rsidRPr="00882278">
        <w:rPr>
          <w:rFonts w:ascii="Andes" w:hAnsi="Andes" w:cs="Arial"/>
          <w:sz w:val="22"/>
          <w:szCs w:val="22"/>
        </w:rPr>
        <w:t>.</w:t>
      </w:r>
    </w:p>
    <w:p w14:paraId="3544D9A2" w14:textId="1D177A49" w:rsidR="00FD2E43" w:rsidRPr="00882278" w:rsidRDefault="00FD2E43" w:rsidP="00882278">
      <w:pPr>
        <w:pStyle w:val="Paragraphedeliste"/>
        <w:numPr>
          <w:ilvl w:val="1"/>
          <w:numId w:val="276"/>
        </w:numPr>
        <w:spacing w:before="0" w:line="240" w:lineRule="auto"/>
        <w:ind w:left="630" w:hanging="630"/>
        <w:contextualSpacing w:val="0"/>
        <w:rPr>
          <w:rFonts w:ascii="Andes" w:hAnsi="Andes" w:cs="Arial"/>
          <w:sz w:val="22"/>
          <w:szCs w:val="22"/>
        </w:rPr>
      </w:pPr>
      <w:r w:rsidRPr="00882278">
        <w:rPr>
          <w:rFonts w:ascii="Andes" w:hAnsi="Andes" w:cs="Arial"/>
          <w:sz w:val="22"/>
          <w:szCs w:val="22"/>
        </w:rPr>
        <w:t xml:space="preserve">L'étude et l'analyse de marché évaluent les risques et les opportunités liés au marché qui auront une incidence sur la stratégie privilégiée </w:t>
      </w:r>
      <w:r w:rsidR="0069417B">
        <w:rPr>
          <w:rFonts w:ascii="Andes" w:hAnsi="Andes" w:cs="Arial"/>
          <w:sz w:val="22"/>
          <w:szCs w:val="22"/>
        </w:rPr>
        <w:t>d’approche du</w:t>
      </w:r>
      <w:r w:rsidRPr="00882278">
        <w:rPr>
          <w:rFonts w:ascii="Andes" w:hAnsi="Andes" w:cs="Arial"/>
          <w:sz w:val="22"/>
          <w:szCs w:val="22"/>
        </w:rPr>
        <w:t xml:space="preserve"> marché, ainsi qu'une évaluation de la capacité du marché à atténuer les risques liés </w:t>
      </w:r>
      <w:r w:rsidR="005E3FBE">
        <w:rPr>
          <w:rFonts w:ascii="Andes" w:hAnsi="Andes" w:cs="Arial"/>
          <w:sz w:val="22"/>
          <w:szCs w:val="22"/>
        </w:rPr>
        <w:t>aux acquisitions</w:t>
      </w:r>
      <w:r w:rsidRPr="00882278">
        <w:rPr>
          <w:rFonts w:ascii="Andes" w:hAnsi="Andes" w:cs="Arial"/>
          <w:sz w:val="22"/>
          <w:szCs w:val="22"/>
        </w:rPr>
        <w:t xml:space="preserve"> du projet, y compris tout risque environnemental, économique ou social important. L'engagement et l'analyse de l'étude de marché et toute approche d'</w:t>
      </w:r>
      <w:r w:rsidR="00AF1894">
        <w:rPr>
          <w:rFonts w:ascii="Andes" w:hAnsi="Andes" w:cs="Arial"/>
          <w:sz w:val="22"/>
          <w:szCs w:val="22"/>
        </w:rPr>
        <w:t>E</w:t>
      </w:r>
      <w:r w:rsidRPr="00882278">
        <w:rPr>
          <w:rFonts w:ascii="Andes" w:hAnsi="Andes" w:cs="Arial"/>
          <w:sz w:val="22"/>
          <w:szCs w:val="22"/>
        </w:rPr>
        <w:t xml:space="preserve">ngagement précoce du marché (comme spécifié aux paragraphes 3.8 à 3.13 ci-dessous) sont consolidés dans une liste de conclusions et d'implications dans </w:t>
      </w:r>
      <w:r w:rsidR="00AF1894">
        <w:rPr>
          <w:rFonts w:ascii="Andes" w:hAnsi="Andes" w:cs="Arial"/>
          <w:sz w:val="22"/>
          <w:szCs w:val="22"/>
        </w:rPr>
        <w:t>la SPMPD</w:t>
      </w:r>
      <w:r w:rsidRPr="00882278">
        <w:rPr>
          <w:rFonts w:ascii="Andes" w:hAnsi="Andes" w:cs="Arial"/>
          <w:sz w:val="22"/>
          <w:szCs w:val="22"/>
        </w:rPr>
        <w:t xml:space="preserve"> qui sont utilisées pour sélectionner l'approche de marché adaptée à l'objet pour les marchés du projet.</w:t>
      </w:r>
    </w:p>
    <w:p w14:paraId="2D5DDB05" w14:textId="73F2B516" w:rsidR="00FD2E43" w:rsidRPr="00882278" w:rsidRDefault="00FD2E43" w:rsidP="00FD2E43">
      <w:pPr>
        <w:pStyle w:val="Titre2"/>
        <w:spacing w:before="212"/>
        <w:rPr>
          <w:rFonts w:ascii="Andes" w:hAnsi="Andes" w:cs="Arial"/>
          <w:color w:val="000000" w:themeColor="text1"/>
          <w:sz w:val="28"/>
          <w:szCs w:val="28"/>
        </w:rPr>
      </w:pPr>
      <w:r w:rsidRPr="00882278">
        <w:rPr>
          <w:rFonts w:ascii="Andes" w:hAnsi="Andes" w:cs="Arial"/>
          <w:color w:val="000000" w:themeColor="text1"/>
          <w:sz w:val="28"/>
          <w:szCs w:val="28"/>
        </w:rPr>
        <w:t>Approche d</w:t>
      </w:r>
      <w:r w:rsidR="00A12647">
        <w:rPr>
          <w:rFonts w:ascii="Andes" w:hAnsi="Andes" w:cs="Arial"/>
          <w:color w:val="000000" w:themeColor="text1"/>
          <w:sz w:val="28"/>
          <w:szCs w:val="28"/>
        </w:rPr>
        <w:t>e l</w:t>
      </w:r>
      <w:r w:rsidRPr="00882278">
        <w:rPr>
          <w:rFonts w:ascii="Andes" w:hAnsi="Andes" w:cs="Arial"/>
          <w:color w:val="000000" w:themeColor="text1"/>
          <w:sz w:val="28"/>
          <w:szCs w:val="28"/>
        </w:rPr>
        <w:t>'</w:t>
      </w:r>
      <w:r w:rsidR="00A12647">
        <w:rPr>
          <w:rFonts w:ascii="Andes" w:hAnsi="Andes" w:cs="Arial"/>
          <w:color w:val="000000" w:themeColor="text1"/>
          <w:sz w:val="28"/>
          <w:szCs w:val="28"/>
        </w:rPr>
        <w:t>E</w:t>
      </w:r>
      <w:r w:rsidRPr="00882278">
        <w:rPr>
          <w:rFonts w:ascii="Andes" w:hAnsi="Andes" w:cs="Arial"/>
          <w:color w:val="000000" w:themeColor="text1"/>
          <w:sz w:val="28"/>
          <w:szCs w:val="28"/>
        </w:rPr>
        <w:t xml:space="preserve">ngagement précoce du </w:t>
      </w:r>
      <w:r w:rsidR="00A12647">
        <w:rPr>
          <w:rFonts w:ascii="Andes" w:hAnsi="Andes" w:cs="Arial"/>
          <w:color w:val="000000" w:themeColor="text1"/>
          <w:sz w:val="28"/>
          <w:szCs w:val="28"/>
        </w:rPr>
        <w:t>M</w:t>
      </w:r>
      <w:r w:rsidRPr="00882278">
        <w:rPr>
          <w:rFonts w:ascii="Andes" w:hAnsi="Andes" w:cs="Arial"/>
          <w:color w:val="000000" w:themeColor="text1"/>
          <w:sz w:val="28"/>
          <w:szCs w:val="28"/>
        </w:rPr>
        <w:t>arché</w:t>
      </w:r>
    </w:p>
    <w:p w14:paraId="3D21E0C5" w14:textId="6CBFB971" w:rsidR="00FD2E43" w:rsidRPr="00882278" w:rsidRDefault="00FD2E43" w:rsidP="00882278">
      <w:pPr>
        <w:pStyle w:val="Paragraphedeliste"/>
        <w:numPr>
          <w:ilvl w:val="1"/>
          <w:numId w:val="276"/>
        </w:numPr>
        <w:spacing w:before="0" w:line="240" w:lineRule="auto"/>
        <w:ind w:left="630" w:hanging="630"/>
        <w:contextualSpacing w:val="0"/>
        <w:rPr>
          <w:rFonts w:ascii="Andes" w:hAnsi="Andes" w:cs="Arial"/>
          <w:sz w:val="22"/>
          <w:szCs w:val="22"/>
        </w:rPr>
      </w:pPr>
      <w:r w:rsidRPr="00882278">
        <w:rPr>
          <w:rFonts w:ascii="Andes" w:hAnsi="Andes" w:cs="Arial"/>
          <w:sz w:val="22"/>
          <w:szCs w:val="22"/>
        </w:rPr>
        <w:t xml:space="preserve">Tous les projets </w:t>
      </w:r>
      <w:r w:rsidR="003105E2">
        <w:rPr>
          <w:rFonts w:ascii="Andes" w:hAnsi="Andes" w:cs="Arial"/>
          <w:sz w:val="22"/>
          <w:szCs w:val="22"/>
        </w:rPr>
        <w:t>comportant des contrats</w:t>
      </w:r>
      <w:r w:rsidR="00037AD6">
        <w:rPr>
          <w:rFonts w:ascii="Andes" w:hAnsi="Andes" w:cs="Arial"/>
          <w:sz w:val="22"/>
          <w:szCs w:val="22"/>
        </w:rPr>
        <w:t xml:space="preserve"> avec mise en concurrence internationale</w:t>
      </w:r>
      <w:r w:rsidRPr="00882278">
        <w:rPr>
          <w:rFonts w:ascii="Andes" w:hAnsi="Andes" w:cs="Arial"/>
          <w:sz w:val="22"/>
          <w:szCs w:val="22"/>
        </w:rPr>
        <w:t xml:space="preserve"> dont le coût est estimé à 10 millions d</w:t>
      </w:r>
      <w:r w:rsidR="00037AD6">
        <w:rPr>
          <w:rFonts w:ascii="Andes" w:hAnsi="Andes" w:cs="Arial"/>
          <w:sz w:val="22"/>
          <w:szCs w:val="22"/>
        </w:rPr>
        <w:t>e dollars des Etats-Unis</w:t>
      </w:r>
      <w:r w:rsidRPr="00882278">
        <w:rPr>
          <w:rFonts w:ascii="Andes" w:hAnsi="Andes" w:cs="Arial"/>
          <w:sz w:val="22"/>
          <w:szCs w:val="22"/>
        </w:rPr>
        <w:t xml:space="preserve"> ou plus doivent </w:t>
      </w:r>
      <w:r w:rsidR="002B3808">
        <w:rPr>
          <w:rFonts w:ascii="Andes" w:hAnsi="Andes" w:cs="Arial"/>
          <w:sz w:val="22"/>
          <w:szCs w:val="22"/>
        </w:rPr>
        <w:t>donner lieu à</w:t>
      </w:r>
      <w:r w:rsidRPr="00882278">
        <w:rPr>
          <w:rFonts w:ascii="Andes" w:hAnsi="Andes" w:cs="Arial"/>
          <w:sz w:val="22"/>
          <w:szCs w:val="22"/>
        </w:rPr>
        <w:t xml:space="preserve"> un </w:t>
      </w:r>
      <w:r w:rsidR="002B3808">
        <w:rPr>
          <w:rFonts w:ascii="Andes" w:hAnsi="Andes" w:cs="Arial"/>
          <w:sz w:val="22"/>
          <w:szCs w:val="22"/>
        </w:rPr>
        <w:t>E</w:t>
      </w:r>
      <w:r w:rsidRPr="00882278">
        <w:rPr>
          <w:rFonts w:ascii="Andes" w:hAnsi="Andes" w:cs="Arial"/>
          <w:sz w:val="22"/>
          <w:szCs w:val="22"/>
        </w:rPr>
        <w:t xml:space="preserve">ngagement précoce </w:t>
      </w:r>
      <w:r w:rsidR="002B3808">
        <w:rPr>
          <w:rFonts w:ascii="Andes" w:hAnsi="Andes" w:cs="Arial"/>
          <w:sz w:val="22"/>
          <w:szCs w:val="22"/>
        </w:rPr>
        <w:t>du</w:t>
      </w:r>
      <w:r w:rsidRPr="00882278">
        <w:rPr>
          <w:rFonts w:ascii="Andes" w:hAnsi="Andes" w:cs="Arial"/>
          <w:sz w:val="22"/>
          <w:szCs w:val="22"/>
        </w:rPr>
        <w:t xml:space="preserve"> marché pour chacun de ces </w:t>
      </w:r>
      <w:r w:rsidR="002B3808">
        <w:rPr>
          <w:rFonts w:ascii="Andes" w:hAnsi="Andes" w:cs="Arial"/>
          <w:sz w:val="22"/>
          <w:szCs w:val="22"/>
        </w:rPr>
        <w:t>contrat</w:t>
      </w:r>
      <w:r w:rsidRPr="00882278">
        <w:rPr>
          <w:rFonts w:ascii="Andes" w:hAnsi="Andes" w:cs="Arial"/>
          <w:sz w:val="22"/>
          <w:szCs w:val="22"/>
        </w:rPr>
        <w:t>s et inclure un résumé de l'approche prévue en matière d'</w:t>
      </w:r>
      <w:r w:rsidR="00151658">
        <w:rPr>
          <w:rFonts w:ascii="Andes" w:hAnsi="Andes" w:cs="Arial"/>
          <w:sz w:val="22"/>
          <w:szCs w:val="22"/>
        </w:rPr>
        <w:t>E</w:t>
      </w:r>
      <w:r w:rsidRPr="00882278">
        <w:rPr>
          <w:rFonts w:ascii="Andes" w:hAnsi="Andes" w:cs="Arial"/>
          <w:sz w:val="22"/>
          <w:szCs w:val="22"/>
        </w:rPr>
        <w:t xml:space="preserve">ngagement précoce </w:t>
      </w:r>
      <w:r w:rsidR="00151658">
        <w:rPr>
          <w:rFonts w:ascii="Andes" w:hAnsi="Andes" w:cs="Arial"/>
          <w:sz w:val="22"/>
          <w:szCs w:val="22"/>
        </w:rPr>
        <w:t>du</w:t>
      </w:r>
      <w:r w:rsidRPr="00882278">
        <w:rPr>
          <w:rFonts w:ascii="Andes" w:hAnsi="Andes" w:cs="Arial"/>
          <w:sz w:val="22"/>
          <w:szCs w:val="22"/>
        </w:rPr>
        <w:t xml:space="preserve"> marché dans </w:t>
      </w:r>
      <w:r w:rsidR="00151658">
        <w:rPr>
          <w:rFonts w:ascii="Andes" w:hAnsi="Andes" w:cs="Arial"/>
          <w:sz w:val="22"/>
          <w:szCs w:val="22"/>
        </w:rPr>
        <w:t>la SPMPD</w:t>
      </w:r>
      <w:r w:rsidRPr="00882278">
        <w:rPr>
          <w:rFonts w:ascii="Andes" w:hAnsi="Andes" w:cs="Arial"/>
          <w:sz w:val="22"/>
          <w:szCs w:val="22"/>
        </w:rPr>
        <w:t xml:space="preserve">. L'approche prévue doit être adaptée au type </w:t>
      </w:r>
      <w:r w:rsidR="00794DB5">
        <w:rPr>
          <w:rFonts w:ascii="Andes" w:hAnsi="Andes" w:cs="Arial"/>
          <w:sz w:val="22"/>
          <w:szCs w:val="22"/>
        </w:rPr>
        <w:t>d’acquisition</w:t>
      </w:r>
      <w:r w:rsidRPr="00882278">
        <w:rPr>
          <w:rFonts w:ascii="Andes" w:hAnsi="Andes" w:cs="Arial"/>
          <w:sz w:val="22"/>
          <w:szCs w:val="22"/>
        </w:rPr>
        <w:t xml:space="preserve"> et à l'environnement opérationnel. (Voir la </w:t>
      </w:r>
      <w:hyperlink r:id="rId30" w:history="1">
        <w:r w:rsidR="007F6FE0">
          <w:rPr>
            <w:rFonts w:ascii="Andes" w:hAnsi="Andes" w:cs="Arial"/>
            <w:sz w:val="22"/>
            <w:szCs w:val="22"/>
          </w:rPr>
          <w:t>F</w:t>
        </w:r>
        <w:r w:rsidRPr="00882278">
          <w:rPr>
            <w:rFonts w:ascii="Andes" w:hAnsi="Andes" w:cs="Arial"/>
            <w:sz w:val="22"/>
            <w:szCs w:val="22"/>
          </w:rPr>
          <w:t>iche d'information sur l'</w:t>
        </w:r>
        <w:r w:rsidR="007F6FE0">
          <w:rPr>
            <w:rFonts w:ascii="Andes" w:hAnsi="Andes" w:cs="Arial"/>
            <w:sz w:val="22"/>
            <w:szCs w:val="22"/>
          </w:rPr>
          <w:t>E</w:t>
        </w:r>
        <w:r w:rsidRPr="00882278">
          <w:rPr>
            <w:rFonts w:ascii="Andes" w:hAnsi="Andes" w:cs="Arial"/>
            <w:sz w:val="22"/>
            <w:szCs w:val="22"/>
          </w:rPr>
          <w:t xml:space="preserve">ngagement précoce </w:t>
        </w:r>
        <w:r w:rsidR="007F6FE0">
          <w:rPr>
            <w:rFonts w:ascii="Andes" w:hAnsi="Andes" w:cs="Arial"/>
            <w:sz w:val="22"/>
            <w:szCs w:val="22"/>
          </w:rPr>
          <w:t>du</w:t>
        </w:r>
        <w:r w:rsidRPr="00882278">
          <w:rPr>
            <w:rFonts w:ascii="Andes" w:hAnsi="Andes" w:cs="Arial"/>
            <w:sz w:val="22"/>
            <w:szCs w:val="22"/>
          </w:rPr>
          <w:t xml:space="preserve"> marché</w:t>
        </w:r>
      </w:hyperlink>
      <w:r w:rsidRPr="00882278">
        <w:rPr>
          <w:rFonts w:ascii="Andes" w:hAnsi="Andes" w:cs="Arial"/>
          <w:sz w:val="22"/>
          <w:szCs w:val="22"/>
        </w:rPr>
        <w:t xml:space="preserve">). </w:t>
      </w:r>
    </w:p>
    <w:p w14:paraId="57B8C7DF" w14:textId="26EBC908" w:rsidR="00FD2E43" w:rsidRPr="00882278" w:rsidRDefault="00FD2E43" w:rsidP="00882278">
      <w:pPr>
        <w:pStyle w:val="Paragraphedeliste"/>
        <w:numPr>
          <w:ilvl w:val="1"/>
          <w:numId w:val="276"/>
        </w:numPr>
        <w:spacing w:before="0" w:line="240" w:lineRule="auto"/>
        <w:ind w:left="630" w:hanging="630"/>
        <w:contextualSpacing w:val="0"/>
        <w:rPr>
          <w:rFonts w:ascii="Andes" w:hAnsi="Andes" w:cs="Arial"/>
          <w:sz w:val="22"/>
          <w:szCs w:val="22"/>
        </w:rPr>
      </w:pPr>
      <w:r w:rsidRPr="00882278">
        <w:rPr>
          <w:rFonts w:ascii="Andes" w:hAnsi="Andes" w:cs="Arial"/>
          <w:sz w:val="22"/>
          <w:szCs w:val="22"/>
        </w:rPr>
        <w:t>L'</w:t>
      </w:r>
      <w:r w:rsidR="001D59EE">
        <w:rPr>
          <w:rFonts w:ascii="Andes" w:hAnsi="Andes" w:cs="Arial"/>
          <w:sz w:val="22"/>
          <w:szCs w:val="22"/>
        </w:rPr>
        <w:t>E</w:t>
      </w:r>
      <w:r w:rsidRPr="00882278">
        <w:rPr>
          <w:rFonts w:ascii="Andes" w:hAnsi="Andes" w:cs="Arial"/>
          <w:sz w:val="22"/>
          <w:szCs w:val="22"/>
        </w:rPr>
        <w:t xml:space="preserve">ngagement précoce </w:t>
      </w:r>
      <w:r w:rsidR="001D59EE">
        <w:rPr>
          <w:rFonts w:ascii="Andes" w:hAnsi="Andes" w:cs="Arial"/>
          <w:sz w:val="22"/>
          <w:szCs w:val="22"/>
        </w:rPr>
        <w:t>du</w:t>
      </w:r>
      <w:r w:rsidRPr="00882278">
        <w:rPr>
          <w:rFonts w:ascii="Andes" w:hAnsi="Andes" w:cs="Arial"/>
          <w:sz w:val="22"/>
          <w:szCs w:val="22"/>
        </w:rPr>
        <w:t xml:space="preserve"> marché sera ciblé sur le(s) segment(s) de marché national(s) et/ou international(s) pertinent(s) sur la base des conclusions de l'analyse de marché et de la disponibilité et de la localisation des </w:t>
      </w:r>
      <w:r w:rsidR="00475AA0">
        <w:rPr>
          <w:rFonts w:ascii="Andes" w:hAnsi="Andes" w:cs="Arial"/>
          <w:sz w:val="22"/>
          <w:szCs w:val="22"/>
        </w:rPr>
        <w:t>S</w:t>
      </w:r>
      <w:r w:rsidRPr="00882278">
        <w:rPr>
          <w:rFonts w:ascii="Andes" w:hAnsi="Andes" w:cs="Arial"/>
          <w:sz w:val="22"/>
          <w:szCs w:val="22"/>
        </w:rPr>
        <w:t>oumissionnaires/</w:t>
      </w:r>
      <w:r w:rsidR="00475AA0">
        <w:rPr>
          <w:rFonts w:ascii="Andes" w:hAnsi="Andes" w:cs="Arial"/>
          <w:sz w:val="22"/>
          <w:szCs w:val="22"/>
        </w:rPr>
        <w:t>P</w:t>
      </w:r>
      <w:r w:rsidRPr="00882278">
        <w:rPr>
          <w:rFonts w:ascii="Andes" w:hAnsi="Andes" w:cs="Arial"/>
          <w:sz w:val="22"/>
          <w:szCs w:val="22"/>
        </w:rPr>
        <w:t>roposants/</w:t>
      </w:r>
      <w:r w:rsidR="00475AA0">
        <w:rPr>
          <w:rFonts w:ascii="Andes" w:hAnsi="Andes" w:cs="Arial"/>
          <w:sz w:val="22"/>
          <w:szCs w:val="22"/>
        </w:rPr>
        <w:t>C</w:t>
      </w:r>
      <w:r w:rsidRPr="00882278">
        <w:rPr>
          <w:rFonts w:ascii="Andes" w:hAnsi="Andes" w:cs="Arial"/>
          <w:sz w:val="22"/>
          <w:szCs w:val="22"/>
        </w:rPr>
        <w:t xml:space="preserve">onsultants potentiels ayant l'envergure, les compétences et l'expérience requises pour </w:t>
      </w:r>
      <w:r w:rsidR="007B714F">
        <w:rPr>
          <w:rFonts w:ascii="Andes" w:hAnsi="Andes" w:cs="Arial"/>
          <w:sz w:val="22"/>
          <w:szCs w:val="22"/>
        </w:rPr>
        <w:t>les acquisitions</w:t>
      </w:r>
      <w:r w:rsidR="008C0602">
        <w:rPr>
          <w:rFonts w:ascii="Andes" w:hAnsi="Andes" w:cs="Arial"/>
          <w:sz w:val="22"/>
          <w:szCs w:val="22"/>
        </w:rPr>
        <w:t xml:space="preserve"> spécifiques</w:t>
      </w:r>
      <w:r w:rsidRPr="00882278">
        <w:rPr>
          <w:rFonts w:ascii="Andes" w:hAnsi="Andes" w:cs="Arial"/>
          <w:sz w:val="22"/>
          <w:szCs w:val="22"/>
        </w:rPr>
        <w:t>.</w:t>
      </w:r>
    </w:p>
    <w:p w14:paraId="66D89BD6" w14:textId="7AEBCA62" w:rsidR="00FD2E43" w:rsidRPr="00882278" w:rsidRDefault="00FD2E43" w:rsidP="00882278">
      <w:pPr>
        <w:pStyle w:val="Paragraphedeliste"/>
        <w:numPr>
          <w:ilvl w:val="1"/>
          <w:numId w:val="276"/>
        </w:numPr>
        <w:spacing w:before="0" w:line="240" w:lineRule="auto"/>
        <w:ind w:left="630" w:hanging="630"/>
        <w:contextualSpacing w:val="0"/>
        <w:rPr>
          <w:rFonts w:ascii="Andes" w:hAnsi="Andes" w:cs="Arial"/>
          <w:sz w:val="22"/>
          <w:szCs w:val="22"/>
        </w:rPr>
      </w:pPr>
      <w:r w:rsidRPr="00882278">
        <w:rPr>
          <w:rFonts w:ascii="Andes" w:hAnsi="Andes" w:cs="Arial"/>
          <w:sz w:val="22"/>
          <w:szCs w:val="22"/>
        </w:rPr>
        <w:lastRenderedPageBreak/>
        <w:t>Les principaux objectifs de l'</w:t>
      </w:r>
      <w:r w:rsidR="008C0602">
        <w:rPr>
          <w:rFonts w:ascii="Andes" w:hAnsi="Andes" w:cs="Arial"/>
          <w:sz w:val="22"/>
          <w:szCs w:val="22"/>
        </w:rPr>
        <w:t>E</w:t>
      </w:r>
      <w:r w:rsidRPr="00882278">
        <w:rPr>
          <w:rFonts w:ascii="Andes" w:hAnsi="Andes" w:cs="Arial"/>
          <w:sz w:val="22"/>
          <w:szCs w:val="22"/>
        </w:rPr>
        <w:t xml:space="preserve">ngagement précoce </w:t>
      </w:r>
      <w:r w:rsidR="008C0602">
        <w:rPr>
          <w:rFonts w:ascii="Andes" w:hAnsi="Andes" w:cs="Arial"/>
          <w:sz w:val="22"/>
          <w:szCs w:val="22"/>
        </w:rPr>
        <w:t xml:space="preserve">du marché </w:t>
      </w:r>
      <w:r w:rsidRPr="00882278">
        <w:rPr>
          <w:rFonts w:ascii="Andes" w:hAnsi="Andes" w:cs="Arial"/>
          <w:sz w:val="22"/>
          <w:szCs w:val="22"/>
        </w:rPr>
        <w:t xml:space="preserve">sont les suivants : </w:t>
      </w:r>
    </w:p>
    <w:p w14:paraId="1EDF5B2D" w14:textId="3E692F32" w:rsidR="00FD2E43" w:rsidRPr="00882278" w:rsidRDefault="00FD2E43" w:rsidP="00882278">
      <w:pPr>
        <w:pStyle w:val="Paragraphedeliste"/>
        <w:numPr>
          <w:ilvl w:val="0"/>
          <w:numId w:val="300"/>
        </w:numPr>
        <w:spacing w:before="0" w:line="240" w:lineRule="auto"/>
        <w:contextualSpacing w:val="0"/>
        <w:rPr>
          <w:rFonts w:ascii="Andes" w:eastAsiaTheme="minorHAnsi" w:hAnsi="Andes" w:cs="Arial"/>
          <w:color w:val="000000"/>
          <w:sz w:val="22"/>
          <w:szCs w:val="22"/>
        </w:rPr>
      </w:pPr>
      <w:r w:rsidRPr="00882278">
        <w:rPr>
          <w:rFonts w:ascii="Andes" w:eastAsiaTheme="minorHAnsi" w:hAnsi="Andes" w:cs="Arial"/>
          <w:color w:val="000000"/>
          <w:sz w:val="22"/>
          <w:szCs w:val="22"/>
        </w:rPr>
        <w:t xml:space="preserve">informer le marché de l'opportunité </w:t>
      </w:r>
      <w:r w:rsidR="009B73FE">
        <w:rPr>
          <w:rFonts w:ascii="Andes" w:eastAsiaTheme="minorHAnsi" w:hAnsi="Andes" w:cs="Arial"/>
          <w:color w:val="000000"/>
          <w:sz w:val="22"/>
          <w:szCs w:val="22"/>
        </w:rPr>
        <w:t>de contrat</w:t>
      </w:r>
      <w:r w:rsidRPr="00882278">
        <w:rPr>
          <w:rFonts w:ascii="Andes" w:eastAsiaTheme="minorHAnsi" w:hAnsi="Andes" w:cs="Arial"/>
          <w:color w:val="000000"/>
          <w:sz w:val="22"/>
          <w:szCs w:val="22"/>
        </w:rPr>
        <w:t xml:space="preserve"> en expliquant les principales caractéristiques </w:t>
      </w:r>
      <w:r w:rsidR="009B73FE">
        <w:rPr>
          <w:rFonts w:ascii="Andes" w:eastAsiaTheme="minorHAnsi" w:hAnsi="Andes" w:cs="Arial"/>
          <w:color w:val="000000"/>
          <w:sz w:val="22"/>
          <w:szCs w:val="22"/>
        </w:rPr>
        <w:t>envisag</w:t>
      </w:r>
      <w:r w:rsidRPr="00882278">
        <w:rPr>
          <w:rFonts w:ascii="Andes" w:eastAsiaTheme="minorHAnsi" w:hAnsi="Andes" w:cs="Arial"/>
          <w:color w:val="000000"/>
          <w:sz w:val="22"/>
          <w:szCs w:val="22"/>
        </w:rPr>
        <w:t xml:space="preserve">ées du projet et de la procédure de passation de marché ; </w:t>
      </w:r>
    </w:p>
    <w:p w14:paraId="79B99F8A" w14:textId="51CC5396" w:rsidR="00FD2E43" w:rsidRPr="00882278" w:rsidRDefault="00FD2E43" w:rsidP="00882278">
      <w:pPr>
        <w:pStyle w:val="Paragraphedeliste"/>
        <w:numPr>
          <w:ilvl w:val="0"/>
          <w:numId w:val="300"/>
        </w:numPr>
        <w:spacing w:before="0" w:line="240" w:lineRule="auto"/>
        <w:contextualSpacing w:val="0"/>
        <w:rPr>
          <w:rFonts w:ascii="Andes" w:eastAsiaTheme="minorHAnsi" w:hAnsi="Andes" w:cs="Arial"/>
          <w:color w:val="000000"/>
          <w:sz w:val="22"/>
          <w:szCs w:val="22"/>
        </w:rPr>
      </w:pPr>
      <w:r w:rsidRPr="00882278">
        <w:rPr>
          <w:rFonts w:ascii="Andes" w:eastAsiaTheme="minorHAnsi" w:hAnsi="Andes" w:cs="Arial"/>
          <w:color w:val="000000"/>
          <w:sz w:val="22"/>
          <w:szCs w:val="22"/>
        </w:rPr>
        <w:t xml:space="preserve">comprendre la taille, la composition, les principales dynamiques et les capacités du marché cible ; et </w:t>
      </w:r>
    </w:p>
    <w:p w14:paraId="612A7B4D" w14:textId="489952D8" w:rsidR="00FD2E43" w:rsidRPr="00882278" w:rsidRDefault="00FD2E43" w:rsidP="00882278">
      <w:pPr>
        <w:pStyle w:val="Paragraphedeliste"/>
        <w:numPr>
          <w:ilvl w:val="0"/>
          <w:numId w:val="300"/>
        </w:numPr>
        <w:spacing w:before="0" w:line="240" w:lineRule="auto"/>
        <w:contextualSpacing w:val="0"/>
        <w:rPr>
          <w:rFonts w:ascii="Andes" w:eastAsiaTheme="minorHAnsi" w:hAnsi="Andes" w:cs="Arial"/>
          <w:color w:val="000000"/>
          <w:sz w:val="22"/>
          <w:szCs w:val="22"/>
        </w:rPr>
      </w:pPr>
      <w:r w:rsidRPr="00882278">
        <w:rPr>
          <w:rFonts w:ascii="Andes" w:eastAsiaTheme="minorHAnsi" w:hAnsi="Andes" w:cs="Arial"/>
          <w:color w:val="000000"/>
          <w:sz w:val="22"/>
          <w:szCs w:val="22"/>
        </w:rPr>
        <w:t xml:space="preserve">d'adapter la stratégie de passation de marchés sur la base du retour d'information reçu, de manière à inciter les </w:t>
      </w:r>
      <w:r w:rsidR="00E92576">
        <w:rPr>
          <w:rFonts w:ascii="Andes" w:eastAsiaTheme="minorHAnsi" w:hAnsi="Andes" w:cs="Arial"/>
          <w:color w:val="000000"/>
          <w:sz w:val="22"/>
          <w:szCs w:val="22"/>
        </w:rPr>
        <w:t>S</w:t>
      </w:r>
      <w:r w:rsidRPr="00882278">
        <w:rPr>
          <w:rFonts w:ascii="Andes" w:eastAsiaTheme="minorHAnsi" w:hAnsi="Andes" w:cs="Arial"/>
          <w:color w:val="000000"/>
          <w:sz w:val="22"/>
          <w:szCs w:val="22"/>
        </w:rPr>
        <w:t>oumissionnaires/</w:t>
      </w:r>
      <w:r w:rsidR="00E92576">
        <w:rPr>
          <w:rFonts w:ascii="Andes" w:eastAsiaTheme="minorHAnsi" w:hAnsi="Andes" w:cs="Arial"/>
          <w:color w:val="000000"/>
          <w:sz w:val="22"/>
          <w:szCs w:val="22"/>
        </w:rPr>
        <w:t>P</w:t>
      </w:r>
      <w:r w:rsidRPr="00882278">
        <w:rPr>
          <w:rFonts w:ascii="Andes" w:eastAsiaTheme="minorHAnsi" w:hAnsi="Andes" w:cs="Arial"/>
          <w:color w:val="000000"/>
          <w:sz w:val="22"/>
          <w:szCs w:val="22"/>
        </w:rPr>
        <w:t>roposants/</w:t>
      </w:r>
      <w:r w:rsidR="00E92576">
        <w:rPr>
          <w:rFonts w:ascii="Andes" w:eastAsiaTheme="minorHAnsi" w:hAnsi="Andes" w:cs="Arial"/>
          <w:color w:val="000000"/>
          <w:sz w:val="22"/>
          <w:szCs w:val="22"/>
        </w:rPr>
        <w:t>C</w:t>
      </w:r>
      <w:r w:rsidRPr="00882278">
        <w:rPr>
          <w:rFonts w:ascii="Andes" w:eastAsiaTheme="minorHAnsi" w:hAnsi="Andes" w:cs="Arial"/>
          <w:color w:val="000000"/>
          <w:sz w:val="22"/>
          <w:szCs w:val="22"/>
        </w:rPr>
        <w:t xml:space="preserve">onsultants potentiels expérimentés et de qualité à participer. </w:t>
      </w:r>
    </w:p>
    <w:p w14:paraId="7D930ADA" w14:textId="04E01C69" w:rsidR="00FD2E43" w:rsidRPr="00882278" w:rsidRDefault="00FD2E43" w:rsidP="00882278">
      <w:pPr>
        <w:pStyle w:val="Paragraphedeliste"/>
        <w:numPr>
          <w:ilvl w:val="1"/>
          <w:numId w:val="276"/>
        </w:numPr>
        <w:spacing w:before="0" w:line="240" w:lineRule="auto"/>
        <w:ind w:left="630" w:hanging="630"/>
        <w:contextualSpacing w:val="0"/>
        <w:rPr>
          <w:rFonts w:ascii="Andes" w:hAnsi="Andes" w:cs="Arial"/>
          <w:sz w:val="22"/>
          <w:szCs w:val="22"/>
        </w:rPr>
      </w:pPr>
      <w:r w:rsidRPr="00882278">
        <w:rPr>
          <w:rFonts w:ascii="Andes" w:hAnsi="Andes" w:cs="Arial"/>
          <w:sz w:val="22"/>
          <w:szCs w:val="22"/>
        </w:rPr>
        <w:t>L'</w:t>
      </w:r>
      <w:r w:rsidR="00E92576">
        <w:rPr>
          <w:rFonts w:ascii="Andes" w:hAnsi="Andes" w:cs="Arial"/>
          <w:sz w:val="22"/>
          <w:szCs w:val="22"/>
        </w:rPr>
        <w:t>E</w:t>
      </w:r>
      <w:r w:rsidRPr="00882278">
        <w:rPr>
          <w:rFonts w:ascii="Andes" w:hAnsi="Andes" w:cs="Arial"/>
          <w:sz w:val="22"/>
          <w:szCs w:val="22"/>
        </w:rPr>
        <w:t xml:space="preserve">ngagement précoce </w:t>
      </w:r>
      <w:r w:rsidR="00E92576">
        <w:rPr>
          <w:rFonts w:ascii="Andes" w:hAnsi="Andes" w:cs="Arial"/>
          <w:sz w:val="22"/>
          <w:szCs w:val="22"/>
        </w:rPr>
        <w:t>du</w:t>
      </w:r>
      <w:r w:rsidRPr="00882278">
        <w:rPr>
          <w:rFonts w:ascii="Andes" w:hAnsi="Andes" w:cs="Arial"/>
          <w:sz w:val="22"/>
          <w:szCs w:val="22"/>
        </w:rPr>
        <w:t xml:space="preserve"> marché peut </w:t>
      </w:r>
      <w:r w:rsidR="00E17BD4">
        <w:rPr>
          <w:rFonts w:ascii="Andes" w:hAnsi="Andes" w:cs="Arial"/>
          <w:sz w:val="22"/>
          <w:szCs w:val="22"/>
        </w:rPr>
        <w:t>inclure</w:t>
      </w:r>
      <w:r w:rsidRPr="00882278">
        <w:rPr>
          <w:rFonts w:ascii="Andes" w:hAnsi="Andes" w:cs="Arial"/>
          <w:sz w:val="22"/>
          <w:szCs w:val="22"/>
        </w:rPr>
        <w:t xml:space="preserve"> tout ou partie des éléments suivants : </w:t>
      </w:r>
    </w:p>
    <w:p w14:paraId="0D144D40" w14:textId="377D2786" w:rsidR="00FD2E43" w:rsidRPr="00882278" w:rsidRDefault="00FD2E43" w:rsidP="00882278">
      <w:pPr>
        <w:pStyle w:val="Paragraphedeliste"/>
        <w:numPr>
          <w:ilvl w:val="0"/>
          <w:numId w:val="301"/>
        </w:numPr>
        <w:spacing w:before="0" w:line="240" w:lineRule="auto"/>
        <w:contextualSpacing w:val="0"/>
        <w:rPr>
          <w:rFonts w:ascii="Andes" w:eastAsiaTheme="minorHAnsi" w:hAnsi="Andes" w:cs="Arial"/>
          <w:color w:val="000000"/>
          <w:sz w:val="22"/>
          <w:szCs w:val="22"/>
        </w:rPr>
      </w:pPr>
      <w:r w:rsidRPr="00882278">
        <w:rPr>
          <w:rFonts w:ascii="Andes" w:eastAsiaTheme="minorHAnsi" w:hAnsi="Andes" w:cs="Arial"/>
          <w:color w:val="000000"/>
          <w:sz w:val="22"/>
          <w:szCs w:val="22"/>
        </w:rPr>
        <w:t xml:space="preserve">des conférences ouvertes (en personne ou virtuelles) avec les </w:t>
      </w:r>
      <w:r w:rsidR="00E17BD4">
        <w:rPr>
          <w:rFonts w:ascii="Andes" w:eastAsiaTheme="minorHAnsi" w:hAnsi="Andes" w:cs="Arial"/>
          <w:color w:val="000000"/>
          <w:sz w:val="22"/>
          <w:szCs w:val="22"/>
        </w:rPr>
        <w:t>S</w:t>
      </w:r>
      <w:r w:rsidRPr="00882278">
        <w:rPr>
          <w:rFonts w:ascii="Andes" w:eastAsiaTheme="minorHAnsi" w:hAnsi="Andes" w:cs="Arial"/>
          <w:color w:val="000000"/>
          <w:sz w:val="22"/>
          <w:szCs w:val="22"/>
        </w:rPr>
        <w:t>oumissionnaires/</w:t>
      </w:r>
      <w:r w:rsidR="00E17BD4">
        <w:rPr>
          <w:rFonts w:ascii="Andes" w:eastAsiaTheme="minorHAnsi" w:hAnsi="Andes" w:cs="Arial"/>
          <w:color w:val="000000"/>
          <w:sz w:val="22"/>
          <w:szCs w:val="22"/>
        </w:rPr>
        <w:t>P</w:t>
      </w:r>
      <w:r w:rsidRPr="00882278">
        <w:rPr>
          <w:rFonts w:ascii="Andes" w:eastAsiaTheme="minorHAnsi" w:hAnsi="Andes" w:cs="Arial"/>
          <w:color w:val="000000"/>
          <w:sz w:val="22"/>
          <w:szCs w:val="22"/>
        </w:rPr>
        <w:t>roposants/</w:t>
      </w:r>
      <w:r w:rsidR="00E17BD4">
        <w:rPr>
          <w:rFonts w:ascii="Andes" w:eastAsiaTheme="minorHAnsi" w:hAnsi="Andes" w:cs="Arial"/>
          <w:color w:val="000000"/>
          <w:sz w:val="22"/>
          <w:szCs w:val="22"/>
        </w:rPr>
        <w:t>C</w:t>
      </w:r>
      <w:r w:rsidRPr="00882278">
        <w:rPr>
          <w:rFonts w:ascii="Andes" w:eastAsiaTheme="minorHAnsi" w:hAnsi="Andes" w:cs="Arial"/>
          <w:color w:val="000000"/>
          <w:sz w:val="22"/>
          <w:szCs w:val="22"/>
        </w:rPr>
        <w:t>onsultants potentiels ;</w:t>
      </w:r>
    </w:p>
    <w:p w14:paraId="5EE4540F" w14:textId="77777777" w:rsidR="00FD2E43" w:rsidRPr="00882278" w:rsidRDefault="00FD2E43" w:rsidP="00882278">
      <w:pPr>
        <w:pStyle w:val="Paragraphedeliste"/>
        <w:numPr>
          <w:ilvl w:val="0"/>
          <w:numId w:val="301"/>
        </w:numPr>
        <w:spacing w:before="0" w:line="240" w:lineRule="auto"/>
        <w:contextualSpacing w:val="0"/>
        <w:rPr>
          <w:rFonts w:ascii="Andes" w:eastAsiaTheme="minorHAnsi" w:hAnsi="Andes" w:cs="Arial"/>
          <w:color w:val="000000"/>
          <w:sz w:val="22"/>
          <w:szCs w:val="22"/>
        </w:rPr>
      </w:pPr>
      <w:r w:rsidRPr="00882278">
        <w:rPr>
          <w:rFonts w:ascii="Andes" w:eastAsiaTheme="minorHAnsi" w:hAnsi="Andes" w:cs="Arial"/>
          <w:color w:val="000000"/>
          <w:sz w:val="22"/>
          <w:szCs w:val="22"/>
        </w:rPr>
        <w:t>une réunion avec les principaux organismes du secteur ;</w:t>
      </w:r>
    </w:p>
    <w:p w14:paraId="7879AC0C" w14:textId="77777777" w:rsidR="00FD2E43" w:rsidRPr="00882278" w:rsidRDefault="00FD2E43" w:rsidP="00882278">
      <w:pPr>
        <w:pStyle w:val="Paragraphedeliste"/>
        <w:numPr>
          <w:ilvl w:val="0"/>
          <w:numId w:val="301"/>
        </w:numPr>
        <w:spacing w:before="0" w:line="240" w:lineRule="auto"/>
        <w:contextualSpacing w:val="0"/>
        <w:rPr>
          <w:rFonts w:ascii="Andes" w:eastAsiaTheme="minorHAnsi" w:hAnsi="Andes" w:cs="Arial"/>
          <w:color w:val="000000"/>
          <w:sz w:val="22"/>
          <w:szCs w:val="22"/>
        </w:rPr>
      </w:pPr>
      <w:r w:rsidRPr="00882278">
        <w:rPr>
          <w:rFonts w:ascii="Andes" w:eastAsiaTheme="minorHAnsi" w:hAnsi="Andes" w:cs="Arial"/>
          <w:color w:val="000000"/>
          <w:sz w:val="22"/>
          <w:szCs w:val="22"/>
        </w:rPr>
        <w:t xml:space="preserve">des tables rondes avec des groupes de discussion ; ou </w:t>
      </w:r>
    </w:p>
    <w:p w14:paraId="6ECA3813" w14:textId="7C8ECD32" w:rsidR="00FD2E43" w:rsidRPr="00882278" w:rsidRDefault="00FD2E43" w:rsidP="00882278">
      <w:pPr>
        <w:pStyle w:val="Paragraphedeliste"/>
        <w:numPr>
          <w:ilvl w:val="0"/>
          <w:numId w:val="301"/>
        </w:numPr>
        <w:spacing w:before="0" w:line="240" w:lineRule="auto"/>
        <w:contextualSpacing w:val="0"/>
        <w:rPr>
          <w:rFonts w:ascii="Andes" w:eastAsiaTheme="minorHAnsi" w:hAnsi="Andes" w:cs="Arial"/>
          <w:color w:val="000000"/>
          <w:sz w:val="22"/>
          <w:szCs w:val="22"/>
        </w:rPr>
      </w:pPr>
      <w:r w:rsidRPr="00882278">
        <w:rPr>
          <w:rFonts w:ascii="Andes" w:eastAsiaTheme="minorHAnsi" w:hAnsi="Andes" w:cs="Arial"/>
          <w:color w:val="000000"/>
          <w:sz w:val="22"/>
          <w:szCs w:val="22"/>
        </w:rPr>
        <w:t xml:space="preserve">une demande d'information par </w:t>
      </w:r>
      <w:r w:rsidR="00BD1BBB">
        <w:rPr>
          <w:rFonts w:ascii="Andes" w:eastAsiaTheme="minorHAnsi" w:hAnsi="Andes" w:cs="Arial"/>
          <w:color w:val="000000"/>
          <w:sz w:val="22"/>
          <w:szCs w:val="22"/>
        </w:rPr>
        <w:t>E</w:t>
      </w:r>
      <w:r w:rsidRPr="00882278">
        <w:rPr>
          <w:rFonts w:ascii="Andes" w:eastAsiaTheme="minorHAnsi" w:hAnsi="Andes" w:cs="Arial"/>
          <w:color w:val="000000"/>
          <w:sz w:val="22"/>
          <w:szCs w:val="22"/>
        </w:rPr>
        <w:t xml:space="preserve">crit. </w:t>
      </w:r>
    </w:p>
    <w:p w14:paraId="5ED62A82" w14:textId="24240D3B" w:rsidR="00FD2E43" w:rsidRPr="00882278" w:rsidRDefault="00570EA9" w:rsidP="00882278">
      <w:pPr>
        <w:pStyle w:val="Paragraphedeliste"/>
        <w:numPr>
          <w:ilvl w:val="1"/>
          <w:numId w:val="276"/>
        </w:numPr>
        <w:spacing w:before="0" w:line="240" w:lineRule="auto"/>
        <w:ind w:left="630" w:hanging="630"/>
        <w:contextualSpacing w:val="0"/>
        <w:rPr>
          <w:rFonts w:ascii="Andes" w:hAnsi="Andes" w:cs="Arial"/>
          <w:sz w:val="22"/>
          <w:szCs w:val="22"/>
        </w:rPr>
      </w:pPr>
      <w:r>
        <w:rPr>
          <w:rFonts w:ascii="Andes" w:hAnsi="Andes" w:cs="Arial"/>
          <w:sz w:val="22"/>
          <w:szCs w:val="22"/>
        </w:rPr>
        <w:t>I</w:t>
      </w:r>
      <w:r w:rsidRPr="00570EA9">
        <w:rPr>
          <w:rFonts w:ascii="Andes" w:hAnsi="Andes" w:cs="Arial"/>
          <w:sz w:val="22"/>
          <w:szCs w:val="22"/>
        </w:rPr>
        <w:t>l</w:t>
      </w:r>
      <w:r w:rsidR="00FD2E43" w:rsidRPr="00882278">
        <w:rPr>
          <w:rFonts w:ascii="Andes" w:hAnsi="Andes" w:cs="Arial"/>
          <w:sz w:val="22"/>
          <w:szCs w:val="22"/>
        </w:rPr>
        <w:t xml:space="preserve"> ne doit être utilisé que pour atteindre les objectifs décrits au </w:t>
      </w:r>
      <w:r w:rsidR="000671D7">
        <w:rPr>
          <w:rFonts w:ascii="Andes" w:hAnsi="Andes" w:cs="Arial"/>
          <w:sz w:val="22"/>
          <w:szCs w:val="22"/>
        </w:rPr>
        <w:t>P</w:t>
      </w:r>
      <w:r w:rsidR="00FD2E43" w:rsidRPr="00882278">
        <w:rPr>
          <w:rFonts w:ascii="Andes" w:hAnsi="Andes" w:cs="Arial"/>
          <w:sz w:val="22"/>
          <w:szCs w:val="22"/>
        </w:rPr>
        <w:t xml:space="preserve">aragraphe 3.10 ci-dessus et ne doit pas servir de base à la présélection ou à la sélection des </w:t>
      </w:r>
      <w:r w:rsidR="004221B2">
        <w:rPr>
          <w:rFonts w:ascii="Andes" w:hAnsi="Andes" w:cs="Arial"/>
          <w:sz w:val="22"/>
          <w:szCs w:val="22"/>
        </w:rPr>
        <w:t>S</w:t>
      </w:r>
      <w:r w:rsidR="00FD2E43" w:rsidRPr="00882278">
        <w:rPr>
          <w:rFonts w:ascii="Andes" w:hAnsi="Andes" w:cs="Arial"/>
          <w:sz w:val="22"/>
          <w:szCs w:val="22"/>
        </w:rPr>
        <w:t>oumissionnaires/</w:t>
      </w:r>
      <w:r w:rsidR="004221B2">
        <w:rPr>
          <w:rFonts w:ascii="Andes" w:hAnsi="Andes" w:cs="Arial"/>
          <w:sz w:val="22"/>
          <w:szCs w:val="22"/>
        </w:rPr>
        <w:t>P</w:t>
      </w:r>
      <w:r w:rsidR="00FD2E43" w:rsidRPr="00882278">
        <w:rPr>
          <w:rFonts w:ascii="Andes" w:hAnsi="Andes" w:cs="Arial"/>
          <w:sz w:val="22"/>
          <w:szCs w:val="22"/>
        </w:rPr>
        <w:t>roposants/</w:t>
      </w:r>
      <w:r w:rsidR="004221B2">
        <w:rPr>
          <w:rFonts w:ascii="Andes" w:hAnsi="Andes" w:cs="Arial"/>
          <w:sz w:val="22"/>
          <w:szCs w:val="22"/>
        </w:rPr>
        <w:t>C</w:t>
      </w:r>
      <w:r w:rsidR="00FD2E43" w:rsidRPr="00882278">
        <w:rPr>
          <w:rFonts w:ascii="Andes" w:hAnsi="Andes" w:cs="Arial"/>
          <w:sz w:val="22"/>
          <w:szCs w:val="22"/>
        </w:rPr>
        <w:t xml:space="preserve">onsultants potentiels. </w:t>
      </w:r>
    </w:p>
    <w:p w14:paraId="1A300384" w14:textId="41CA6090" w:rsidR="00FD2E43" w:rsidRPr="00695A1D" w:rsidRDefault="00FD2E43" w:rsidP="00882278">
      <w:pPr>
        <w:pStyle w:val="Paragraphedeliste"/>
        <w:numPr>
          <w:ilvl w:val="1"/>
          <w:numId w:val="276"/>
        </w:numPr>
        <w:spacing w:before="0" w:line="240" w:lineRule="auto"/>
        <w:ind w:left="630" w:hanging="630"/>
        <w:contextualSpacing w:val="0"/>
        <w:rPr>
          <w:rFonts w:ascii="Andes" w:hAnsi="Andes" w:cs="Arial"/>
          <w:b/>
          <w:color w:val="000000" w:themeColor="text1"/>
          <w:sz w:val="28"/>
          <w:szCs w:val="28"/>
        </w:rPr>
      </w:pPr>
      <w:r w:rsidRPr="00882278">
        <w:rPr>
          <w:rFonts w:ascii="Andes" w:hAnsi="Andes" w:cs="Arial"/>
          <w:sz w:val="22"/>
          <w:szCs w:val="22"/>
        </w:rPr>
        <w:t>Dans tous les cas, l'</w:t>
      </w:r>
      <w:r w:rsidR="004221B2" w:rsidRPr="00695A1D">
        <w:rPr>
          <w:rFonts w:ascii="Andes" w:hAnsi="Andes" w:cs="Arial"/>
          <w:sz w:val="22"/>
          <w:szCs w:val="22"/>
        </w:rPr>
        <w:t>E</w:t>
      </w:r>
      <w:r w:rsidRPr="00882278">
        <w:rPr>
          <w:rFonts w:ascii="Andes" w:hAnsi="Andes" w:cs="Arial"/>
          <w:sz w:val="22"/>
          <w:szCs w:val="22"/>
        </w:rPr>
        <w:t xml:space="preserve">ngagement précoce </w:t>
      </w:r>
      <w:r w:rsidR="004221B2" w:rsidRPr="00695A1D">
        <w:rPr>
          <w:rFonts w:ascii="Andes" w:hAnsi="Andes" w:cs="Arial"/>
          <w:sz w:val="22"/>
          <w:szCs w:val="22"/>
        </w:rPr>
        <w:t>du</w:t>
      </w:r>
      <w:r w:rsidRPr="00882278">
        <w:rPr>
          <w:rFonts w:ascii="Andes" w:hAnsi="Andes" w:cs="Arial"/>
          <w:sz w:val="22"/>
          <w:szCs w:val="22"/>
        </w:rPr>
        <w:t xml:space="preserve"> marché doit être ouvert et transparent. Les documents créés ou utilisés pour promouvoir l'engagement du marché doivent être accessibles au public. Les </w:t>
      </w:r>
      <w:r w:rsidR="004221B2" w:rsidRPr="00695A1D">
        <w:rPr>
          <w:rFonts w:ascii="Andes" w:hAnsi="Andes" w:cs="Arial"/>
          <w:sz w:val="22"/>
          <w:szCs w:val="22"/>
        </w:rPr>
        <w:t>E</w:t>
      </w:r>
      <w:r w:rsidRPr="00882278">
        <w:rPr>
          <w:rFonts w:ascii="Andes" w:hAnsi="Andes" w:cs="Arial"/>
          <w:sz w:val="22"/>
          <w:szCs w:val="22"/>
        </w:rPr>
        <w:t>mprunteurs doivent également tenir un registre complet de toutes les réunions d'information relatives à l'</w:t>
      </w:r>
      <w:r w:rsidR="00980FD4" w:rsidRPr="00695A1D">
        <w:rPr>
          <w:rFonts w:ascii="Andes" w:hAnsi="Andes" w:cs="Arial"/>
          <w:sz w:val="22"/>
          <w:szCs w:val="22"/>
        </w:rPr>
        <w:t>E</w:t>
      </w:r>
      <w:r w:rsidRPr="00882278">
        <w:rPr>
          <w:rFonts w:ascii="Andes" w:hAnsi="Andes" w:cs="Arial"/>
          <w:sz w:val="22"/>
          <w:szCs w:val="22"/>
        </w:rPr>
        <w:t xml:space="preserve">ngagement précoce </w:t>
      </w:r>
      <w:r w:rsidR="00980FD4" w:rsidRPr="00695A1D">
        <w:rPr>
          <w:rFonts w:ascii="Andes" w:hAnsi="Andes" w:cs="Arial"/>
          <w:sz w:val="22"/>
          <w:szCs w:val="22"/>
        </w:rPr>
        <w:t>du</w:t>
      </w:r>
      <w:r w:rsidRPr="00882278">
        <w:rPr>
          <w:rFonts w:ascii="Andes" w:hAnsi="Andes" w:cs="Arial"/>
          <w:sz w:val="22"/>
          <w:szCs w:val="22"/>
        </w:rPr>
        <w:t xml:space="preserve"> marché. Des </w:t>
      </w:r>
      <w:r w:rsidR="00980FD4" w:rsidRPr="00695A1D">
        <w:rPr>
          <w:rFonts w:ascii="Andes" w:hAnsi="Andes" w:cs="Arial"/>
          <w:sz w:val="22"/>
          <w:szCs w:val="22"/>
        </w:rPr>
        <w:t>Garant</w:t>
      </w:r>
      <w:r w:rsidRPr="00882278">
        <w:rPr>
          <w:rFonts w:ascii="Andes" w:hAnsi="Andes" w:cs="Arial"/>
          <w:sz w:val="22"/>
          <w:szCs w:val="22"/>
        </w:rPr>
        <w:t xml:space="preserve">s indépendants </w:t>
      </w:r>
      <w:r w:rsidR="00980FD4" w:rsidRPr="00695A1D">
        <w:rPr>
          <w:rFonts w:ascii="Andes" w:hAnsi="Andes" w:cs="Arial"/>
          <w:sz w:val="22"/>
          <w:szCs w:val="22"/>
        </w:rPr>
        <w:t>de</w:t>
      </w:r>
      <w:r w:rsidRPr="00882278">
        <w:rPr>
          <w:rFonts w:ascii="Andes" w:hAnsi="Andes" w:cs="Arial"/>
          <w:sz w:val="22"/>
          <w:szCs w:val="22"/>
        </w:rPr>
        <w:t xml:space="preserve"> </w:t>
      </w:r>
      <w:r w:rsidR="00980FD4" w:rsidRPr="00695A1D">
        <w:rPr>
          <w:rFonts w:ascii="Andes" w:hAnsi="Andes" w:cs="Arial"/>
          <w:sz w:val="22"/>
          <w:szCs w:val="22"/>
        </w:rPr>
        <w:t>p</w:t>
      </w:r>
      <w:r w:rsidRPr="00882278">
        <w:rPr>
          <w:rFonts w:ascii="Andes" w:hAnsi="Andes" w:cs="Arial"/>
          <w:sz w:val="22"/>
          <w:szCs w:val="22"/>
        </w:rPr>
        <w:t>robité peuvent être requis pour atténuer tout risque perçu d'intégrité ou de conflit d'intérêts.</w:t>
      </w:r>
    </w:p>
    <w:p w14:paraId="349FEE73" w14:textId="77777777" w:rsidR="00E061C6" w:rsidRPr="00833B69" w:rsidRDefault="00E061C6" w:rsidP="00E061C6">
      <w:pPr>
        <w:pStyle w:val="Paragraphedeliste"/>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Gestion des risques</w:t>
      </w:r>
    </w:p>
    <w:p w14:paraId="768B7FED" w14:textId="3268CB15" w:rsidR="00E061C6" w:rsidRPr="00833B69" w:rsidRDefault="00E061C6" w:rsidP="00E061C6">
      <w:pPr>
        <w:pStyle w:val="Paragraphedeliste"/>
        <w:numPr>
          <w:ilvl w:val="1"/>
          <w:numId w:val="276"/>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Le Plan de gestion des risques tient compte de l’analyse de la </w:t>
      </w:r>
      <w:r w:rsidR="006634EF">
        <w:rPr>
          <w:rFonts w:ascii="Andes" w:hAnsi="Andes" w:cs="Arial"/>
          <w:sz w:val="22"/>
          <w:szCs w:val="22"/>
        </w:rPr>
        <w:t>SPMPD</w:t>
      </w:r>
      <w:r w:rsidRPr="00833B69">
        <w:rPr>
          <w:rFonts w:ascii="Andes" w:hAnsi="Andes" w:cs="Arial"/>
          <w:sz w:val="22"/>
          <w:szCs w:val="22"/>
        </w:rPr>
        <w:t xml:space="preserve"> et couvre tous les risques majeurs qui peuvent entraver la mise en œuvre de la passation des marchés. Les risques peuvent être liés au contexte opérationnel, aux conditions du marché, aux capacités de l’agence d’exécution et à la complexité de </w:t>
      </w:r>
      <w:r w:rsidR="008069C1">
        <w:rPr>
          <w:rFonts w:ascii="Andes" w:hAnsi="Andes" w:cs="Arial"/>
          <w:sz w:val="22"/>
          <w:szCs w:val="22"/>
        </w:rPr>
        <w:t>l’acquisition</w:t>
      </w:r>
      <w:r w:rsidR="00082FED">
        <w:rPr>
          <w:rFonts w:ascii="Andes" w:hAnsi="Andes" w:cs="Arial"/>
          <w:sz w:val="22"/>
          <w:szCs w:val="22"/>
        </w:rPr>
        <w:t xml:space="preserve"> et aux risques</w:t>
      </w:r>
      <w:r w:rsidR="00FF5B27">
        <w:rPr>
          <w:rFonts w:ascii="Andes" w:hAnsi="Andes" w:cs="Arial"/>
          <w:sz w:val="22"/>
          <w:szCs w:val="22"/>
        </w:rPr>
        <w:t xml:space="preserve"> </w:t>
      </w:r>
      <w:r w:rsidR="004F5D1D">
        <w:rPr>
          <w:rFonts w:ascii="Andes" w:hAnsi="Andes" w:cs="Arial"/>
          <w:sz w:val="22"/>
          <w:szCs w:val="22"/>
        </w:rPr>
        <w:t xml:space="preserve">des impacts </w:t>
      </w:r>
      <w:r w:rsidR="00FF5B27">
        <w:rPr>
          <w:rFonts w:ascii="Andes" w:hAnsi="Andes" w:cs="Arial"/>
          <w:sz w:val="22"/>
          <w:szCs w:val="22"/>
        </w:rPr>
        <w:t>environnementaux, économiques ou sociaux</w:t>
      </w:r>
      <w:r w:rsidR="004F5D1D">
        <w:rPr>
          <w:rFonts w:ascii="Andes" w:hAnsi="Andes" w:cs="Arial"/>
          <w:sz w:val="22"/>
          <w:szCs w:val="22"/>
        </w:rPr>
        <w:t>, y compris l’</w:t>
      </w:r>
      <w:r w:rsidR="00082FED">
        <w:rPr>
          <w:rFonts w:ascii="Andes" w:hAnsi="Andes" w:cs="Arial"/>
          <w:sz w:val="22"/>
          <w:szCs w:val="22"/>
        </w:rPr>
        <w:t>EAS/HS</w:t>
      </w:r>
      <w:r w:rsidRPr="00833B69">
        <w:rPr>
          <w:rFonts w:ascii="Andes" w:hAnsi="Andes" w:cs="Arial"/>
          <w:sz w:val="22"/>
          <w:szCs w:val="22"/>
        </w:rPr>
        <w:t xml:space="preserve">. </w:t>
      </w:r>
    </w:p>
    <w:p w14:paraId="60B7923E" w14:textId="5E2D19FE" w:rsidR="00E061C6" w:rsidRPr="00833B69" w:rsidRDefault="00E061C6" w:rsidP="00E061C6">
      <w:pPr>
        <w:pStyle w:val="Paragraphedeliste"/>
        <w:numPr>
          <w:ilvl w:val="1"/>
          <w:numId w:val="276"/>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Il convient d’évaluer la probabilité et les conséquences de chacun des risques ; un Plan d’atténuation des risques hiérarchisé est mis en place et régulièrement actualisé tout au long du projet ; les risques et opportunités associés à la passation des marchés sont identifiés et régulièrement actualisés tout au long du Processus de Passation des Marchés, y compris les modalités de passation des marchés, les cahiers des charges, les conditions contractuelles, les </w:t>
      </w:r>
      <w:r w:rsidR="00721DB2">
        <w:rPr>
          <w:rFonts w:ascii="Andes" w:hAnsi="Andes" w:cs="Arial"/>
          <w:sz w:val="22"/>
          <w:szCs w:val="22"/>
        </w:rPr>
        <w:t>C</w:t>
      </w:r>
      <w:r w:rsidRPr="00833B69">
        <w:rPr>
          <w:rFonts w:ascii="Andes" w:hAnsi="Andes" w:cs="Arial"/>
          <w:sz w:val="22"/>
          <w:szCs w:val="22"/>
        </w:rPr>
        <w:t>ritères d’</w:t>
      </w:r>
      <w:r w:rsidR="00721DB2">
        <w:rPr>
          <w:rFonts w:ascii="Andes" w:hAnsi="Andes" w:cs="Arial"/>
          <w:sz w:val="22"/>
          <w:szCs w:val="22"/>
        </w:rPr>
        <w:t>E</w:t>
      </w:r>
      <w:r w:rsidRPr="00833B69">
        <w:rPr>
          <w:rFonts w:ascii="Andes" w:hAnsi="Andes" w:cs="Arial"/>
          <w:sz w:val="22"/>
          <w:szCs w:val="22"/>
        </w:rPr>
        <w:t>valuation et la gestion des marchés et contrats.</w:t>
      </w:r>
    </w:p>
    <w:p w14:paraId="7D724B22" w14:textId="77777777" w:rsidR="00E061C6" w:rsidRPr="00833B69" w:rsidRDefault="00E061C6" w:rsidP="00E061C6">
      <w:pPr>
        <w:pStyle w:val="Paragraphedeliste"/>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 xml:space="preserve">Modalités de passation des marchés </w:t>
      </w:r>
    </w:p>
    <w:p w14:paraId="24B945CC" w14:textId="77777777" w:rsidR="00E061C6" w:rsidRPr="00833B69" w:rsidRDefault="00E061C6" w:rsidP="00E061C6">
      <w:pPr>
        <w:pStyle w:val="Paragraphedeliste"/>
        <w:numPr>
          <w:ilvl w:val="1"/>
          <w:numId w:val="276"/>
        </w:numPr>
        <w:spacing w:before="0" w:line="240" w:lineRule="auto"/>
        <w:ind w:left="630" w:hanging="630"/>
        <w:contextualSpacing w:val="0"/>
        <w:rPr>
          <w:rFonts w:ascii="Andes" w:hAnsi="Andes" w:cs="Arial"/>
          <w:sz w:val="22"/>
          <w:szCs w:val="22"/>
        </w:rPr>
      </w:pPr>
      <w:r w:rsidRPr="00833B69">
        <w:rPr>
          <w:rFonts w:ascii="Andes" w:hAnsi="Andes" w:cs="Arial"/>
          <w:sz w:val="22"/>
          <w:szCs w:val="22"/>
        </w:rPr>
        <w:t>L’Emprunteur précise les modalités de passation des marchés qu’il privilégie, en citant les raisons pour lesquelles elles sont adaptées à l’objectif visé :</w:t>
      </w:r>
    </w:p>
    <w:p w14:paraId="72B7730E" w14:textId="322B15DB" w:rsidR="00E061C6" w:rsidRPr="00833B69" w:rsidRDefault="00E061C6" w:rsidP="00E061C6">
      <w:pPr>
        <w:pStyle w:val="Paragraphedeliste"/>
        <w:numPr>
          <w:ilvl w:val="0"/>
          <w:numId w:val="21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lastRenderedPageBreak/>
        <w:t>mode d’approche du marché (ouverte, restreinte, directe, internationale/nationale, qualification ex ante/ ex post, à phase unique ou phases multiples, à enveloppe unique ou à double enveloppe, négociations, M</w:t>
      </w:r>
      <w:r w:rsidR="00384ACC">
        <w:rPr>
          <w:rFonts w:ascii="Andes" w:eastAsiaTheme="minorHAnsi" w:hAnsi="Andes" w:cs="Arial"/>
          <w:color w:val="000000"/>
          <w:sz w:val="22"/>
          <w:szCs w:val="22"/>
        </w:rPr>
        <w:t xml:space="preserve">eilleure </w:t>
      </w:r>
      <w:r w:rsidRPr="00833B69">
        <w:rPr>
          <w:rFonts w:ascii="Andes" w:eastAsiaTheme="minorHAnsi" w:hAnsi="Andes" w:cs="Arial"/>
          <w:color w:val="000000"/>
          <w:sz w:val="22"/>
          <w:szCs w:val="22"/>
        </w:rPr>
        <w:t>O</w:t>
      </w:r>
      <w:r w:rsidR="00384ACC">
        <w:rPr>
          <w:rFonts w:ascii="Andes" w:eastAsiaTheme="minorHAnsi" w:hAnsi="Andes" w:cs="Arial"/>
          <w:color w:val="000000"/>
          <w:sz w:val="22"/>
          <w:szCs w:val="22"/>
        </w:rPr>
        <w:t xml:space="preserve">ffre </w:t>
      </w:r>
      <w:r w:rsidRPr="00833B69">
        <w:rPr>
          <w:rFonts w:ascii="Andes" w:eastAsiaTheme="minorHAnsi" w:hAnsi="Andes" w:cs="Arial"/>
          <w:color w:val="000000"/>
          <w:sz w:val="22"/>
          <w:szCs w:val="22"/>
        </w:rPr>
        <w:t>F</w:t>
      </w:r>
      <w:r w:rsidR="00384ACC">
        <w:rPr>
          <w:rFonts w:ascii="Andes" w:eastAsiaTheme="minorHAnsi" w:hAnsi="Andes" w:cs="Arial"/>
          <w:color w:val="000000"/>
          <w:sz w:val="22"/>
          <w:szCs w:val="22"/>
        </w:rPr>
        <w:t>inale</w:t>
      </w:r>
      <w:r w:rsidRPr="00833B69">
        <w:rPr>
          <w:rFonts w:ascii="Andes" w:eastAsiaTheme="minorHAnsi" w:hAnsi="Andes" w:cs="Arial"/>
          <w:color w:val="000000"/>
          <w:sz w:val="22"/>
          <w:szCs w:val="22"/>
        </w:rPr>
        <w:t>) ;</w:t>
      </w:r>
    </w:p>
    <w:p w14:paraId="1065C56B" w14:textId="77777777" w:rsidR="00082FED" w:rsidRDefault="00E061C6" w:rsidP="00082FED">
      <w:pPr>
        <w:pStyle w:val="Paragraphedeliste"/>
        <w:numPr>
          <w:ilvl w:val="0"/>
          <w:numId w:val="21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méthodes de sélection ;</w:t>
      </w:r>
    </w:p>
    <w:p w14:paraId="7B06D698" w14:textId="77777777" w:rsidR="00932930" w:rsidRDefault="00082FED" w:rsidP="00082FED">
      <w:pPr>
        <w:pStyle w:val="Paragraphedeliste"/>
        <w:numPr>
          <w:ilvl w:val="0"/>
          <w:numId w:val="210"/>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Documents de Passation de marchés à utiliser </w:t>
      </w:r>
    </w:p>
    <w:p w14:paraId="353458D2" w14:textId="008FF9A9" w:rsidR="00082FED" w:rsidRPr="00833B69" w:rsidRDefault="00E07631" w:rsidP="00082FED">
      <w:pPr>
        <w:pStyle w:val="Paragraphedeliste"/>
        <w:numPr>
          <w:ilvl w:val="0"/>
          <w:numId w:val="210"/>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ab/>
      </w:r>
      <w:r w:rsidR="00FD5C04">
        <w:rPr>
          <w:rFonts w:ascii="Andes" w:eastAsiaTheme="minorHAnsi" w:hAnsi="Andes" w:cs="Arial"/>
          <w:color w:val="000000"/>
          <w:sz w:val="22"/>
          <w:szCs w:val="22"/>
        </w:rPr>
        <w:t>Critères d’évaluation, y compris leurs pondérations</w:t>
      </w:r>
      <w:r w:rsidR="00082FED">
        <w:rPr>
          <w:rFonts w:ascii="Andes" w:eastAsiaTheme="minorHAnsi" w:hAnsi="Andes" w:cs="Arial"/>
          <w:color w:val="000000"/>
          <w:sz w:val="22"/>
          <w:szCs w:val="22"/>
        </w:rPr>
        <w:t>; et</w:t>
      </w:r>
    </w:p>
    <w:p w14:paraId="7B23753F" w14:textId="13EEE616" w:rsidR="00E061C6" w:rsidRPr="00833B69" w:rsidRDefault="00E07631" w:rsidP="00E061C6">
      <w:pPr>
        <w:pStyle w:val="Paragraphedeliste"/>
        <w:numPr>
          <w:ilvl w:val="0"/>
          <w:numId w:val="210"/>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ab/>
      </w:r>
      <w:r w:rsidR="00E061C6" w:rsidRPr="00833B69">
        <w:rPr>
          <w:rFonts w:ascii="Andes" w:eastAsiaTheme="minorHAnsi" w:hAnsi="Andes" w:cs="Arial"/>
          <w:color w:val="000000"/>
          <w:sz w:val="22"/>
          <w:szCs w:val="22"/>
        </w:rPr>
        <w:t>stratégie de passation des contrats (groupement, type de contrats)</w:t>
      </w:r>
    </w:p>
    <w:p w14:paraId="1A55E954" w14:textId="72927587" w:rsidR="00E061C6" w:rsidRDefault="00E061C6" w:rsidP="00E061C6">
      <w:pPr>
        <w:pStyle w:val="Paragraphedeliste"/>
        <w:numPr>
          <w:ilvl w:val="1"/>
          <w:numId w:val="276"/>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Le Plan de Passation des Marchés </w:t>
      </w:r>
      <w:r w:rsidR="00D545BF">
        <w:rPr>
          <w:rFonts w:ascii="Andes" w:hAnsi="Andes" w:cs="Arial"/>
          <w:sz w:val="22"/>
          <w:szCs w:val="22"/>
        </w:rPr>
        <w:t xml:space="preserve">doit </w:t>
      </w:r>
      <w:r w:rsidRPr="00833B69">
        <w:rPr>
          <w:rFonts w:ascii="Andes" w:hAnsi="Andes" w:cs="Arial"/>
          <w:sz w:val="22"/>
          <w:szCs w:val="22"/>
        </w:rPr>
        <w:t>comprend</w:t>
      </w:r>
      <w:r w:rsidR="00D545BF">
        <w:rPr>
          <w:rFonts w:ascii="Andes" w:hAnsi="Andes" w:cs="Arial"/>
          <w:sz w:val="22"/>
          <w:szCs w:val="22"/>
        </w:rPr>
        <w:t>re</w:t>
      </w:r>
      <w:r w:rsidRPr="00833B69">
        <w:rPr>
          <w:rFonts w:ascii="Andes" w:hAnsi="Andes" w:cs="Arial"/>
          <w:sz w:val="22"/>
          <w:szCs w:val="22"/>
        </w:rPr>
        <w:t xml:space="preserve"> un résumé des modalités de passation des marchés pour chacun des contrats du projet. </w:t>
      </w:r>
    </w:p>
    <w:p w14:paraId="74596CFC" w14:textId="5B755B96" w:rsidR="00082FED" w:rsidRPr="00833B69" w:rsidRDefault="00082FED" w:rsidP="00E061C6">
      <w:pPr>
        <w:pStyle w:val="Paragraphedeliste"/>
        <w:numPr>
          <w:ilvl w:val="1"/>
          <w:numId w:val="276"/>
        </w:numPr>
        <w:spacing w:before="0" w:line="240" w:lineRule="auto"/>
        <w:ind w:left="630" w:hanging="630"/>
        <w:contextualSpacing w:val="0"/>
        <w:rPr>
          <w:rFonts w:ascii="Andes" w:hAnsi="Andes" w:cs="Arial"/>
          <w:sz w:val="22"/>
          <w:szCs w:val="22"/>
        </w:rPr>
      </w:pPr>
      <w:r>
        <w:rPr>
          <w:rFonts w:ascii="Andes" w:hAnsi="Andes" w:cs="Arial"/>
          <w:sz w:val="22"/>
          <w:szCs w:val="22"/>
        </w:rPr>
        <w:t>Pour la passation des marchés de Travaux</w:t>
      </w:r>
      <w:r w:rsidR="00DC4D8B">
        <w:rPr>
          <w:rFonts w:ascii="Andes" w:hAnsi="Andes" w:cs="Arial"/>
          <w:sz w:val="22"/>
          <w:szCs w:val="22"/>
        </w:rPr>
        <w:t xml:space="preserve"> dans le cadre de projets évalués à hauts risques </w:t>
      </w:r>
      <w:r w:rsidR="00576154">
        <w:rPr>
          <w:rFonts w:ascii="Andes" w:hAnsi="Andes" w:cs="Arial"/>
          <w:sz w:val="22"/>
          <w:szCs w:val="22"/>
        </w:rPr>
        <w:t xml:space="preserve">EAS/HS, le Plan de Passation de marchés doit aussi détailler l’usage de DTPM applicable pour les grands Travaux. </w:t>
      </w:r>
    </w:p>
    <w:p w14:paraId="6CE4F43C" w14:textId="77777777" w:rsidR="00E061C6" w:rsidRPr="00833B69" w:rsidRDefault="00E061C6" w:rsidP="00E061C6">
      <w:pPr>
        <w:pStyle w:val="Paragraphedeliste"/>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Gestion des marchés et contrats</w:t>
      </w:r>
    </w:p>
    <w:p w14:paraId="267A8EE5" w14:textId="5C3DD6F7" w:rsidR="00E061C6" w:rsidRPr="00833B69" w:rsidRDefault="00E061C6" w:rsidP="00E061C6">
      <w:pPr>
        <w:pStyle w:val="Paragraphedeliste"/>
        <w:numPr>
          <w:ilvl w:val="1"/>
          <w:numId w:val="276"/>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La </w:t>
      </w:r>
      <w:r w:rsidR="006634EF">
        <w:rPr>
          <w:rFonts w:ascii="Andes" w:hAnsi="Andes" w:cs="Arial"/>
          <w:sz w:val="22"/>
          <w:szCs w:val="22"/>
        </w:rPr>
        <w:t>SPMPD</w:t>
      </w:r>
      <w:r w:rsidR="00083524">
        <w:rPr>
          <w:rFonts w:ascii="Andes" w:hAnsi="Andes" w:cs="Arial"/>
          <w:sz w:val="22"/>
          <w:szCs w:val="22"/>
        </w:rPr>
        <w:t xml:space="preserve"> doit</w:t>
      </w:r>
      <w:r w:rsidRPr="00833B69">
        <w:rPr>
          <w:rFonts w:ascii="Andes" w:hAnsi="Andes" w:cs="Arial"/>
          <w:sz w:val="22"/>
          <w:szCs w:val="22"/>
        </w:rPr>
        <w:t xml:space="preserve"> identifie</w:t>
      </w:r>
      <w:r w:rsidR="00083524">
        <w:rPr>
          <w:rFonts w:ascii="Andes" w:hAnsi="Andes" w:cs="Arial"/>
          <w:sz w:val="22"/>
          <w:szCs w:val="22"/>
        </w:rPr>
        <w:t>r</w:t>
      </w:r>
      <w:r w:rsidRPr="00833B69">
        <w:rPr>
          <w:rFonts w:ascii="Andes" w:hAnsi="Andes" w:cs="Arial"/>
          <w:sz w:val="22"/>
          <w:szCs w:val="22"/>
        </w:rPr>
        <w:t xml:space="preserve"> les contrats qui nécessite</w:t>
      </w:r>
      <w:r>
        <w:rPr>
          <w:rFonts w:ascii="Andes" w:hAnsi="Andes" w:cs="Arial"/>
          <w:sz w:val="22"/>
          <w:szCs w:val="22"/>
        </w:rPr>
        <w:t>nt</w:t>
      </w:r>
      <w:r w:rsidRPr="00833B69">
        <w:rPr>
          <w:rFonts w:ascii="Andes" w:hAnsi="Andes" w:cs="Arial"/>
          <w:sz w:val="22"/>
          <w:szCs w:val="22"/>
        </w:rPr>
        <w:t xml:space="preserve"> un Plan de gestion. Le détail des exigences relatives à ce plan est donné à l’Annexe XI, Gestion </w:t>
      </w:r>
      <w:r w:rsidR="00544FC3">
        <w:rPr>
          <w:rFonts w:ascii="Andes" w:hAnsi="Andes" w:cs="Arial"/>
          <w:sz w:val="22"/>
          <w:szCs w:val="22"/>
        </w:rPr>
        <w:t>des</w:t>
      </w:r>
      <w:r w:rsidRPr="00833B69">
        <w:rPr>
          <w:rFonts w:ascii="Andes" w:hAnsi="Andes" w:cs="Arial"/>
          <w:sz w:val="22"/>
          <w:szCs w:val="22"/>
        </w:rPr>
        <w:t xml:space="preserve"> marché</w:t>
      </w:r>
      <w:r w:rsidR="00544FC3">
        <w:rPr>
          <w:rFonts w:ascii="Andes" w:hAnsi="Andes" w:cs="Arial"/>
          <w:sz w:val="22"/>
          <w:szCs w:val="22"/>
        </w:rPr>
        <w:t>s</w:t>
      </w:r>
      <w:r w:rsidRPr="00833B69">
        <w:rPr>
          <w:rFonts w:ascii="Andes" w:hAnsi="Andes" w:cs="Arial"/>
          <w:sz w:val="22"/>
          <w:szCs w:val="22"/>
        </w:rPr>
        <w:t xml:space="preserve"> </w:t>
      </w:r>
      <w:r w:rsidR="00544FC3">
        <w:rPr>
          <w:rFonts w:ascii="Andes" w:hAnsi="Andes" w:cs="Arial"/>
          <w:sz w:val="22"/>
          <w:szCs w:val="22"/>
        </w:rPr>
        <w:t>et</w:t>
      </w:r>
      <w:r w:rsidRPr="00833B69">
        <w:rPr>
          <w:rFonts w:ascii="Andes" w:hAnsi="Andes" w:cs="Arial"/>
          <w:sz w:val="22"/>
          <w:szCs w:val="22"/>
        </w:rPr>
        <w:t xml:space="preserve"> contrat</w:t>
      </w:r>
      <w:r w:rsidR="00544FC3">
        <w:rPr>
          <w:rFonts w:ascii="Andes" w:hAnsi="Andes" w:cs="Arial"/>
          <w:sz w:val="22"/>
          <w:szCs w:val="22"/>
        </w:rPr>
        <w:t>s</w:t>
      </w:r>
      <w:r>
        <w:rPr>
          <w:rFonts w:ascii="Andes" w:hAnsi="Andes" w:cs="Arial"/>
          <w:sz w:val="22"/>
          <w:szCs w:val="22"/>
        </w:rPr>
        <w:t>.</w:t>
      </w:r>
    </w:p>
    <w:p w14:paraId="54AC8752" w14:textId="77777777" w:rsidR="008A510A" w:rsidRDefault="008A510A" w:rsidP="00A5557C">
      <w:pPr>
        <w:spacing w:before="0" w:after="0" w:line="240" w:lineRule="auto"/>
        <w:contextualSpacing w:val="0"/>
        <w:jc w:val="left"/>
        <w:rPr>
          <w:rFonts w:ascii="Andes" w:hAnsi="Andes" w:cs="Arial"/>
          <w:szCs w:val="22"/>
        </w:rPr>
      </w:pPr>
    </w:p>
    <w:p w14:paraId="41E67025" w14:textId="3F5F0C55" w:rsidR="002D1F73" w:rsidRPr="00E07631" w:rsidRDefault="007F1123" w:rsidP="00882278">
      <w:pPr>
        <w:pStyle w:val="Paragraphedeliste"/>
        <w:tabs>
          <w:tab w:val="left" w:pos="795"/>
        </w:tabs>
        <w:spacing w:before="0" w:line="240" w:lineRule="auto"/>
        <w:ind w:left="630"/>
        <w:contextualSpacing w:val="0"/>
        <w:rPr>
          <w:rFonts w:ascii="Andes" w:hAnsi="Andes" w:cs="Arial"/>
          <w:szCs w:val="22"/>
        </w:rPr>
        <w:sectPr w:rsidR="002D1F73" w:rsidRPr="00E07631" w:rsidSect="000B5EC0">
          <w:headerReference w:type="default" r:id="rId31"/>
          <w:pgSz w:w="12240" w:h="15840"/>
          <w:pgMar w:top="1872" w:right="1440" w:bottom="1440" w:left="1411" w:header="720" w:footer="720" w:gutter="0"/>
          <w:cols w:space="720"/>
          <w:docGrid w:linePitch="360"/>
        </w:sectPr>
      </w:pPr>
      <w:r w:rsidRPr="00E07631">
        <w:rPr>
          <w:rFonts w:ascii="Andes" w:hAnsi="Andes" w:cs="Arial"/>
          <w:sz w:val="22"/>
          <w:szCs w:val="22"/>
        </w:rPr>
        <w:tab/>
      </w:r>
      <w:r w:rsidR="00AC6D53" w:rsidRPr="00E07631">
        <w:rPr>
          <w:rFonts w:ascii="Andes" w:hAnsi="Andes" w:cs="Arial"/>
          <w:sz w:val="22"/>
          <w:szCs w:val="22"/>
        </w:rPr>
        <w:t>Chaque passation</w:t>
      </w:r>
      <w:r w:rsidR="00C32729" w:rsidRPr="00E07631">
        <w:rPr>
          <w:rFonts w:ascii="Andes" w:hAnsi="Andes" w:cs="Arial"/>
          <w:sz w:val="22"/>
          <w:szCs w:val="22"/>
        </w:rPr>
        <w:t xml:space="preserve"> des </w:t>
      </w:r>
      <w:r w:rsidR="00733048" w:rsidRPr="00E07631">
        <w:rPr>
          <w:rFonts w:ascii="Andes" w:hAnsi="Andes" w:cs="Arial"/>
          <w:sz w:val="22"/>
          <w:szCs w:val="22"/>
        </w:rPr>
        <w:t>marchés de</w:t>
      </w:r>
      <w:r w:rsidR="00C32729" w:rsidRPr="00E07631">
        <w:rPr>
          <w:rFonts w:ascii="Andes" w:hAnsi="Andes" w:cs="Arial"/>
          <w:sz w:val="22"/>
          <w:szCs w:val="22"/>
        </w:rPr>
        <w:t xml:space="preserve"> </w:t>
      </w:r>
      <w:r w:rsidR="002B0568" w:rsidRPr="00E07631">
        <w:rPr>
          <w:rFonts w:ascii="Andes" w:hAnsi="Andes" w:cs="Arial"/>
          <w:sz w:val="22"/>
          <w:szCs w:val="22"/>
        </w:rPr>
        <w:t>T</w:t>
      </w:r>
      <w:r w:rsidR="00C32729" w:rsidRPr="00E07631">
        <w:rPr>
          <w:rFonts w:ascii="Andes" w:hAnsi="Andes" w:cs="Arial"/>
          <w:sz w:val="22"/>
          <w:szCs w:val="22"/>
        </w:rPr>
        <w:t>ravaux</w:t>
      </w:r>
      <w:r w:rsidR="00562F25" w:rsidRPr="00E07631">
        <w:rPr>
          <w:rFonts w:ascii="Andes" w:hAnsi="Andes" w:cs="Arial"/>
          <w:sz w:val="22"/>
          <w:szCs w:val="22"/>
        </w:rPr>
        <w:t>,</w:t>
      </w:r>
      <w:r w:rsidR="00C32729" w:rsidRPr="00E07631">
        <w:rPr>
          <w:rFonts w:ascii="Andes" w:hAnsi="Andes" w:cs="Arial"/>
          <w:sz w:val="22"/>
          <w:szCs w:val="22"/>
        </w:rPr>
        <w:t xml:space="preserve"> </w:t>
      </w:r>
      <w:r w:rsidR="00A5562B" w:rsidRPr="00E07631">
        <w:rPr>
          <w:rFonts w:ascii="Andes" w:hAnsi="Andes" w:cs="Arial"/>
          <w:sz w:val="22"/>
          <w:szCs w:val="22"/>
        </w:rPr>
        <w:t>dans</w:t>
      </w:r>
      <w:r w:rsidR="00AC6D53" w:rsidRPr="00E07631">
        <w:rPr>
          <w:rFonts w:ascii="Andes" w:hAnsi="Andes" w:cs="Arial"/>
          <w:sz w:val="22"/>
          <w:szCs w:val="22"/>
        </w:rPr>
        <w:t xml:space="preserve"> </w:t>
      </w:r>
      <w:r w:rsidR="00242408" w:rsidRPr="00E07631">
        <w:rPr>
          <w:rFonts w:ascii="Andes" w:hAnsi="Andes" w:cs="Arial"/>
          <w:sz w:val="22"/>
          <w:szCs w:val="22"/>
        </w:rPr>
        <w:t>le cadre de projets évalués à hauts risques EAS/HS</w:t>
      </w:r>
      <w:r w:rsidR="00562F25" w:rsidRPr="00E07631">
        <w:rPr>
          <w:rFonts w:ascii="Andes" w:hAnsi="Andes" w:cs="Arial"/>
          <w:sz w:val="22"/>
          <w:szCs w:val="22"/>
        </w:rPr>
        <w:t>, doi</w:t>
      </w:r>
      <w:r w:rsidR="0063430B" w:rsidRPr="00E07631">
        <w:rPr>
          <w:rFonts w:ascii="Andes" w:hAnsi="Andes" w:cs="Arial"/>
          <w:sz w:val="22"/>
          <w:szCs w:val="22"/>
        </w:rPr>
        <w:t>t</w:t>
      </w:r>
      <w:r w:rsidR="00562F25" w:rsidRPr="00E07631">
        <w:rPr>
          <w:rFonts w:ascii="Andes" w:hAnsi="Andes" w:cs="Arial"/>
          <w:sz w:val="22"/>
          <w:szCs w:val="22"/>
        </w:rPr>
        <w:t xml:space="preserve"> avoir </w:t>
      </w:r>
      <w:r w:rsidR="00D90FC6" w:rsidRPr="00E07631">
        <w:rPr>
          <w:rFonts w:ascii="Andes" w:hAnsi="Andes" w:cs="Arial"/>
          <w:sz w:val="22"/>
          <w:szCs w:val="22"/>
        </w:rPr>
        <w:t xml:space="preserve">un Plan de Gestion des Marchés </w:t>
      </w:r>
      <w:r w:rsidR="00511E58" w:rsidRPr="00E07631">
        <w:rPr>
          <w:rFonts w:ascii="Andes" w:hAnsi="Andes" w:cs="Arial"/>
          <w:sz w:val="22"/>
          <w:szCs w:val="22"/>
        </w:rPr>
        <w:t xml:space="preserve">comme </w:t>
      </w:r>
      <w:r w:rsidR="002144BD" w:rsidRPr="00E07631">
        <w:rPr>
          <w:rFonts w:ascii="Andes" w:hAnsi="Andes" w:cs="Arial"/>
          <w:sz w:val="22"/>
          <w:szCs w:val="22"/>
        </w:rPr>
        <w:t>détaillé</w:t>
      </w:r>
      <w:r w:rsidR="00511E58" w:rsidRPr="00E07631">
        <w:rPr>
          <w:rFonts w:ascii="Andes" w:hAnsi="Andes" w:cs="Arial"/>
          <w:sz w:val="22"/>
          <w:szCs w:val="22"/>
        </w:rPr>
        <w:t xml:space="preserve"> dans l’Annexe </w:t>
      </w:r>
      <w:r w:rsidR="002144BD" w:rsidRPr="00E07631">
        <w:rPr>
          <w:rFonts w:ascii="Andes" w:hAnsi="Andes" w:cs="Arial"/>
          <w:sz w:val="22"/>
          <w:szCs w:val="22"/>
        </w:rPr>
        <w:t>XI</w:t>
      </w:r>
      <w:r w:rsidR="00BE7066" w:rsidRPr="00E07631">
        <w:rPr>
          <w:rFonts w:ascii="Andes" w:hAnsi="Andes" w:cs="Arial"/>
          <w:sz w:val="22"/>
          <w:szCs w:val="22"/>
        </w:rPr>
        <w:t xml:space="preserve">, </w:t>
      </w:r>
      <w:r w:rsidR="0088197F" w:rsidRPr="00E07631">
        <w:rPr>
          <w:rFonts w:ascii="Andes" w:hAnsi="Andes" w:cs="Arial"/>
          <w:sz w:val="22"/>
          <w:szCs w:val="22"/>
        </w:rPr>
        <w:t>Gestion des Marchés</w:t>
      </w:r>
      <w:r w:rsidR="008F396F" w:rsidRPr="00E07631">
        <w:rPr>
          <w:rFonts w:ascii="Andes" w:hAnsi="Andes" w:cs="Arial"/>
          <w:sz w:val="22"/>
          <w:szCs w:val="22"/>
        </w:rPr>
        <w:t xml:space="preserve"> et Contrats</w:t>
      </w:r>
      <w:r w:rsidR="009B2D0A" w:rsidRPr="00E07631">
        <w:rPr>
          <w:rFonts w:ascii="Andes" w:hAnsi="Andes" w:cs="Arial"/>
          <w:sz w:val="22"/>
          <w:szCs w:val="22"/>
        </w:rPr>
        <w:t>.</w:t>
      </w:r>
      <w:r w:rsidR="002144BD" w:rsidRPr="00E07631">
        <w:rPr>
          <w:rFonts w:ascii="Andes" w:hAnsi="Andes" w:cs="Arial"/>
          <w:sz w:val="22"/>
          <w:szCs w:val="22"/>
        </w:rPr>
        <w:t xml:space="preserve"> </w:t>
      </w:r>
      <w:r w:rsidR="00D90FC6" w:rsidRPr="00E07631">
        <w:rPr>
          <w:rFonts w:ascii="Andes" w:hAnsi="Andes" w:cs="Arial"/>
          <w:sz w:val="22"/>
          <w:szCs w:val="22"/>
        </w:rPr>
        <w:t xml:space="preserve"> </w:t>
      </w:r>
      <w:r w:rsidR="003622DF" w:rsidRPr="00E07631">
        <w:rPr>
          <w:rFonts w:ascii="Andes" w:hAnsi="Andes" w:cs="Arial"/>
          <w:sz w:val="22"/>
          <w:szCs w:val="22"/>
        </w:rPr>
        <w:t xml:space="preserve"> </w:t>
      </w:r>
      <w:r w:rsidR="006B132B" w:rsidRPr="00E07631">
        <w:rPr>
          <w:rFonts w:ascii="Andes" w:hAnsi="Andes" w:cs="Arial"/>
          <w:sz w:val="22"/>
          <w:szCs w:val="22"/>
        </w:rPr>
        <w:t xml:space="preserve"> </w:t>
      </w:r>
      <w:r w:rsidR="00E061C6" w:rsidRPr="00E07631">
        <w:rPr>
          <w:rFonts w:ascii="Andes" w:hAnsi="Andes" w:cs="Arial"/>
          <w:szCs w:val="22"/>
        </w:rPr>
        <w:tab/>
      </w:r>
    </w:p>
    <w:p w14:paraId="4A983B2F" w14:textId="77777777" w:rsidR="00C811D2" w:rsidRPr="007656EB" w:rsidRDefault="004A283E" w:rsidP="000A5DC6">
      <w:pPr>
        <w:pStyle w:val="Titre1"/>
        <w:spacing w:before="0" w:after="0" w:line="240" w:lineRule="auto"/>
        <w:ind w:left="-90"/>
        <w:jc w:val="center"/>
        <w:rPr>
          <w:rFonts w:ascii="Andes" w:hAnsi="Andes" w:cs="Arial"/>
          <w:sz w:val="32"/>
          <w:szCs w:val="32"/>
          <w:lang w:val="en-US"/>
        </w:rPr>
      </w:pPr>
      <w:bookmarkStart w:id="3521" w:name="_Toc395523309"/>
      <w:bookmarkStart w:id="3522" w:name="_Toc387914638"/>
      <w:bookmarkStart w:id="3523" w:name="_Toc388957107"/>
      <w:bookmarkStart w:id="3524" w:name="_Toc389057164"/>
      <w:bookmarkStart w:id="3525" w:name="_Toc389473784"/>
      <w:bookmarkStart w:id="3526" w:name="_Toc389661619"/>
      <w:bookmarkStart w:id="3527" w:name="_Toc389662307"/>
      <w:bookmarkStart w:id="3528" w:name="_Toc391067802"/>
      <w:bookmarkStart w:id="3529" w:name="_Toc392590763"/>
      <w:bookmarkStart w:id="3530" w:name="5.0_Inputs"/>
      <w:bookmarkStart w:id="3531" w:name="6.0_Deliverables"/>
      <w:bookmarkStart w:id="3532" w:name="7.0_Roles_and_Responsibilities"/>
      <w:bookmarkStart w:id="3533" w:name="8.0_Templates_and_Forms"/>
      <w:bookmarkStart w:id="3534" w:name="9.0_Additional_Information"/>
      <w:bookmarkStart w:id="3535" w:name="10.0_Lessons"/>
      <w:bookmarkStart w:id="3536" w:name="11.0_On_The_Drawing_Board"/>
      <w:bookmarkStart w:id="3537" w:name="_Toc388957194"/>
      <w:bookmarkStart w:id="3538" w:name="_Toc389057251"/>
      <w:bookmarkStart w:id="3539" w:name="_Toc389473871"/>
      <w:bookmarkStart w:id="3540" w:name="_Toc389661706"/>
      <w:bookmarkStart w:id="3541" w:name="_Toc389662394"/>
      <w:bookmarkStart w:id="3542" w:name="_Toc391067923"/>
      <w:bookmarkStart w:id="3543" w:name="_Toc392590850"/>
      <w:bookmarkStart w:id="3544" w:name="_Toc453170981"/>
      <w:bookmarkStart w:id="3545" w:name="_Toc453544333"/>
      <w:bookmarkEnd w:id="3510"/>
      <w:bookmarkEnd w:id="3511"/>
      <w:bookmarkEnd w:id="3512"/>
      <w:bookmarkEnd w:id="3513"/>
      <w:bookmarkEnd w:id="3514"/>
      <w:bookmarkEnd w:id="3515"/>
      <w:bookmarkEnd w:id="3516"/>
      <w:bookmarkEnd w:id="3517"/>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r w:rsidRPr="004A283E">
        <w:rPr>
          <w:rFonts w:ascii="Andes" w:hAnsi="Andes" w:cs="Microsoft Sans Serif"/>
          <w:caps/>
          <w:noProof/>
          <w:color w:val="002060"/>
          <w:lang w:val="en-US"/>
        </w:rPr>
        <w:lastRenderedPageBreak/>
        <mc:AlternateContent>
          <mc:Choice Requires="wps">
            <w:drawing>
              <wp:anchor distT="0" distB="0" distL="114300" distR="114300" simplePos="0" relativeHeight="251660288" behindDoc="0" locked="0" layoutInCell="1" allowOverlap="1" wp14:anchorId="426349F6" wp14:editId="18C5A2B1">
                <wp:simplePos x="0" y="0"/>
                <wp:positionH relativeFrom="page">
                  <wp:posOffset>-635</wp:posOffset>
                </wp:positionH>
                <wp:positionV relativeFrom="paragraph">
                  <wp:posOffset>-1189726</wp:posOffset>
                </wp:positionV>
                <wp:extent cx="8151963" cy="1466491"/>
                <wp:effectExtent l="0" t="0" r="1905" b="635"/>
                <wp:wrapNone/>
                <wp:docPr id="24" name="Rectangle 24"/>
                <wp:cNvGraphicFramePr/>
                <a:graphic xmlns:a="http://schemas.openxmlformats.org/drawingml/2006/main">
                  <a:graphicData uri="http://schemas.microsoft.com/office/word/2010/wordprocessingShape">
                    <wps:wsp>
                      <wps:cNvSpPr/>
                      <wps:spPr>
                        <a:xfrm>
                          <a:off x="0" y="0"/>
                          <a:ext cx="8151963" cy="1466491"/>
                        </a:xfrm>
                        <a:prstGeom prst="rect">
                          <a:avLst/>
                        </a:prstGeom>
                        <a:solidFill>
                          <a:srgbClr val="C45911"/>
                        </a:solidFill>
                        <a:ln w="12700" cap="flat" cmpd="sng" algn="ctr">
                          <a:noFill/>
                          <a:prstDash val="solid"/>
                          <a:miter lim="800000"/>
                        </a:ln>
                        <a:effectLst/>
                      </wps:spPr>
                      <wps:txbx>
                        <w:txbxContent>
                          <w:p w14:paraId="647F0C44" w14:textId="36FF4E1C" w:rsidR="00A41794" w:rsidRPr="008F0584" w:rsidRDefault="00A41794" w:rsidP="006B7880">
                            <w:pPr>
                              <w:tabs>
                                <w:tab w:val="left" w:pos="3150"/>
                              </w:tabs>
                              <w:ind w:left="1260" w:right="1431"/>
                              <w:rPr>
                                <w:rFonts w:ascii="Andes" w:hAnsi="Andes"/>
                                <w:color w:val="FFFFFF" w:themeColor="background1"/>
                                <w:sz w:val="44"/>
                                <w:szCs w:val="44"/>
                              </w:rPr>
                            </w:pPr>
                            <w:r w:rsidRPr="008F0584">
                              <w:rPr>
                                <w:rFonts w:ascii="Andes" w:hAnsi="Andes"/>
                                <w:color w:val="FFFFFF" w:themeColor="background1"/>
                                <w:sz w:val="44"/>
                                <w:szCs w:val="44"/>
                              </w:rPr>
                              <w:t>A</w:t>
                            </w:r>
                            <w:r>
                              <w:rPr>
                                <w:rFonts w:ascii="Andes" w:hAnsi="Andes"/>
                                <w:color w:val="FFFFFF" w:themeColor="background1"/>
                                <w:sz w:val="44"/>
                                <w:szCs w:val="44"/>
                              </w:rPr>
                              <w:t xml:space="preserve">nnexe VI.  </w:t>
                            </w:r>
                            <w:r w:rsidRPr="008F0584">
                              <w:rPr>
                                <w:rFonts w:ascii="Andes" w:hAnsi="Andes"/>
                                <w:color w:val="FFFFFF" w:themeColor="background1"/>
                                <w:sz w:val="44"/>
                                <w:szCs w:val="44"/>
                              </w:rPr>
                              <w:tab/>
                            </w:r>
                            <w:r>
                              <w:rPr>
                                <w:rFonts w:ascii="Andes" w:hAnsi="Andes"/>
                                <w:color w:val="FFFFFF" w:themeColor="background1"/>
                                <w:sz w:val="44"/>
                                <w:szCs w:val="44"/>
                              </w:rPr>
                              <w:t>Préférence nationale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349F6" id="Rectangle 24" o:spid="_x0000_s1042" style="position:absolute;left:0;text-align:left;margin-left:-.05pt;margin-top:-93.7pt;width:641.9pt;height:115.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" fillcolor="#c45911" stroked="f" strokeweight="1pt">
                <v:textbox>
                  <w:txbxContent>
                    <w:p w14:paraId="647F0C44" w14:textId="36FF4E1C" w:rsidR="00A41794" w:rsidRPr="008F0584" w:rsidRDefault="00A41794" w:rsidP="006B7880">
                      <w:pPr>
                        <w:tabs>
                          <w:tab w:val="left" w:pos="3150"/>
                        </w:tabs>
                        <w:ind w:left="1260" w:right="1431"/>
                        <w:rPr>
                          <w:rFonts w:ascii="Andes" w:hAnsi="Andes"/>
                          <w:color w:val="FFFFFF" w:themeColor="background1"/>
                          <w:sz w:val="44"/>
                          <w:szCs w:val="44"/>
                        </w:rPr>
                      </w:pPr>
                      <w:r w:rsidRPr="008F0584">
                        <w:rPr>
                          <w:rFonts w:ascii="Andes" w:hAnsi="Andes"/>
                          <w:color w:val="FFFFFF" w:themeColor="background1"/>
                          <w:sz w:val="44"/>
                          <w:szCs w:val="44"/>
                        </w:rPr>
                        <w:t>A</w:t>
                      </w:r>
                      <w:r>
                        <w:rPr>
                          <w:rFonts w:ascii="Andes" w:hAnsi="Andes"/>
                          <w:color w:val="FFFFFF" w:themeColor="background1"/>
                          <w:sz w:val="44"/>
                          <w:szCs w:val="44"/>
                        </w:rPr>
                        <w:t xml:space="preserve">nnexe VI.  </w:t>
                      </w:r>
                      <w:r w:rsidRPr="008F0584">
                        <w:rPr>
                          <w:rFonts w:ascii="Andes" w:hAnsi="Andes"/>
                          <w:color w:val="FFFFFF" w:themeColor="background1"/>
                          <w:sz w:val="44"/>
                          <w:szCs w:val="44"/>
                        </w:rPr>
                        <w:tab/>
                      </w:r>
                      <w:r>
                        <w:rPr>
                          <w:rFonts w:ascii="Andes" w:hAnsi="Andes"/>
                          <w:color w:val="FFFFFF" w:themeColor="background1"/>
                          <w:sz w:val="44"/>
                          <w:szCs w:val="44"/>
                        </w:rPr>
                        <w:t>Préférence nationale</w:t>
                      </w:r>
                    </w:p>
                  </w:txbxContent>
                </v:textbox>
                <w10:wrap anchorx="page"/>
              </v:rect>
            </w:pict>
          </mc:Fallback>
        </mc:AlternateContent>
      </w:r>
      <w:r w:rsidR="00C811D2" w:rsidRPr="007656EB">
        <w:rPr>
          <w:rFonts w:ascii="Andes" w:hAnsi="Andes" w:cs="Arial"/>
          <w:sz w:val="32"/>
          <w:szCs w:val="32"/>
          <w:lang w:val="en-US"/>
        </w:rPr>
        <w:t>Annex VI</w:t>
      </w:r>
      <w:bookmarkEnd w:id="3537"/>
      <w:bookmarkEnd w:id="3538"/>
      <w:bookmarkEnd w:id="3539"/>
      <w:bookmarkEnd w:id="3540"/>
      <w:bookmarkEnd w:id="3541"/>
      <w:bookmarkEnd w:id="3542"/>
      <w:bookmarkEnd w:id="3543"/>
      <w:r w:rsidR="00687669">
        <w:rPr>
          <w:rFonts w:ascii="Andes" w:hAnsi="Andes" w:cs="Arial"/>
          <w:sz w:val="32"/>
          <w:szCs w:val="32"/>
          <w:lang w:val="en-US"/>
        </w:rPr>
        <w:t xml:space="preserve">.  </w:t>
      </w:r>
      <w:r w:rsidR="00277185" w:rsidRPr="007656EB">
        <w:rPr>
          <w:rFonts w:ascii="Andes" w:hAnsi="Andes" w:cs="Arial"/>
          <w:sz w:val="32"/>
          <w:szCs w:val="32"/>
          <w:lang w:val="en-US"/>
        </w:rPr>
        <w:t>Domestic P</w:t>
      </w:r>
      <w:r w:rsidR="00C811D2" w:rsidRPr="007656EB">
        <w:rPr>
          <w:rFonts w:ascii="Andes" w:hAnsi="Andes" w:cs="Arial"/>
          <w:sz w:val="32"/>
          <w:szCs w:val="32"/>
          <w:lang w:val="en-US"/>
        </w:rPr>
        <w:t>reference</w:t>
      </w:r>
      <w:bookmarkEnd w:id="3544"/>
      <w:bookmarkEnd w:id="3545"/>
    </w:p>
    <w:p w14:paraId="3FCAD1C8" w14:textId="77777777" w:rsidR="00CD3D7C" w:rsidRPr="00833B69" w:rsidRDefault="00CD3D7C" w:rsidP="00CD3D7C">
      <w:pPr>
        <w:pStyle w:val="Paragraphedeliste"/>
        <w:numPr>
          <w:ilvl w:val="0"/>
          <w:numId w:val="128"/>
        </w:numPr>
        <w:spacing w:before="36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 xml:space="preserve">Objet </w:t>
      </w:r>
    </w:p>
    <w:p w14:paraId="62DEB29B" w14:textId="7D03BF12" w:rsidR="00CD3D7C" w:rsidRPr="00833B69" w:rsidRDefault="00CD3D7C" w:rsidP="00CD3D7C">
      <w:pPr>
        <w:pStyle w:val="Paragraphedeliste"/>
        <w:numPr>
          <w:ilvl w:val="0"/>
          <w:numId w:val="85"/>
        </w:numPr>
        <w:spacing w:before="0" w:line="240" w:lineRule="auto"/>
        <w:ind w:left="634"/>
        <w:contextualSpacing w:val="0"/>
        <w:rPr>
          <w:rFonts w:ascii="Andes" w:hAnsi="Andes" w:cs="Arial"/>
          <w:sz w:val="22"/>
          <w:szCs w:val="22"/>
        </w:rPr>
      </w:pPr>
      <w:r w:rsidRPr="00833B69">
        <w:rPr>
          <w:rFonts w:ascii="Andes" w:hAnsi="Andes" w:cs="Arial"/>
          <w:sz w:val="22"/>
          <w:szCs w:val="22"/>
        </w:rPr>
        <w:t>La présente Annexe définit les procédures d’évaluation en cas d’application de la préférence nationale pour les Travaux et les Fournitures fabriquées dans le pays faisant l’objet d’une offre dans le cadre d’un processus concurrentiel international ouvert de passation de marchés. Elle ne porte pas sur</w:t>
      </w:r>
      <w:r>
        <w:rPr>
          <w:rFonts w:ascii="Andes" w:hAnsi="Andes" w:cs="Arial"/>
          <w:sz w:val="22"/>
          <w:szCs w:val="22"/>
        </w:rPr>
        <w:t xml:space="preserve"> les marchés faisant appel à la concurrence nationale</w:t>
      </w:r>
      <w:r w:rsidRPr="00833B69">
        <w:rPr>
          <w:rFonts w:ascii="Andes" w:hAnsi="Andes" w:cs="Arial"/>
          <w:sz w:val="22"/>
          <w:szCs w:val="22"/>
        </w:rPr>
        <w:t xml:space="preserve">. La préférence nationale pour les Fournitures ne s’applique pas aux </w:t>
      </w:r>
      <w:r w:rsidR="00D17A48">
        <w:rPr>
          <w:rFonts w:ascii="Andes" w:hAnsi="Andes" w:cs="Arial"/>
          <w:sz w:val="22"/>
          <w:szCs w:val="22"/>
        </w:rPr>
        <w:t>Installations</w:t>
      </w:r>
      <w:r w:rsidRPr="00833B69">
        <w:rPr>
          <w:rFonts w:ascii="Andes" w:hAnsi="Andes" w:cs="Arial"/>
          <w:sz w:val="22"/>
          <w:szCs w:val="22"/>
        </w:rPr>
        <w:t xml:space="preserve">. </w:t>
      </w:r>
    </w:p>
    <w:p w14:paraId="1476D30E" w14:textId="77777777" w:rsidR="00CD3D7C" w:rsidRPr="00833B69" w:rsidRDefault="00CD3D7C" w:rsidP="00CD3D7C">
      <w:pPr>
        <w:pStyle w:val="Paragraphedeliste"/>
        <w:numPr>
          <w:ilvl w:val="0"/>
          <w:numId w:val="128"/>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Prescriptions</w:t>
      </w:r>
    </w:p>
    <w:p w14:paraId="2D8B8565" w14:textId="77777777" w:rsidR="00CD3D7C" w:rsidRPr="00833B69" w:rsidRDefault="00CD3D7C" w:rsidP="00CD3D7C">
      <w:pPr>
        <w:pStyle w:val="Paragraphedeliste"/>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 xml:space="preserve">Préférence nationale appliquée aux Fournitures </w:t>
      </w:r>
    </w:p>
    <w:p w14:paraId="5C894E34" w14:textId="4D5127AF" w:rsidR="00CD3D7C" w:rsidRPr="00833B69" w:rsidRDefault="00CD3D7C" w:rsidP="00CD3D7C">
      <w:pPr>
        <w:pStyle w:val="Paragraphedeliste"/>
        <w:numPr>
          <w:ilvl w:val="1"/>
          <w:numId w:val="128"/>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Avec l’assentiment de la Banque, l’Emprunteur peut, au moment de l’évaluation des offres ou propositions dans le cadre d’un processus concurrentiel international ouvert de passation de marchés, accorder une marge de préférence aux </w:t>
      </w:r>
      <w:r w:rsidR="00A54925">
        <w:rPr>
          <w:rFonts w:ascii="Andes" w:hAnsi="Andes" w:cs="Arial"/>
          <w:sz w:val="22"/>
          <w:szCs w:val="22"/>
        </w:rPr>
        <w:t>O</w:t>
      </w:r>
      <w:r w:rsidRPr="00833B69">
        <w:rPr>
          <w:rFonts w:ascii="Andes" w:hAnsi="Andes" w:cs="Arial"/>
          <w:sz w:val="22"/>
          <w:szCs w:val="22"/>
        </w:rPr>
        <w:t xml:space="preserve">ffres ou </w:t>
      </w:r>
      <w:r w:rsidR="00A54925">
        <w:rPr>
          <w:rFonts w:ascii="Andes" w:hAnsi="Andes" w:cs="Arial"/>
          <w:sz w:val="22"/>
          <w:szCs w:val="22"/>
        </w:rPr>
        <w:t>P</w:t>
      </w:r>
      <w:r w:rsidRPr="00833B69">
        <w:rPr>
          <w:rFonts w:ascii="Andes" w:hAnsi="Andes" w:cs="Arial"/>
          <w:sz w:val="22"/>
          <w:szCs w:val="22"/>
        </w:rPr>
        <w:t>ropositions relatives à certaines Fournitures fabriquées dans le pays de l’Emprunteur, par rapport aux offres ou propositions relatives à des Fournitures fabriquées ailleurs. Dans ce cas, le dossier d’</w:t>
      </w:r>
      <w:r w:rsidR="00F438B7">
        <w:rPr>
          <w:rFonts w:ascii="Andes" w:hAnsi="Andes" w:cs="Arial"/>
          <w:sz w:val="22"/>
          <w:szCs w:val="22"/>
        </w:rPr>
        <w:t>A</w:t>
      </w:r>
      <w:r w:rsidRPr="00833B69">
        <w:rPr>
          <w:rFonts w:ascii="Andes" w:hAnsi="Andes" w:cs="Arial"/>
          <w:sz w:val="22"/>
          <w:szCs w:val="22"/>
        </w:rPr>
        <w:t>ppel d’</w:t>
      </w:r>
      <w:r w:rsidR="00F438B7">
        <w:rPr>
          <w:rFonts w:ascii="Andes" w:hAnsi="Andes" w:cs="Arial"/>
          <w:sz w:val="22"/>
          <w:szCs w:val="22"/>
        </w:rPr>
        <w:t>O</w:t>
      </w:r>
      <w:r w:rsidRPr="00833B69">
        <w:rPr>
          <w:rFonts w:ascii="Andes" w:hAnsi="Andes" w:cs="Arial"/>
          <w:sz w:val="22"/>
          <w:szCs w:val="22"/>
        </w:rPr>
        <w:t>ffres ou d’</w:t>
      </w:r>
      <w:r w:rsidR="00F438B7">
        <w:rPr>
          <w:rFonts w:ascii="Andes" w:hAnsi="Andes" w:cs="Arial"/>
          <w:sz w:val="22"/>
          <w:szCs w:val="22"/>
        </w:rPr>
        <w:t>A</w:t>
      </w:r>
      <w:r w:rsidRPr="00833B69">
        <w:rPr>
          <w:rFonts w:ascii="Andes" w:hAnsi="Andes" w:cs="Arial"/>
          <w:sz w:val="22"/>
          <w:szCs w:val="22"/>
        </w:rPr>
        <w:t xml:space="preserve">ppel à </w:t>
      </w:r>
      <w:r w:rsidR="00F438B7">
        <w:rPr>
          <w:rFonts w:ascii="Andes" w:hAnsi="Andes" w:cs="Arial"/>
          <w:sz w:val="22"/>
          <w:szCs w:val="22"/>
        </w:rPr>
        <w:t>P</w:t>
      </w:r>
      <w:r w:rsidRPr="00833B69">
        <w:rPr>
          <w:rFonts w:ascii="Andes" w:hAnsi="Andes" w:cs="Arial"/>
          <w:sz w:val="22"/>
          <w:szCs w:val="22"/>
        </w:rPr>
        <w:t xml:space="preserve">ropositions indique clairement la préférence accordée aux Fournitures fabriquées dans le pays et précise les informations à produire pour établir l’admissibilité d’une offre ou proposition à cette préférence. La nationalité du fabricant ou du soumissionnaire ne saurait être un critère d’admissibilité à cette préférence. Les méthodes et les étapes décrites dans le présent document seront respectées pour l’évaluation et la comparaison des offres et propositions. </w:t>
      </w:r>
    </w:p>
    <w:p w14:paraId="1A8A0AEB" w14:textId="77777777" w:rsidR="00CD3D7C" w:rsidRPr="00833B69" w:rsidRDefault="00CD3D7C" w:rsidP="00CD3D7C">
      <w:pPr>
        <w:pStyle w:val="Paragraphedeliste"/>
        <w:numPr>
          <w:ilvl w:val="1"/>
          <w:numId w:val="128"/>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À des fins de comparaison, les offres ou propositions conformes sont réparties entre les trois groupes suivants : </w:t>
      </w:r>
    </w:p>
    <w:p w14:paraId="3CD18DAC" w14:textId="740922AD" w:rsidR="00CD3D7C" w:rsidRPr="00833B69" w:rsidRDefault="00CD3D7C" w:rsidP="00CD3D7C">
      <w:pPr>
        <w:pStyle w:val="Paragraphedeliste"/>
        <w:numPr>
          <w:ilvl w:val="0"/>
          <w:numId w:val="211"/>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u w:val="single"/>
        </w:rPr>
        <w:t>Groupe A</w:t>
      </w:r>
      <w:r w:rsidRPr="00833B69">
        <w:rPr>
          <w:rFonts w:ascii="Andes" w:eastAsiaTheme="minorHAnsi" w:hAnsi="Andes" w:cs="Arial"/>
          <w:color w:val="000000"/>
          <w:sz w:val="22"/>
          <w:szCs w:val="22"/>
        </w:rPr>
        <w:t> : les offres et propositions portant exclusivement sur une offre de Fournitures fabriquées dans le pays de l’Emprunteur, à condition que le Soumissionnaire ou le Proposant prouve d’une manière jugée satisfaisante par la Banque</w:t>
      </w:r>
      <w:r w:rsidR="008963B7">
        <w:rPr>
          <w:rFonts w:ascii="Andes" w:eastAsiaTheme="minorHAnsi" w:hAnsi="Andes" w:cs="Arial"/>
          <w:color w:val="000000"/>
          <w:sz w:val="22"/>
          <w:szCs w:val="22"/>
        </w:rPr>
        <w:t xml:space="preserve"> que :</w:t>
      </w:r>
    </w:p>
    <w:p w14:paraId="4E34D115" w14:textId="3D6C538B" w:rsidR="00CD3D7C" w:rsidRPr="00833B69" w:rsidRDefault="00CD3D7C" w:rsidP="00CD3D7C">
      <w:pPr>
        <w:pStyle w:val="Paragraphedeliste"/>
        <w:numPr>
          <w:ilvl w:val="0"/>
          <w:numId w:val="213"/>
        </w:numPr>
        <w:tabs>
          <w:tab w:val="left" w:pos="720"/>
        </w:tabs>
        <w:spacing w:before="0" w:line="240" w:lineRule="auto"/>
        <w:contextualSpacing w:val="0"/>
        <w:rPr>
          <w:rFonts w:ascii="Andes" w:hAnsi="Andes" w:cs="Arial"/>
          <w:sz w:val="22"/>
          <w:szCs w:val="22"/>
        </w:rPr>
      </w:pPr>
      <w:r>
        <w:rPr>
          <w:rFonts w:ascii="Andes" w:hAnsi="Andes" w:cs="Arial"/>
          <w:sz w:val="22"/>
          <w:szCs w:val="22"/>
        </w:rPr>
        <w:t>la main-</w:t>
      </w:r>
      <w:r w:rsidRPr="00833B69">
        <w:rPr>
          <w:rFonts w:ascii="Andes" w:hAnsi="Andes" w:cs="Arial"/>
          <w:sz w:val="22"/>
          <w:szCs w:val="22"/>
        </w:rPr>
        <w:t xml:space="preserve">d’œuvre, les matières premières et les composants, y compris le transport sur le sol national et l’assurance, provenant du pays de l’Emprunteur représentent au moins 30 % (trente pour cent) du prix départ usine (EXW) du produit proposé ; et </w:t>
      </w:r>
    </w:p>
    <w:p w14:paraId="5B45E50C" w14:textId="7FCDD5B5" w:rsidR="00CD3D7C" w:rsidRPr="00833B69" w:rsidRDefault="00CD3D7C" w:rsidP="00CD3D7C">
      <w:pPr>
        <w:pStyle w:val="Paragraphedeliste"/>
        <w:numPr>
          <w:ilvl w:val="0"/>
          <w:numId w:val="213"/>
        </w:numPr>
        <w:tabs>
          <w:tab w:val="left" w:pos="720"/>
        </w:tabs>
        <w:spacing w:before="0" w:line="240" w:lineRule="auto"/>
        <w:contextualSpacing w:val="0"/>
        <w:rPr>
          <w:rFonts w:ascii="Andes" w:hAnsi="Andes" w:cs="Arial"/>
          <w:sz w:val="22"/>
          <w:szCs w:val="22"/>
        </w:rPr>
      </w:pPr>
      <w:r w:rsidRPr="00833B69">
        <w:rPr>
          <w:rFonts w:ascii="Andes" w:hAnsi="Andes" w:cs="Arial"/>
          <w:sz w:val="22"/>
          <w:szCs w:val="22"/>
        </w:rPr>
        <w:t>le site de production</w:t>
      </w:r>
      <w:r w:rsidR="00D17A48">
        <w:rPr>
          <w:rFonts w:ascii="Andes" w:hAnsi="Andes" w:cs="Arial"/>
          <w:sz w:val="22"/>
          <w:szCs w:val="22"/>
        </w:rPr>
        <w:t>,</w:t>
      </w:r>
      <w:r w:rsidRPr="00833B69">
        <w:rPr>
          <w:rFonts w:ascii="Andes" w:hAnsi="Andes" w:cs="Arial"/>
          <w:sz w:val="22"/>
          <w:szCs w:val="22"/>
        </w:rPr>
        <w:t xml:space="preserve"> dans lequel ces Fournitures seront fabriquées ou assemblées</w:t>
      </w:r>
      <w:r w:rsidR="00D17A48">
        <w:rPr>
          <w:rFonts w:ascii="Andes" w:hAnsi="Andes" w:cs="Arial"/>
          <w:sz w:val="22"/>
          <w:szCs w:val="22"/>
        </w:rPr>
        <w:t>,</w:t>
      </w:r>
      <w:r w:rsidRPr="00833B69">
        <w:rPr>
          <w:rFonts w:ascii="Andes" w:hAnsi="Andes" w:cs="Arial"/>
          <w:sz w:val="22"/>
          <w:szCs w:val="22"/>
        </w:rPr>
        <w:t xml:space="preserve"> a</w:t>
      </w:r>
      <w:r w:rsidR="00D17A48">
        <w:rPr>
          <w:rFonts w:ascii="Andes" w:hAnsi="Andes" w:cs="Arial"/>
          <w:sz w:val="22"/>
          <w:szCs w:val="22"/>
        </w:rPr>
        <w:t>it</w:t>
      </w:r>
      <w:r w:rsidRPr="00833B69">
        <w:rPr>
          <w:rFonts w:ascii="Andes" w:hAnsi="Andes" w:cs="Arial"/>
          <w:sz w:val="22"/>
          <w:szCs w:val="22"/>
        </w:rPr>
        <w:t xml:space="preserve"> une activité de fabrication ou d’assemblage de ces Fournitures au moins depuis la date de soumission de l’offre ou de la proposition ;</w:t>
      </w:r>
    </w:p>
    <w:p w14:paraId="2370F612" w14:textId="77777777" w:rsidR="00CD3D7C" w:rsidRPr="00833B69" w:rsidRDefault="00CD3D7C" w:rsidP="00CD3D7C">
      <w:pPr>
        <w:pStyle w:val="Paragraphedeliste"/>
        <w:numPr>
          <w:ilvl w:val="0"/>
          <w:numId w:val="211"/>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u w:val="single"/>
        </w:rPr>
        <w:t>Groupe B</w:t>
      </w:r>
      <w:r w:rsidRPr="00833B69">
        <w:rPr>
          <w:rFonts w:ascii="Andes" w:eastAsiaTheme="minorHAnsi" w:hAnsi="Andes" w:cs="Arial"/>
          <w:color w:val="000000"/>
          <w:sz w:val="22"/>
          <w:szCs w:val="22"/>
        </w:rPr>
        <w:t> : toutes les autres offres ou propositions portant sur des Fournitures fabriquées dans le pays de l’Emprunteur ;</w:t>
      </w:r>
    </w:p>
    <w:p w14:paraId="3F9CDBEB" w14:textId="77777777" w:rsidR="00CD3D7C" w:rsidRPr="00833B69" w:rsidRDefault="00CD3D7C" w:rsidP="00CD3D7C">
      <w:pPr>
        <w:pStyle w:val="Paragraphedeliste"/>
        <w:numPr>
          <w:ilvl w:val="0"/>
          <w:numId w:val="211"/>
        </w:numPr>
        <w:spacing w:before="0" w:after="20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u w:val="single"/>
        </w:rPr>
        <w:t>Groupe C</w:t>
      </w:r>
      <w:r w:rsidRPr="00833B69">
        <w:rPr>
          <w:rFonts w:ascii="Andes" w:eastAsiaTheme="minorHAnsi" w:hAnsi="Andes" w:cs="Arial"/>
          <w:color w:val="000000"/>
          <w:sz w:val="22"/>
          <w:szCs w:val="22"/>
        </w:rPr>
        <w:t> : les offres ou propositions portant sur des Fournitures fabriquées en dehors du territoire national qui ont déjà été importées ou le seront directement.</w:t>
      </w:r>
    </w:p>
    <w:p w14:paraId="7FAD95DE" w14:textId="168C7545" w:rsidR="00CD3D7C" w:rsidRPr="00833B69" w:rsidRDefault="00CD3D7C" w:rsidP="00CD3D7C">
      <w:pPr>
        <w:pStyle w:val="Paragraphedeliste"/>
        <w:numPr>
          <w:ilvl w:val="1"/>
          <w:numId w:val="128"/>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Le prix indiqué pour les Fournitures dans les offres ou propositions des Groupes A et B comprend tous les droits et taxes payés ou à payer sur les matériaux ou composants de base achetés sur le </w:t>
      </w:r>
      <w:r w:rsidRPr="00833B69">
        <w:rPr>
          <w:rFonts w:ascii="Andes" w:hAnsi="Andes" w:cs="Arial"/>
          <w:sz w:val="22"/>
          <w:szCs w:val="22"/>
        </w:rPr>
        <w:lastRenderedPageBreak/>
        <w:t xml:space="preserve">marché national ou importés mais ne tient pas compte des taxes sur les ventes ou autres taxes similaires sur le produit fini. Le prix indiqué pour les Fournitures dans les offres ou propositions du Groupe C </w:t>
      </w:r>
      <w:r w:rsidR="00DF0587">
        <w:rPr>
          <w:rFonts w:ascii="Andes" w:hAnsi="Andes" w:cs="Arial"/>
          <w:sz w:val="22"/>
          <w:szCs w:val="22"/>
        </w:rPr>
        <w:t xml:space="preserve">doit être </w:t>
      </w:r>
      <w:r w:rsidRPr="00833B69">
        <w:rPr>
          <w:rFonts w:ascii="Andes" w:hAnsi="Andes" w:cs="Arial"/>
          <w:sz w:val="22"/>
          <w:szCs w:val="22"/>
        </w:rPr>
        <w:t xml:space="preserve">également exprimé sur la base de l’Incoterm CIP (port payé, assurance comprise, jusqu’au lieu de destination), c’est-à-dire hors droits de douane et autres taxes à l’importation payés ou à payer. </w:t>
      </w:r>
    </w:p>
    <w:p w14:paraId="415B5B23" w14:textId="77777777" w:rsidR="00CD3D7C" w:rsidRPr="00833B69" w:rsidRDefault="00CD3D7C" w:rsidP="00CD3D7C">
      <w:pPr>
        <w:pStyle w:val="Paragraphedeliste"/>
        <w:numPr>
          <w:ilvl w:val="1"/>
          <w:numId w:val="128"/>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Dans la première étape, toutes les offres ou propositions évaluées de chaque groupe sont comparées de manière à déterminer l’offre ou la proposition la plus avantageuse de chacun des groupes. Les offres ou propositions les plus avantageuses ainsi déterminées sont ensuite comparées et si, à l’issue de cette comparaison, il apparaît que c’est l’offre ou la proposition du Groupe A ou du Groupe B qui est la meilleure, celle-ci est sélectionnée pour l’attribution du marché. </w:t>
      </w:r>
    </w:p>
    <w:p w14:paraId="68C4205C" w14:textId="77777777" w:rsidR="00CD3D7C" w:rsidRPr="00833B69" w:rsidRDefault="00CD3D7C" w:rsidP="00CD3D7C">
      <w:pPr>
        <w:pStyle w:val="Paragraphedeliste"/>
        <w:numPr>
          <w:ilvl w:val="1"/>
          <w:numId w:val="128"/>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Si, à l’issue de la comparaison décrite au paragraphe 2.4 de la présente Annexe, il apparaît que l’offre ou la proposition la plus avantageuse est celle du Groupe C, toutes les offres ou propositions du Groupe C seront à nouveau comparées à l’offre ou la proposition la plus avantageuse du Groupe A, après ajout au prix évalué des Fournitures proposées dans chaque offre ou proposition du Groupe C, aux fins de cette comparaison uniquement, d’un montant égal à 15 % (quinze pour cent) des prix Incoterm CIP respectivement indiqués dans les différentes offres ou propositions pour les Fournitures à importer ou déjà importées. Les deux prix tiendront compte des remises fermes et seront corrigés des éventuelles erreurs de calcul. Si l’offre ou la proposition du Groupe A est la meilleure, elle est retenue pour l’attribution du marché. En cas contraire, l’offre ou la proposition la plus avantageuse du Groupe C est sélectionnée conformément au paragraphe 2.4 de la présente Annexe. </w:t>
      </w:r>
    </w:p>
    <w:p w14:paraId="471A50AC" w14:textId="77777777" w:rsidR="00CD3D7C" w:rsidRPr="00833B69" w:rsidRDefault="00CD3D7C" w:rsidP="00CD3D7C">
      <w:pPr>
        <w:pStyle w:val="Paragraphedeliste"/>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Préférence nationale appliquée aux Travaux</w:t>
      </w:r>
    </w:p>
    <w:p w14:paraId="5795BBDC" w14:textId="1B553C5C" w:rsidR="00CD3D7C" w:rsidRPr="00833B69" w:rsidRDefault="00CD3D7C" w:rsidP="00CD3D7C">
      <w:pPr>
        <w:pStyle w:val="Paragraphedeliste"/>
        <w:numPr>
          <w:ilvl w:val="1"/>
          <w:numId w:val="128"/>
        </w:numPr>
        <w:spacing w:before="0" w:line="240" w:lineRule="auto"/>
        <w:ind w:left="630" w:hanging="630"/>
        <w:contextualSpacing w:val="0"/>
        <w:rPr>
          <w:rFonts w:ascii="Andes" w:hAnsi="Andes" w:cs="Arial"/>
          <w:sz w:val="22"/>
          <w:szCs w:val="22"/>
        </w:rPr>
      </w:pPr>
      <w:r w:rsidRPr="00833B69">
        <w:rPr>
          <w:rFonts w:ascii="Andes" w:hAnsi="Andes" w:cs="Arial"/>
          <w:sz w:val="22"/>
          <w:szCs w:val="22"/>
        </w:rPr>
        <w:t>S’agissant de l’évaluation des offres ou propositions dans le cadre d’un processus concurrentiel international ouvert de passation de marchés de Travaux, les Emprunteurs admissibles (la préférence nationale pour les Soumissionnaires ou Proposants n’étant applicable que dans les pays qui y sont admissibles) peuvent, avec l’assentiment de la Banque, accorder une marge de préférence aux Soumissionnaires ou Proposants nationaux par rapport aux Soumissionnaires ou Proposants étrangers. Dans ce cas, le dossier d’</w:t>
      </w:r>
      <w:r w:rsidR="00643D2F">
        <w:rPr>
          <w:rFonts w:ascii="Andes" w:hAnsi="Andes" w:cs="Arial"/>
          <w:sz w:val="22"/>
          <w:szCs w:val="22"/>
        </w:rPr>
        <w:t>A</w:t>
      </w:r>
      <w:r w:rsidRPr="00833B69">
        <w:rPr>
          <w:rFonts w:ascii="Andes" w:hAnsi="Andes" w:cs="Arial"/>
          <w:sz w:val="22"/>
          <w:szCs w:val="22"/>
        </w:rPr>
        <w:t>ppel d’</w:t>
      </w:r>
      <w:r w:rsidR="00643D2F">
        <w:rPr>
          <w:rFonts w:ascii="Andes" w:hAnsi="Andes" w:cs="Arial"/>
          <w:sz w:val="22"/>
          <w:szCs w:val="22"/>
        </w:rPr>
        <w:t>O</w:t>
      </w:r>
      <w:r w:rsidRPr="00833B69">
        <w:rPr>
          <w:rFonts w:ascii="Andes" w:hAnsi="Andes" w:cs="Arial"/>
          <w:sz w:val="22"/>
          <w:szCs w:val="22"/>
        </w:rPr>
        <w:t>ffres ou d’</w:t>
      </w:r>
      <w:r w:rsidR="00643D2F">
        <w:rPr>
          <w:rFonts w:ascii="Andes" w:hAnsi="Andes" w:cs="Arial"/>
          <w:sz w:val="22"/>
          <w:szCs w:val="22"/>
        </w:rPr>
        <w:t>A</w:t>
      </w:r>
      <w:r w:rsidRPr="00833B69">
        <w:rPr>
          <w:rFonts w:ascii="Andes" w:hAnsi="Andes" w:cs="Arial"/>
          <w:sz w:val="22"/>
          <w:szCs w:val="22"/>
        </w:rPr>
        <w:t xml:space="preserve">ppel à </w:t>
      </w:r>
      <w:r w:rsidR="00643D2F">
        <w:rPr>
          <w:rFonts w:ascii="Andes" w:hAnsi="Andes" w:cs="Arial"/>
          <w:sz w:val="22"/>
          <w:szCs w:val="22"/>
        </w:rPr>
        <w:t>P</w:t>
      </w:r>
      <w:r w:rsidRPr="00833B69">
        <w:rPr>
          <w:rFonts w:ascii="Andes" w:hAnsi="Andes" w:cs="Arial"/>
          <w:sz w:val="22"/>
          <w:szCs w:val="22"/>
        </w:rPr>
        <w:t xml:space="preserve">ropositions </w:t>
      </w:r>
      <w:r w:rsidR="001F2B9B">
        <w:rPr>
          <w:rFonts w:ascii="Andes" w:hAnsi="Andes" w:cs="Arial"/>
          <w:sz w:val="22"/>
          <w:szCs w:val="22"/>
        </w:rPr>
        <w:t xml:space="preserve">doit </w:t>
      </w:r>
      <w:r w:rsidRPr="00833B69">
        <w:rPr>
          <w:rFonts w:ascii="Andes" w:hAnsi="Andes" w:cs="Arial"/>
          <w:sz w:val="22"/>
          <w:szCs w:val="22"/>
        </w:rPr>
        <w:t>indique</w:t>
      </w:r>
      <w:r w:rsidR="001F2B9B">
        <w:rPr>
          <w:rFonts w:ascii="Andes" w:hAnsi="Andes" w:cs="Arial"/>
          <w:sz w:val="22"/>
          <w:szCs w:val="22"/>
        </w:rPr>
        <w:t>r</w:t>
      </w:r>
      <w:r w:rsidRPr="00833B69">
        <w:rPr>
          <w:rFonts w:ascii="Andes" w:hAnsi="Andes" w:cs="Arial"/>
          <w:sz w:val="22"/>
          <w:szCs w:val="22"/>
        </w:rPr>
        <w:t xml:space="preserve"> clairement la préférence accordée aux entrepreneurs nationaux et précise les informations à produire pour établir l’admissibilité d’une offre ou proposition à cette préférence. Les clauses ci-après sont applicables : </w:t>
      </w:r>
    </w:p>
    <w:p w14:paraId="2654DDE9" w14:textId="1BD73AF8" w:rsidR="00CD3D7C" w:rsidRPr="00833B69" w:rsidRDefault="00CD3D7C" w:rsidP="00CD3D7C">
      <w:pPr>
        <w:pStyle w:val="Paragraphedeliste"/>
        <w:numPr>
          <w:ilvl w:val="0"/>
          <w:numId w:val="212"/>
        </w:numPr>
        <w:spacing w:before="0" w:line="240" w:lineRule="auto"/>
        <w:contextualSpacing w:val="0"/>
        <w:rPr>
          <w:rFonts w:ascii="Andes" w:eastAsiaTheme="minorHAnsi" w:hAnsi="Andes" w:cs="Arial"/>
          <w:sz w:val="22"/>
          <w:szCs w:val="22"/>
        </w:rPr>
      </w:pPr>
      <w:r w:rsidRPr="00833B69">
        <w:rPr>
          <w:rFonts w:ascii="Andes" w:eastAsiaTheme="minorHAnsi" w:hAnsi="Andes" w:cs="Arial"/>
          <w:color w:val="000000"/>
          <w:sz w:val="22"/>
          <w:szCs w:val="22"/>
        </w:rPr>
        <w:t>Les Soumissionnaires</w:t>
      </w:r>
      <w:r w:rsidR="00D17A48">
        <w:rPr>
          <w:rFonts w:ascii="Andes" w:eastAsiaTheme="minorHAnsi" w:hAnsi="Andes" w:cs="Arial"/>
          <w:color w:val="000000"/>
          <w:sz w:val="22"/>
          <w:szCs w:val="22"/>
        </w:rPr>
        <w:t>,</w:t>
      </w:r>
      <w:r w:rsidRPr="00833B69">
        <w:rPr>
          <w:rFonts w:ascii="Andes" w:eastAsiaTheme="minorHAnsi" w:hAnsi="Andes" w:cs="Arial"/>
          <w:color w:val="000000"/>
          <w:sz w:val="22"/>
          <w:szCs w:val="22"/>
        </w:rPr>
        <w:t xml:space="preserve"> ou Proposants souhaitant faire valoir cette préférence fourniront, parmi les données demandées pour la sélection, les informations (relatives à la propriété notamment) nécessaires pour déterminer si, selon la classification établie par l’Emprunteur et agréée par la Banque, un Soumissionnaire/Proposant ou un groupe de Soumissionnaires/Proposants peut faire valoir la préférence nationale. Le dossier d’</w:t>
      </w:r>
      <w:r w:rsidR="001F2B9B">
        <w:rPr>
          <w:rFonts w:ascii="Andes" w:eastAsiaTheme="minorHAnsi" w:hAnsi="Andes" w:cs="Arial"/>
          <w:color w:val="000000"/>
          <w:sz w:val="22"/>
          <w:szCs w:val="22"/>
        </w:rPr>
        <w:t>A</w:t>
      </w:r>
      <w:r w:rsidRPr="00833B69">
        <w:rPr>
          <w:rFonts w:ascii="Andes" w:eastAsiaTheme="minorHAnsi" w:hAnsi="Andes" w:cs="Arial"/>
          <w:color w:val="000000"/>
          <w:sz w:val="22"/>
          <w:szCs w:val="22"/>
        </w:rPr>
        <w:t>ppel d’</w:t>
      </w:r>
      <w:r w:rsidR="001F2B9B">
        <w:rPr>
          <w:rFonts w:ascii="Andes" w:eastAsiaTheme="minorHAnsi" w:hAnsi="Andes" w:cs="Arial"/>
          <w:color w:val="000000"/>
          <w:sz w:val="22"/>
          <w:szCs w:val="22"/>
        </w:rPr>
        <w:t>O</w:t>
      </w:r>
      <w:r w:rsidRPr="00833B69">
        <w:rPr>
          <w:rFonts w:ascii="Andes" w:eastAsiaTheme="minorHAnsi" w:hAnsi="Andes" w:cs="Arial"/>
          <w:color w:val="000000"/>
          <w:sz w:val="22"/>
          <w:szCs w:val="22"/>
        </w:rPr>
        <w:t>ffres ou d’</w:t>
      </w:r>
      <w:r w:rsidR="001F2B9B">
        <w:rPr>
          <w:rFonts w:ascii="Andes" w:eastAsiaTheme="minorHAnsi" w:hAnsi="Andes" w:cs="Arial"/>
          <w:color w:val="000000"/>
          <w:sz w:val="22"/>
          <w:szCs w:val="22"/>
        </w:rPr>
        <w:t>A</w:t>
      </w:r>
      <w:r w:rsidRPr="00833B69">
        <w:rPr>
          <w:rFonts w:ascii="Andes" w:eastAsiaTheme="minorHAnsi" w:hAnsi="Andes" w:cs="Arial"/>
          <w:color w:val="000000"/>
          <w:sz w:val="22"/>
          <w:szCs w:val="22"/>
        </w:rPr>
        <w:t xml:space="preserve">ppel à </w:t>
      </w:r>
      <w:r w:rsidR="001F2B9B">
        <w:rPr>
          <w:rFonts w:ascii="Andes" w:eastAsiaTheme="minorHAnsi" w:hAnsi="Andes" w:cs="Arial"/>
          <w:color w:val="000000"/>
          <w:sz w:val="22"/>
          <w:szCs w:val="22"/>
        </w:rPr>
        <w:t>P</w:t>
      </w:r>
      <w:r w:rsidRPr="00833B69">
        <w:rPr>
          <w:rFonts w:ascii="Andes" w:eastAsiaTheme="minorHAnsi" w:hAnsi="Andes" w:cs="Arial"/>
          <w:color w:val="000000"/>
          <w:sz w:val="22"/>
          <w:szCs w:val="22"/>
        </w:rPr>
        <w:t xml:space="preserve">ropositions </w:t>
      </w:r>
      <w:r w:rsidR="00BD0D0C">
        <w:rPr>
          <w:rFonts w:ascii="Andes" w:eastAsiaTheme="minorHAnsi" w:hAnsi="Andes" w:cs="Arial"/>
          <w:color w:val="000000"/>
          <w:sz w:val="22"/>
          <w:szCs w:val="22"/>
        </w:rPr>
        <w:t xml:space="preserve">doit </w:t>
      </w:r>
      <w:r w:rsidRPr="00833B69">
        <w:rPr>
          <w:rFonts w:ascii="Andes" w:eastAsiaTheme="minorHAnsi" w:hAnsi="Andes" w:cs="Arial"/>
          <w:color w:val="000000"/>
          <w:sz w:val="22"/>
          <w:szCs w:val="22"/>
        </w:rPr>
        <w:t>indique</w:t>
      </w:r>
      <w:r w:rsidR="00BD0D0C">
        <w:rPr>
          <w:rFonts w:ascii="Andes" w:eastAsiaTheme="minorHAnsi" w:hAnsi="Andes" w:cs="Arial"/>
          <w:color w:val="000000"/>
          <w:sz w:val="22"/>
          <w:szCs w:val="22"/>
        </w:rPr>
        <w:t>r</w:t>
      </w:r>
      <w:r w:rsidRPr="00833B69">
        <w:rPr>
          <w:rFonts w:ascii="Andes" w:eastAsiaTheme="minorHAnsi" w:hAnsi="Andes" w:cs="Arial"/>
          <w:color w:val="000000"/>
          <w:sz w:val="22"/>
          <w:szCs w:val="22"/>
        </w:rPr>
        <w:t xml:space="preserve"> clairement si la préférence est applicable et précise le type de méthode utilisé pour évaluer et comparer les offres ou propositions à cette fin ;</w:t>
      </w:r>
    </w:p>
    <w:p w14:paraId="20D1F835" w14:textId="77777777" w:rsidR="00CD3D7C" w:rsidRPr="00833B69" w:rsidRDefault="00CD3D7C" w:rsidP="00CD3D7C">
      <w:pPr>
        <w:pStyle w:val="Paragraphedeliste"/>
        <w:numPr>
          <w:ilvl w:val="0"/>
          <w:numId w:val="212"/>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Après réception et examen des offres ou propositions par l’Emprunteur, les offres ou propositions conformes sont réparties entre les groupes suivants :</w:t>
      </w:r>
    </w:p>
    <w:p w14:paraId="322BC473" w14:textId="77777777" w:rsidR="00CD3D7C" w:rsidRPr="00833B69" w:rsidRDefault="00CD3D7C" w:rsidP="00CD3D7C">
      <w:pPr>
        <w:pStyle w:val="Paragraphedeliste"/>
        <w:numPr>
          <w:ilvl w:val="0"/>
          <w:numId w:val="213"/>
        </w:numPr>
        <w:tabs>
          <w:tab w:val="left" w:pos="720"/>
        </w:tabs>
        <w:spacing w:before="0" w:line="240" w:lineRule="auto"/>
        <w:contextualSpacing w:val="0"/>
        <w:rPr>
          <w:rFonts w:ascii="Andes" w:hAnsi="Andes" w:cs="Arial"/>
          <w:sz w:val="22"/>
          <w:szCs w:val="22"/>
        </w:rPr>
      </w:pPr>
      <w:r w:rsidRPr="00833B69">
        <w:rPr>
          <w:rFonts w:ascii="Andes" w:hAnsi="Andes" w:cs="Arial"/>
          <w:sz w:val="22"/>
          <w:szCs w:val="22"/>
          <w:u w:val="single"/>
        </w:rPr>
        <w:lastRenderedPageBreak/>
        <w:t>Groupe A</w:t>
      </w:r>
      <w:r w:rsidRPr="00833B69">
        <w:rPr>
          <w:rFonts w:ascii="Andes" w:hAnsi="Andes" w:cs="Arial"/>
          <w:sz w:val="22"/>
          <w:szCs w:val="22"/>
        </w:rPr>
        <w:t> : offres ou propositions émanant de Soumissionnaires ou Proposants admis à bénéficier de la préférence ;</w:t>
      </w:r>
    </w:p>
    <w:p w14:paraId="541C3649" w14:textId="77777777" w:rsidR="00CD3D7C" w:rsidRPr="00833B69" w:rsidRDefault="00CD3D7C" w:rsidP="00CD3D7C">
      <w:pPr>
        <w:pStyle w:val="Paragraphedeliste"/>
        <w:numPr>
          <w:ilvl w:val="0"/>
          <w:numId w:val="213"/>
        </w:numPr>
        <w:tabs>
          <w:tab w:val="left" w:pos="720"/>
        </w:tabs>
        <w:spacing w:before="0" w:after="240" w:line="240" w:lineRule="auto"/>
        <w:contextualSpacing w:val="0"/>
        <w:rPr>
          <w:rFonts w:ascii="Andes" w:hAnsi="Andes" w:cs="Arial"/>
          <w:sz w:val="22"/>
          <w:szCs w:val="22"/>
        </w:rPr>
      </w:pPr>
      <w:r w:rsidRPr="00833B69">
        <w:rPr>
          <w:rFonts w:ascii="Andes" w:hAnsi="Andes" w:cs="Arial"/>
          <w:sz w:val="22"/>
          <w:szCs w:val="22"/>
          <w:u w:val="single"/>
        </w:rPr>
        <w:t>Groupe B</w:t>
      </w:r>
      <w:r w:rsidRPr="00833B69">
        <w:rPr>
          <w:rFonts w:ascii="Andes" w:hAnsi="Andes" w:cs="Arial"/>
          <w:sz w:val="22"/>
          <w:szCs w:val="22"/>
        </w:rPr>
        <w:t xml:space="preserve"> : offres ou propositions émanant des autres Soumissionnaires ou Proposants. </w:t>
      </w:r>
    </w:p>
    <w:p w14:paraId="420431CB" w14:textId="224F4824" w:rsidR="00C811D2" w:rsidRPr="00B1581D" w:rsidRDefault="00CD3D7C" w:rsidP="00CD3D7C">
      <w:pPr>
        <w:pStyle w:val="Paragraphedeliste"/>
        <w:numPr>
          <w:ilvl w:val="1"/>
          <w:numId w:val="128"/>
        </w:numPr>
        <w:spacing w:before="0" w:line="240" w:lineRule="auto"/>
        <w:ind w:left="630" w:hanging="630"/>
        <w:contextualSpacing w:val="0"/>
        <w:rPr>
          <w:rFonts w:ascii="Andes" w:hAnsi="Andes" w:cs="Arial"/>
          <w:sz w:val="22"/>
          <w:szCs w:val="22"/>
        </w:rPr>
      </w:pPr>
      <w:r w:rsidRPr="00833B69">
        <w:rPr>
          <w:rFonts w:ascii="Andes" w:hAnsi="Andes" w:cs="Arial"/>
          <w:sz w:val="22"/>
          <w:szCs w:val="22"/>
        </w:rPr>
        <w:t>Dans une première étape d’évaluation, toutes les offres ou propositions de chacun des groupes sont comparées pour déterminer celle qui est la plus avantageuse de son groupe puis les offres ou propositions les plus avantageuses des deux groupes sont comparées. Si, à l’issue de cette comparaison, c’est l’offre ou la proposition du Groupe A qui est jugée la plus avantageuse, elle est retenue pour l’attribution du marché. Si c’est l’offre ou la proposition du Groupe B qui est jugée la plus avantageuse, dans une seconde étape d’évaluation, toutes les offres ou propositions du Groupe B sont à nouveau comparées avec l’offre ou la proposition la plus avantageuse du Groupe A. Aux fins de cette comparaison uniquement, un montant égal à 7,5 % (sept et demi pour</w:t>
      </w:r>
      <w:r>
        <w:rPr>
          <w:rFonts w:ascii="Andes" w:hAnsi="Andes" w:cs="Arial"/>
          <w:sz w:val="22"/>
          <w:szCs w:val="22"/>
        </w:rPr>
        <w:t xml:space="preserve"> </w:t>
      </w:r>
      <w:r w:rsidRPr="00833B69">
        <w:rPr>
          <w:rFonts w:ascii="Andes" w:hAnsi="Andes" w:cs="Arial"/>
          <w:sz w:val="22"/>
          <w:szCs w:val="22"/>
        </w:rPr>
        <w:t>cent) est ajouté au prix des différentes offres ou propositions, corrigé des éventuelles erreurs de calcul, en incluant les remises fermes mais en excluant les sommes provisionnelles et, le cas échéant, le coût journalier des Travaux est ajouté au prix indiqué dans chaque offre ou proposition du Groupe B. Si c’est l’offre ou la proposition du Groupe A qui est la plus avantageuse, elle est retenue pour l’attribution du marché. En cas contraire, c’est l’offre ou la proposition la plus avantageuse du Groupe B déterminée selon la première étape d’évaluation qui est retenue</w:t>
      </w:r>
      <w:r>
        <w:rPr>
          <w:rFonts w:ascii="Andes" w:hAnsi="Andes" w:cs="Arial"/>
          <w:sz w:val="22"/>
          <w:szCs w:val="22"/>
        </w:rPr>
        <w:t>.</w:t>
      </w:r>
    </w:p>
    <w:p w14:paraId="35F7034D" w14:textId="77777777" w:rsidR="008A510A" w:rsidRPr="00B1581D" w:rsidRDefault="008A510A" w:rsidP="00EA4749">
      <w:pPr>
        <w:pStyle w:val="Paragraphedeliste"/>
        <w:numPr>
          <w:ilvl w:val="1"/>
          <w:numId w:val="128"/>
        </w:numPr>
        <w:spacing w:before="0" w:line="240" w:lineRule="auto"/>
        <w:ind w:left="630" w:hanging="630"/>
        <w:contextualSpacing w:val="0"/>
        <w:jc w:val="left"/>
        <w:rPr>
          <w:rFonts w:ascii="Andes" w:hAnsi="Andes" w:cs="Arial"/>
          <w:sz w:val="22"/>
          <w:szCs w:val="22"/>
        </w:rPr>
        <w:sectPr w:rsidR="008A510A" w:rsidRPr="00B1581D" w:rsidSect="000B5EC0">
          <w:headerReference w:type="default" r:id="rId32"/>
          <w:pgSz w:w="12240" w:h="15840"/>
          <w:pgMar w:top="1872" w:right="1440" w:bottom="1440" w:left="1411" w:header="720" w:footer="720" w:gutter="0"/>
          <w:cols w:space="720"/>
          <w:docGrid w:linePitch="360"/>
        </w:sectPr>
      </w:pPr>
    </w:p>
    <w:p w14:paraId="6046708B" w14:textId="77777777" w:rsidR="008F0584" w:rsidRPr="00B1581D" w:rsidRDefault="008F0584" w:rsidP="00EA4749">
      <w:pPr>
        <w:pStyle w:val="Paragraphedeliste"/>
        <w:numPr>
          <w:ilvl w:val="1"/>
          <w:numId w:val="128"/>
        </w:numPr>
        <w:spacing w:before="0" w:line="240" w:lineRule="auto"/>
        <w:ind w:left="630" w:hanging="630"/>
        <w:contextualSpacing w:val="0"/>
        <w:jc w:val="left"/>
        <w:rPr>
          <w:rFonts w:ascii="Andes" w:hAnsi="Andes" w:cs="Arial"/>
          <w:sz w:val="22"/>
          <w:szCs w:val="22"/>
        </w:rPr>
        <w:sectPr w:rsidR="008F0584" w:rsidRPr="00B1581D" w:rsidSect="000B5EC0">
          <w:headerReference w:type="default" r:id="rId33"/>
          <w:pgSz w:w="12240" w:h="15840"/>
          <w:pgMar w:top="1872" w:right="1440" w:bottom="1440" w:left="1411" w:header="720" w:footer="720" w:gutter="0"/>
          <w:cols w:space="720"/>
          <w:docGrid w:linePitch="360"/>
        </w:sectPr>
      </w:pPr>
    </w:p>
    <w:p w14:paraId="095880F5" w14:textId="77777777" w:rsidR="00C23585" w:rsidRPr="007656EB" w:rsidRDefault="004A283E" w:rsidP="000A5DC6">
      <w:pPr>
        <w:pStyle w:val="Titre1"/>
        <w:spacing w:before="0" w:after="0" w:line="240" w:lineRule="auto"/>
        <w:jc w:val="center"/>
        <w:rPr>
          <w:rFonts w:ascii="Andes" w:hAnsi="Andes" w:cs="Arial"/>
          <w:sz w:val="32"/>
          <w:szCs w:val="32"/>
          <w:lang w:val="en-US"/>
        </w:rPr>
      </w:pPr>
      <w:bookmarkStart w:id="3546" w:name="_Toc412531008"/>
      <w:bookmarkStart w:id="3547" w:name="_Toc453170984"/>
      <w:bookmarkStart w:id="3548" w:name="_Toc453544334"/>
      <w:r w:rsidRPr="004A283E">
        <w:rPr>
          <w:rFonts w:ascii="Andes" w:hAnsi="Andes" w:cs="Microsoft Sans Serif"/>
          <w:caps/>
          <w:noProof/>
          <w:color w:val="002060"/>
          <w:lang w:val="en-US"/>
        </w:rPr>
        <w:lastRenderedPageBreak/>
        <mc:AlternateContent>
          <mc:Choice Requires="wps">
            <w:drawing>
              <wp:anchor distT="0" distB="0" distL="114300" distR="114300" simplePos="0" relativeHeight="251660288" behindDoc="0" locked="0" layoutInCell="1" allowOverlap="1" wp14:anchorId="0D7A4E6E" wp14:editId="70FF15DF">
                <wp:simplePos x="0" y="0"/>
                <wp:positionH relativeFrom="page">
                  <wp:align>left</wp:align>
                </wp:positionH>
                <wp:positionV relativeFrom="paragraph">
                  <wp:posOffset>-1196035</wp:posOffset>
                </wp:positionV>
                <wp:extent cx="8144180" cy="1488160"/>
                <wp:effectExtent l="0" t="0" r="9525" b="0"/>
                <wp:wrapNone/>
                <wp:docPr id="25" name="Rectangle 25"/>
                <wp:cNvGraphicFramePr/>
                <a:graphic xmlns:a="http://schemas.openxmlformats.org/drawingml/2006/main">
                  <a:graphicData uri="http://schemas.microsoft.com/office/word/2010/wordprocessingShape">
                    <wps:wsp>
                      <wps:cNvSpPr/>
                      <wps:spPr>
                        <a:xfrm>
                          <a:off x="0" y="0"/>
                          <a:ext cx="8144180" cy="1488160"/>
                        </a:xfrm>
                        <a:prstGeom prst="rect">
                          <a:avLst/>
                        </a:prstGeom>
                        <a:solidFill>
                          <a:srgbClr val="C45911"/>
                        </a:solidFill>
                        <a:ln w="12700" cap="flat" cmpd="sng" algn="ctr">
                          <a:noFill/>
                          <a:prstDash val="solid"/>
                          <a:miter lim="800000"/>
                        </a:ln>
                        <a:effectLst/>
                      </wps:spPr>
                      <wps:txbx>
                        <w:txbxContent>
                          <w:p w14:paraId="0978678E" w14:textId="7996125E" w:rsidR="00A41794" w:rsidRPr="00D672E8" w:rsidRDefault="00A41794" w:rsidP="00C07243">
                            <w:pPr>
                              <w:tabs>
                                <w:tab w:val="left" w:pos="3240"/>
                              </w:tabs>
                              <w:rPr>
                                <w:rFonts w:ascii="Andes" w:hAnsi="Andes"/>
                                <w:color w:val="FFFFFF" w:themeColor="background1"/>
                                <w:sz w:val="44"/>
                                <w:szCs w:val="44"/>
                              </w:rPr>
                            </w:pPr>
                            <w:r w:rsidRPr="00D672E8">
                              <w:rPr>
                                <w:rFonts w:ascii="Andes" w:hAnsi="Andes"/>
                                <w:color w:val="FFFFFF" w:themeColor="background1"/>
                                <w:sz w:val="44"/>
                                <w:szCs w:val="44"/>
                              </w:rPr>
                              <w:t>A</w:t>
                            </w:r>
                            <w:r>
                              <w:rPr>
                                <w:rFonts w:ascii="Andes" w:hAnsi="Andes"/>
                                <w:color w:val="FFFFFF" w:themeColor="background1"/>
                                <w:sz w:val="44"/>
                                <w:szCs w:val="44"/>
                              </w:rPr>
                              <w:t>nnexe VII.  Pratiques durables de passation de marchés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A4E6E" id="Rectangle 25" o:spid="_x0000_s1043" style="position:absolute;left:0;text-align:left;margin-left:0;margin-top:-94.2pt;width:641.25pt;height:117.2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" fillcolor="#c45911" stroked="f" strokeweight="1pt">
                <v:textbox>
                  <w:txbxContent>
                    <w:p w14:paraId="0978678E" w14:textId="7996125E" w:rsidR="00A41794" w:rsidRPr="00D672E8" w:rsidRDefault="00A41794" w:rsidP="00C07243">
                      <w:pPr>
                        <w:tabs>
                          <w:tab w:val="left" w:pos="3240"/>
                        </w:tabs>
                        <w:rPr>
                          <w:rFonts w:ascii="Andes" w:hAnsi="Andes"/>
                          <w:color w:val="FFFFFF" w:themeColor="background1"/>
                          <w:sz w:val="44"/>
                          <w:szCs w:val="44"/>
                        </w:rPr>
                      </w:pPr>
                      <w:r w:rsidRPr="00D672E8">
                        <w:rPr>
                          <w:rFonts w:ascii="Andes" w:hAnsi="Andes"/>
                          <w:color w:val="FFFFFF" w:themeColor="background1"/>
                          <w:sz w:val="44"/>
                          <w:szCs w:val="44"/>
                        </w:rPr>
                        <w:t>A</w:t>
                      </w:r>
                      <w:r>
                        <w:rPr>
                          <w:rFonts w:ascii="Andes" w:hAnsi="Andes"/>
                          <w:color w:val="FFFFFF" w:themeColor="background1"/>
                          <w:sz w:val="44"/>
                          <w:szCs w:val="44"/>
                        </w:rPr>
                        <w:t>nnexe VII.  Pratiques durables de passation de marchés</w:t>
                      </w:r>
                    </w:p>
                  </w:txbxContent>
                </v:textbox>
                <w10:wrap anchorx="page"/>
              </v:rect>
            </w:pict>
          </mc:Fallback>
        </mc:AlternateContent>
      </w:r>
      <w:r w:rsidR="00C23585" w:rsidRPr="007656EB">
        <w:rPr>
          <w:rFonts w:ascii="Andes" w:hAnsi="Andes" w:cs="Arial"/>
          <w:sz w:val="32"/>
          <w:szCs w:val="32"/>
          <w:lang w:val="en-US"/>
        </w:rPr>
        <w:t>Annex VII</w:t>
      </w:r>
      <w:r w:rsidR="00687669">
        <w:rPr>
          <w:rFonts w:ascii="Andes" w:hAnsi="Andes" w:cs="Arial"/>
          <w:sz w:val="32"/>
          <w:szCs w:val="32"/>
          <w:lang w:val="en-US"/>
        </w:rPr>
        <w:t xml:space="preserve">.  </w:t>
      </w:r>
      <w:r w:rsidR="00C23585" w:rsidRPr="007656EB">
        <w:rPr>
          <w:rFonts w:ascii="Andes" w:hAnsi="Andes" w:cs="Arial"/>
          <w:sz w:val="32"/>
          <w:szCs w:val="32"/>
          <w:lang w:val="en-US"/>
        </w:rPr>
        <w:t>Sustainable Procurement</w:t>
      </w:r>
      <w:bookmarkEnd w:id="3546"/>
      <w:bookmarkEnd w:id="3547"/>
      <w:bookmarkEnd w:id="3548"/>
    </w:p>
    <w:p w14:paraId="2676B46D" w14:textId="77777777" w:rsidR="004029D5" w:rsidRPr="00833B69" w:rsidRDefault="004029D5" w:rsidP="004029D5">
      <w:pPr>
        <w:pStyle w:val="Paragraphedeliste"/>
        <w:numPr>
          <w:ilvl w:val="0"/>
          <w:numId w:val="129"/>
        </w:numPr>
        <w:spacing w:before="600" w:line="240" w:lineRule="auto"/>
        <w:ind w:left="635" w:hanging="635"/>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Objet</w:t>
      </w:r>
    </w:p>
    <w:p w14:paraId="32F49144" w14:textId="6FB64DD7" w:rsidR="004029D5" w:rsidRPr="00833B69" w:rsidRDefault="004029D5" w:rsidP="004029D5">
      <w:pPr>
        <w:pStyle w:val="Paragraphedeliste"/>
        <w:numPr>
          <w:ilvl w:val="1"/>
          <w:numId w:val="129"/>
        </w:numPr>
        <w:spacing w:before="0" w:line="240" w:lineRule="auto"/>
        <w:ind w:left="634" w:hanging="634"/>
        <w:contextualSpacing w:val="0"/>
        <w:rPr>
          <w:rFonts w:ascii="Andes" w:hAnsi="Andes" w:cs="Arial"/>
          <w:sz w:val="22"/>
          <w:szCs w:val="22"/>
        </w:rPr>
      </w:pPr>
      <w:r w:rsidRPr="00833B69">
        <w:rPr>
          <w:rFonts w:ascii="Andes" w:hAnsi="Andes" w:cs="Arial"/>
          <w:sz w:val="22"/>
          <w:szCs w:val="22"/>
        </w:rPr>
        <w:t xml:space="preserve">La présente Annexe décrit les prescriptions de la Banque dans le cas où l’Emprunteur décide d’introduire des pratiques durables supplémentaires en matière de passation des marchés, en plus de celles </w:t>
      </w:r>
      <w:r w:rsidR="00F622D9">
        <w:rPr>
          <w:rFonts w:ascii="Andes" w:hAnsi="Andes" w:cs="Arial"/>
          <w:sz w:val="22"/>
          <w:szCs w:val="22"/>
        </w:rPr>
        <w:t xml:space="preserve">concernant les aspects </w:t>
      </w:r>
      <w:r w:rsidR="00EC0FAC">
        <w:rPr>
          <w:rFonts w:ascii="Andes" w:hAnsi="Andes" w:cs="Arial"/>
          <w:sz w:val="22"/>
          <w:szCs w:val="22"/>
        </w:rPr>
        <w:t xml:space="preserve">économiques, </w:t>
      </w:r>
      <w:r w:rsidR="00F622D9">
        <w:rPr>
          <w:rFonts w:ascii="Andes" w:hAnsi="Andes" w:cs="Arial"/>
          <w:sz w:val="22"/>
          <w:szCs w:val="22"/>
        </w:rPr>
        <w:t xml:space="preserve">environnementaux et sociaux </w:t>
      </w:r>
      <w:r w:rsidRPr="00833B69">
        <w:rPr>
          <w:rFonts w:ascii="Andes" w:hAnsi="Andes" w:cs="Arial"/>
          <w:sz w:val="22"/>
          <w:szCs w:val="22"/>
        </w:rPr>
        <w:t xml:space="preserve">prévues par la Banque. </w:t>
      </w:r>
    </w:p>
    <w:p w14:paraId="6B75A51C" w14:textId="77777777" w:rsidR="004029D5" w:rsidRPr="00833B69" w:rsidRDefault="004029D5" w:rsidP="004029D5">
      <w:pPr>
        <w:pStyle w:val="Paragraphedeliste"/>
        <w:numPr>
          <w:ilvl w:val="0"/>
          <w:numId w:val="129"/>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 xml:space="preserve">Mise en œuvre de pratiques durables </w:t>
      </w:r>
    </w:p>
    <w:p w14:paraId="1B4C00FC" w14:textId="2B59833C" w:rsidR="004029D5" w:rsidRPr="00833B69" w:rsidRDefault="004029D5" w:rsidP="004029D5">
      <w:pPr>
        <w:pStyle w:val="Paragraphedeliste"/>
        <w:numPr>
          <w:ilvl w:val="1"/>
          <w:numId w:val="129"/>
        </w:numPr>
        <w:spacing w:before="0" w:line="240" w:lineRule="auto"/>
        <w:ind w:left="634" w:hanging="634"/>
        <w:contextualSpacing w:val="0"/>
        <w:rPr>
          <w:rFonts w:ascii="Andes" w:hAnsi="Andes" w:cs="Arial"/>
          <w:sz w:val="22"/>
          <w:szCs w:val="22"/>
        </w:rPr>
      </w:pPr>
      <w:r w:rsidRPr="00833B69">
        <w:tab/>
      </w:r>
      <w:r w:rsidRPr="00833B69">
        <w:rPr>
          <w:rFonts w:ascii="Andes" w:hAnsi="Andes" w:cs="Arial"/>
          <w:sz w:val="22"/>
          <w:szCs w:val="22"/>
        </w:rPr>
        <w:t>L’intention d’introduire des conditions de pratiques durables dans le processus de passation des marchés doit être manifestée dès l’étape de planification de la Stratégie de Passation des Marchés du Projet pour Promouvoir le Développement (</w:t>
      </w:r>
      <w:r w:rsidR="006634EF">
        <w:rPr>
          <w:rFonts w:ascii="Andes" w:hAnsi="Andes" w:cs="Arial"/>
          <w:sz w:val="22"/>
          <w:szCs w:val="22"/>
        </w:rPr>
        <w:t>SPMPD</w:t>
      </w:r>
      <w:r w:rsidRPr="00833B69">
        <w:rPr>
          <w:rFonts w:ascii="Andes" w:hAnsi="Andes" w:cs="Arial"/>
          <w:sz w:val="22"/>
          <w:szCs w:val="22"/>
        </w:rPr>
        <w:t xml:space="preserve">).  </w:t>
      </w:r>
    </w:p>
    <w:p w14:paraId="4DCE86E8" w14:textId="77777777" w:rsidR="004029D5" w:rsidRPr="00833B69" w:rsidRDefault="004029D5" w:rsidP="004029D5">
      <w:pPr>
        <w:pStyle w:val="Paragraphedeliste"/>
        <w:numPr>
          <w:ilvl w:val="1"/>
          <w:numId w:val="129"/>
        </w:numPr>
        <w:spacing w:before="0" w:line="240" w:lineRule="auto"/>
        <w:ind w:left="634" w:hanging="634"/>
        <w:contextualSpacing w:val="0"/>
        <w:rPr>
          <w:rFonts w:ascii="Andes" w:hAnsi="Andes" w:cs="Arial"/>
          <w:sz w:val="22"/>
          <w:szCs w:val="22"/>
        </w:rPr>
      </w:pPr>
      <w:r w:rsidRPr="00833B69">
        <w:rPr>
          <w:rFonts w:ascii="Andes" w:hAnsi="Andes" w:cs="Arial"/>
          <w:sz w:val="22"/>
          <w:szCs w:val="22"/>
        </w:rPr>
        <w:t>Le Règlement de Passation des Marchés de la Banque prévoit différentes étapes permettant la prise en compte des aspects de développement durable :</w:t>
      </w:r>
    </w:p>
    <w:p w14:paraId="071A5770" w14:textId="79557516" w:rsidR="004029D5" w:rsidRPr="00833B69" w:rsidRDefault="000A7F1B" w:rsidP="004029D5">
      <w:pPr>
        <w:pStyle w:val="Paragraphedeliste"/>
        <w:numPr>
          <w:ilvl w:val="0"/>
          <w:numId w:val="214"/>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Préqualification</w:t>
      </w:r>
      <w:r w:rsidR="004029D5" w:rsidRPr="00833B69">
        <w:rPr>
          <w:rFonts w:ascii="Andes" w:eastAsiaTheme="minorHAnsi" w:hAnsi="Andes" w:cs="Arial"/>
          <w:color w:val="000000"/>
          <w:sz w:val="22"/>
          <w:szCs w:val="22"/>
        </w:rPr>
        <w:t>/ Sélection Initiale des entreprises ;</w:t>
      </w:r>
    </w:p>
    <w:p w14:paraId="18991F68" w14:textId="3FD52146" w:rsidR="004029D5" w:rsidRPr="00833B69" w:rsidRDefault="004029D5" w:rsidP="004029D5">
      <w:pPr>
        <w:pStyle w:val="Paragraphedeliste"/>
        <w:numPr>
          <w:ilvl w:val="0"/>
          <w:numId w:val="214"/>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cahier des charges fonctionnel ou technique détaillé</w:t>
      </w:r>
      <w:r w:rsidR="006F2E90">
        <w:rPr>
          <w:rFonts w:ascii="Andes" w:eastAsiaTheme="minorHAnsi" w:hAnsi="Andes" w:cs="Arial"/>
          <w:color w:val="000000"/>
          <w:sz w:val="22"/>
          <w:szCs w:val="22"/>
        </w:rPr>
        <w:t> ;</w:t>
      </w:r>
    </w:p>
    <w:p w14:paraId="4556A9B4" w14:textId="425FA5A6" w:rsidR="004029D5" w:rsidRPr="00833B69" w:rsidRDefault="00C63A97" w:rsidP="004029D5">
      <w:pPr>
        <w:pStyle w:val="Paragraphedeliste"/>
        <w:numPr>
          <w:ilvl w:val="0"/>
          <w:numId w:val="214"/>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C</w:t>
      </w:r>
      <w:r w:rsidR="004029D5" w:rsidRPr="00833B69">
        <w:rPr>
          <w:rFonts w:ascii="Andes" w:eastAsiaTheme="minorHAnsi" w:hAnsi="Andes" w:cs="Arial"/>
          <w:color w:val="000000"/>
          <w:sz w:val="22"/>
          <w:szCs w:val="22"/>
        </w:rPr>
        <w:t>ritères d’</w:t>
      </w:r>
      <w:r>
        <w:rPr>
          <w:rFonts w:ascii="Andes" w:eastAsiaTheme="minorHAnsi" w:hAnsi="Andes" w:cs="Arial"/>
          <w:color w:val="000000"/>
          <w:sz w:val="22"/>
          <w:szCs w:val="22"/>
        </w:rPr>
        <w:t>E</w:t>
      </w:r>
      <w:r w:rsidR="004029D5" w:rsidRPr="00833B69">
        <w:rPr>
          <w:rFonts w:ascii="Andes" w:eastAsiaTheme="minorHAnsi" w:hAnsi="Andes" w:cs="Arial"/>
          <w:color w:val="000000"/>
          <w:sz w:val="22"/>
          <w:szCs w:val="22"/>
        </w:rPr>
        <w:t>valuation</w:t>
      </w:r>
      <w:r>
        <w:rPr>
          <w:rFonts w:ascii="Andes" w:eastAsiaTheme="minorHAnsi" w:hAnsi="Andes" w:cs="Arial"/>
          <w:color w:val="000000"/>
          <w:sz w:val="22"/>
          <w:szCs w:val="22"/>
        </w:rPr>
        <w:t xml:space="preserve">, y compris </w:t>
      </w:r>
      <w:r w:rsidR="006F2E90">
        <w:rPr>
          <w:rFonts w:ascii="Andes" w:eastAsiaTheme="minorHAnsi" w:hAnsi="Andes" w:cs="Arial"/>
          <w:color w:val="000000"/>
          <w:sz w:val="22"/>
          <w:szCs w:val="22"/>
        </w:rPr>
        <w:t>l’utilisation de Critères Notés</w:t>
      </w:r>
      <w:r w:rsidR="00EB5B9F">
        <w:rPr>
          <w:rFonts w:ascii="Andes" w:eastAsiaTheme="minorHAnsi" w:hAnsi="Andes" w:cs="Arial"/>
          <w:color w:val="000000"/>
          <w:sz w:val="22"/>
          <w:szCs w:val="22"/>
        </w:rPr>
        <w:t xml:space="preserve"> (et les pondérations)</w:t>
      </w:r>
      <w:r w:rsidR="006D3643">
        <w:rPr>
          <w:rFonts w:ascii="Andes" w:eastAsiaTheme="minorHAnsi" w:hAnsi="Andes" w:cs="Arial"/>
          <w:color w:val="000000"/>
          <w:sz w:val="22"/>
          <w:szCs w:val="22"/>
        </w:rPr>
        <w:t xml:space="preserve"> afin d’appuyer spécifiquement les considérations environnementales, sociales, économiques et climatiques</w:t>
      </w:r>
      <w:r w:rsidR="006F2E90">
        <w:rPr>
          <w:rFonts w:ascii="Andes" w:eastAsiaTheme="minorHAnsi" w:hAnsi="Andes" w:cs="Arial"/>
          <w:color w:val="000000"/>
          <w:sz w:val="22"/>
          <w:szCs w:val="22"/>
        </w:rPr>
        <w:t> ;</w:t>
      </w:r>
    </w:p>
    <w:p w14:paraId="28B93ED3" w14:textId="09AD0F88" w:rsidR="004029D5" w:rsidRPr="00833B69" w:rsidRDefault="002B55E4" w:rsidP="004029D5">
      <w:pPr>
        <w:pStyle w:val="Paragraphedeliste"/>
        <w:numPr>
          <w:ilvl w:val="0"/>
          <w:numId w:val="214"/>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dispos</w:t>
      </w:r>
      <w:r w:rsidRPr="00833B69">
        <w:rPr>
          <w:rFonts w:ascii="Andes" w:eastAsiaTheme="minorHAnsi" w:hAnsi="Andes" w:cs="Arial"/>
          <w:color w:val="000000"/>
          <w:sz w:val="22"/>
          <w:szCs w:val="22"/>
        </w:rPr>
        <w:t xml:space="preserve">itions </w:t>
      </w:r>
      <w:r w:rsidR="004029D5" w:rsidRPr="00833B69">
        <w:rPr>
          <w:rFonts w:ascii="Andes" w:eastAsiaTheme="minorHAnsi" w:hAnsi="Andes" w:cs="Arial"/>
          <w:color w:val="000000"/>
          <w:sz w:val="22"/>
          <w:szCs w:val="22"/>
        </w:rPr>
        <w:t>contra</w:t>
      </w:r>
      <w:r>
        <w:rPr>
          <w:rFonts w:ascii="Andes" w:eastAsiaTheme="minorHAnsi" w:hAnsi="Andes" w:cs="Arial"/>
          <w:color w:val="000000"/>
          <w:sz w:val="22"/>
          <w:szCs w:val="22"/>
        </w:rPr>
        <w:t>c</w:t>
      </w:r>
      <w:r w:rsidR="004029D5" w:rsidRPr="00833B69">
        <w:rPr>
          <w:rFonts w:ascii="Andes" w:eastAsiaTheme="minorHAnsi" w:hAnsi="Andes" w:cs="Arial"/>
          <w:color w:val="000000"/>
          <w:sz w:val="22"/>
          <w:szCs w:val="22"/>
        </w:rPr>
        <w:t>t</w:t>
      </w:r>
      <w:r>
        <w:rPr>
          <w:rFonts w:ascii="Andes" w:eastAsiaTheme="minorHAnsi" w:hAnsi="Andes" w:cs="Arial"/>
          <w:color w:val="000000"/>
          <w:sz w:val="22"/>
          <w:szCs w:val="22"/>
        </w:rPr>
        <w:t>uelle</w:t>
      </w:r>
      <w:r w:rsidR="004029D5" w:rsidRPr="00833B69">
        <w:rPr>
          <w:rFonts w:ascii="Andes" w:eastAsiaTheme="minorHAnsi" w:hAnsi="Andes" w:cs="Arial"/>
          <w:color w:val="000000"/>
          <w:sz w:val="22"/>
          <w:szCs w:val="22"/>
        </w:rPr>
        <w:t>s ;</w:t>
      </w:r>
    </w:p>
    <w:p w14:paraId="65ABF5B9" w14:textId="77777777" w:rsidR="004029D5" w:rsidRPr="00833B69" w:rsidRDefault="004029D5" w:rsidP="004029D5">
      <w:pPr>
        <w:pStyle w:val="Paragraphedeliste"/>
        <w:numPr>
          <w:ilvl w:val="0"/>
          <w:numId w:val="214"/>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suivi de l’exécution des contrats</w:t>
      </w:r>
    </w:p>
    <w:p w14:paraId="10FEA894" w14:textId="77777777" w:rsidR="004029D5" w:rsidRPr="00833B69" w:rsidRDefault="004029D5" w:rsidP="004029D5">
      <w:pPr>
        <w:pStyle w:val="Paragraphedeliste"/>
        <w:numPr>
          <w:ilvl w:val="1"/>
          <w:numId w:val="129"/>
        </w:numPr>
        <w:spacing w:before="0" w:line="240" w:lineRule="auto"/>
        <w:ind w:left="634" w:hanging="634"/>
        <w:contextualSpacing w:val="0"/>
        <w:rPr>
          <w:rFonts w:ascii="Andes" w:hAnsi="Andes" w:cs="Arial"/>
          <w:sz w:val="22"/>
          <w:szCs w:val="22"/>
        </w:rPr>
      </w:pPr>
      <w:r w:rsidRPr="00833B69">
        <w:rPr>
          <w:rFonts w:ascii="Andes" w:hAnsi="Andes" w:cs="Arial"/>
          <w:sz w:val="22"/>
          <w:szCs w:val="22"/>
        </w:rPr>
        <w:t>Les exigences de pratiques durables peuvent avoir des motivations diverses :</w:t>
      </w:r>
    </w:p>
    <w:p w14:paraId="1495FE99" w14:textId="77777777" w:rsidR="004029D5" w:rsidRPr="00833B69" w:rsidRDefault="004029D5" w:rsidP="004029D5">
      <w:pPr>
        <w:pStyle w:val="Paragraphedeliste"/>
        <w:numPr>
          <w:ilvl w:val="0"/>
          <w:numId w:val="215"/>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la politique de l’Emprunteur en matière de pérennité économique, sociale et environnementale.</w:t>
      </w:r>
    </w:p>
    <w:p w14:paraId="5954FC56" w14:textId="4F398C61" w:rsidR="004029D5" w:rsidRDefault="004029D5" w:rsidP="004029D5">
      <w:pPr>
        <w:pStyle w:val="Paragraphedeliste"/>
        <w:numPr>
          <w:ilvl w:val="0"/>
          <w:numId w:val="215"/>
        </w:numPr>
        <w:spacing w:before="0" w:after="20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les risques</w:t>
      </w:r>
      <w:r w:rsidR="00B5191E">
        <w:rPr>
          <w:rFonts w:ascii="Andes" w:eastAsiaTheme="minorHAnsi" w:hAnsi="Andes" w:cs="Arial"/>
          <w:color w:val="000000"/>
          <w:sz w:val="22"/>
          <w:szCs w:val="22"/>
        </w:rPr>
        <w:t xml:space="preserve">, </w:t>
      </w:r>
      <w:r w:rsidRPr="00833B69">
        <w:rPr>
          <w:rFonts w:ascii="Andes" w:eastAsiaTheme="minorHAnsi" w:hAnsi="Andes" w:cs="Arial"/>
          <w:color w:val="000000"/>
          <w:sz w:val="22"/>
          <w:szCs w:val="22"/>
        </w:rPr>
        <w:t xml:space="preserve"> </w:t>
      </w:r>
      <w:r w:rsidR="00846A01">
        <w:rPr>
          <w:rFonts w:ascii="Andes" w:eastAsiaTheme="minorHAnsi" w:hAnsi="Andes" w:cs="Arial"/>
          <w:color w:val="000000"/>
          <w:sz w:val="22"/>
          <w:szCs w:val="22"/>
        </w:rPr>
        <w:t xml:space="preserve">et les </w:t>
      </w:r>
      <w:r w:rsidRPr="00833B69">
        <w:rPr>
          <w:rFonts w:ascii="Andes" w:eastAsiaTheme="minorHAnsi" w:hAnsi="Andes" w:cs="Arial"/>
          <w:color w:val="000000"/>
          <w:sz w:val="22"/>
          <w:szCs w:val="22"/>
        </w:rPr>
        <w:t xml:space="preserve">opportunités identifiés par l’étude de marché </w:t>
      </w:r>
      <w:r w:rsidR="00A00C69">
        <w:rPr>
          <w:rFonts w:ascii="Andes" w:eastAsiaTheme="minorHAnsi" w:hAnsi="Andes" w:cs="Arial"/>
          <w:color w:val="000000"/>
          <w:sz w:val="22"/>
          <w:szCs w:val="22"/>
        </w:rPr>
        <w:t xml:space="preserve">et </w:t>
      </w:r>
      <w:r w:rsidRPr="00833B69">
        <w:rPr>
          <w:rFonts w:ascii="Andes" w:eastAsiaTheme="minorHAnsi" w:hAnsi="Andes" w:cs="Arial"/>
          <w:color w:val="000000"/>
          <w:sz w:val="22"/>
          <w:szCs w:val="22"/>
        </w:rPr>
        <w:t xml:space="preserve">de l’environnement opérationnel. </w:t>
      </w:r>
    </w:p>
    <w:p w14:paraId="0DC9C8C1" w14:textId="621E33CC" w:rsidR="00E54A7F" w:rsidRDefault="009B2602" w:rsidP="004029D5">
      <w:pPr>
        <w:pStyle w:val="Paragraphedeliste"/>
        <w:numPr>
          <w:ilvl w:val="0"/>
          <w:numId w:val="215"/>
        </w:numPr>
        <w:spacing w:before="0" w:after="20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 xml:space="preserve">Les évaluations </w:t>
      </w:r>
      <w:r w:rsidR="00017B53">
        <w:rPr>
          <w:rFonts w:ascii="Andes" w:eastAsiaTheme="minorHAnsi" w:hAnsi="Andes" w:cs="Arial"/>
          <w:color w:val="000000"/>
          <w:sz w:val="22"/>
          <w:szCs w:val="22"/>
        </w:rPr>
        <w:t xml:space="preserve">de l’impact </w:t>
      </w:r>
      <w:r>
        <w:rPr>
          <w:rFonts w:ascii="Andes" w:eastAsiaTheme="minorHAnsi" w:hAnsi="Andes" w:cs="Arial"/>
          <w:color w:val="000000"/>
          <w:sz w:val="22"/>
          <w:szCs w:val="22"/>
        </w:rPr>
        <w:t>économique, environneme</w:t>
      </w:r>
      <w:r w:rsidR="00017B53">
        <w:rPr>
          <w:rFonts w:ascii="Andes" w:eastAsiaTheme="minorHAnsi" w:hAnsi="Andes" w:cs="Arial"/>
          <w:color w:val="000000"/>
          <w:sz w:val="22"/>
          <w:szCs w:val="22"/>
        </w:rPr>
        <w:t>n</w:t>
      </w:r>
      <w:r>
        <w:rPr>
          <w:rFonts w:ascii="Andes" w:eastAsiaTheme="minorHAnsi" w:hAnsi="Andes" w:cs="Arial"/>
          <w:color w:val="000000"/>
          <w:sz w:val="22"/>
          <w:szCs w:val="22"/>
        </w:rPr>
        <w:t>tal et soc</w:t>
      </w:r>
      <w:r w:rsidR="00017B53">
        <w:rPr>
          <w:rFonts w:ascii="Andes" w:eastAsiaTheme="minorHAnsi" w:hAnsi="Andes" w:cs="Arial"/>
          <w:color w:val="000000"/>
          <w:sz w:val="22"/>
          <w:szCs w:val="22"/>
        </w:rPr>
        <w:t xml:space="preserve">ial ou </w:t>
      </w:r>
      <w:r w:rsidR="00A13E0C">
        <w:rPr>
          <w:rFonts w:ascii="Andes" w:eastAsiaTheme="minorHAnsi" w:hAnsi="Andes" w:cs="Arial"/>
          <w:color w:val="000000"/>
          <w:sz w:val="22"/>
          <w:szCs w:val="22"/>
        </w:rPr>
        <w:t>autres documents identifiant les risques et atténuations liés à la passation des marchés</w:t>
      </w:r>
      <w:r w:rsidR="00DA4A75">
        <w:rPr>
          <w:rFonts w:ascii="Andes" w:eastAsiaTheme="minorHAnsi" w:hAnsi="Andes" w:cs="Arial"/>
          <w:color w:val="000000"/>
          <w:sz w:val="22"/>
          <w:szCs w:val="22"/>
        </w:rPr>
        <w:t>, y compris ceux provenant de l’application par l’Emprunteur d</w:t>
      </w:r>
      <w:r w:rsidR="00115D1B">
        <w:rPr>
          <w:rFonts w:ascii="Andes" w:eastAsiaTheme="minorHAnsi" w:hAnsi="Andes" w:cs="Arial"/>
          <w:color w:val="000000"/>
          <w:sz w:val="22"/>
          <w:szCs w:val="22"/>
        </w:rPr>
        <w:t>u Cadre Environnemental et Social de la Banque.</w:t>
      </w:r>
    </w:p>
    <w:p w14:paraId="1C70B848" w14:textId="1C38D666" w:rsidR="00E54A7F" w:rsidRPr="00833B69" w:rsidRDefault="00115D1B" w:rsidP="004029D5">
      <w:pPr>
        <w:pStyle w:val="Paragraphedeliste"/>
        <w:numPr>
          <w:ilvl w:val="0"/>
          <w:numId w:val="215"/>
        </w:numPr>
        <w:spacing w:before="0" w:after="20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 xml:space="preserve">Les objectifs de l’Emprunteur </w:t>
      </w:r>
      <w:r w:rsidR="00C6732D">
        <w:rPr>
          <w:rFonts w:ascii="Andes" w:eastAsiaTheme="minorHAnsi" w:hAnsi="Andes" w:cs="Arial"/>
          <w:color w:val="000000"/>
          <w:sz w:val="22"/>
          <w:szCs w:val="22"/>
        </w:rPr>
        <w:t>liés</w:t>
      </w:r>
      <w:r w:rsidR="002A5953">
        <w:rPr>
          <w:rFonts w:ascii="Andes" w:eastAsiaTheme="minorHAnsi" w:hAnsi="Andes" w:cs="Arial"/>
          <w:color w:val="000000"/>
          <w:sz w:val="22"/>
          <w:szCs w:val="22"/>
        </w:rPr>
        <w:t xml:space="preserve"> </w:t>
      </w:r>
      <w:r w:rsidR="008B1C5E">
        <w:rPr>
          <w:rFonts w:ascii="Andes" w:eastAsiaTheme="minorHAnsi" w:hAnsi="Andes" w:cs="Arial"/>
          <w:color w:val="000000"/>
          <w:sz w:val="22"/>
          <w:szCs w:val="22"/>
        </w:rPr>
        <w:t xml:space="preserve">au Développement </w:t>
      </w:r>
      <w:r w:rsidR="00E35880">
        <w:rPr>
          <w:rFonts w:ascii="Andes" w:eastAsiaTheme="minorHAnsi" w:hAnsi="Andes" w:cs="Arial"/>
          <w:color w:val="000000"/>
          <w:sz w:val="22"/>
          <w:szCs w:val="22"/>
        </w:rPr>
        <w:t>Vert, Résilient et Inclusif, l’</w:t>
      </w:r>
      <w:r w:rsidR="000A7F1B">
        <w:rPr>
          <w:rFonts w:ascii="Andes" w:eastAsiaTheme="minorHAnsi" w:hAnsi="Andes" w:cs="Arial"/>
          <w:color w:val="000000"/>
          <w:sz w:val="22"/>
          <w:szCs w:val="22"/>
        </w:rPr>
        <w:t>accès</w:t>
      </w:r>
      <w:r w:rsidR="00E35880">
        <w:rPr>
          <w:rFonts w:ascii="Andes" w:eastAsiaTheme="minorHAnsi" w:hAnsi="Andes" w:cs="Arial"/>
          <w:color w:val="000000"/>
          <w:sz w:val="22"/>
          <w:szCs w:val="22"/>
        </w:rPr>
        <w:t xml:space="preserve"> </w:t>
      </w:r>
      <w:r w:rsidR="002E4A87">
        <w:rPr>
          <w:rFonts w:ascii="Andes" w:eastAsiaTheme="minorHAnsi" w:hAnsi="Andes" w:cs="Arial"/>
          <w:color w:val="000000"/>
          <w:sz w:val="22"/>
          <w:szCs w:val="22"/>
        </w:rPr>
        <w:t>universel, l’inclusion des genres etc.</w:t>
      </w:r>
    </w:p>
    <w:p w14:paraId="2C615765" w14:textId="77777777" w:rsidR="004029D5" w:rsidRPr="00833B69" w:rsidRDefault="004029D5" w:rsidP="004029D5">
      <w:pPr>
        <w:pStyle w:val="Paragraphedeliste"/>
        <w:numPr>
          <w:ilvl w:val="1"/>
          <w:numId w:val="129"/>
        </w:numPr>
        <w:spacing w:before="0" w:line="240" w:lineRule="auto"/>
        <w:ind w:left="634" w:hanging="634"/>
        <w:contextualSpacing w:val="0"/>
        <w:rPr>
          <w:rFonts w:ascii="Andes" w:hAnsi="Andes" w:cs="Arial"/>
          <w:sz w:val="22"/>
          <w:szCs w:val="22"/>
        </w:rPr>
      </w:pPr>
      <w:r w:rsidRPr="00833B69">
        <w:rPr>
          <w:rFonts w:ascii="Andes" w:hAnsi="Andes" w:cs="Arial"/>
          <w:sz w:val="22"/>
          <w:szCs w:val="22"/>
        </w:rPr>
        <w:t xml:space="preserve">Les exigences de pratiques durables de la passation de marchés doivent s’appuyer sur des faits probants (c’est-à-dire confirmés par des données) et sur des critères existants en matière de label social ou d’écolabel, ou des informations recueillies auprès des parties prenantes du secteur industriel, de la société civile et d’agences de développement internationales. </w:t>
      </w:r>
    </w:p>
    <w:p w14:paraId="2D62839A" w14:textId="06298B4C" w:rsidR="004029D5" w:rsidRPr="00833B69" w:rsidRDefault="004029D5" w:rsidP="004029D5">
      <w:pPr>
        <w:pStyle w:val="Paragraphedeliste"/>
        <w:numPr>
          <w:ilvl w:val="1"/>
          <w:numId w:val="129"/>
        </w:numPr>
        <w:spacing w:before="0" w:line="240" w:lineRule="auto"/>
        <w:ind w:left="634" w:hanging="634"/>
        <w:contextualSpacing w:val="0"/>
        <w:rPr>
          <w:rFonts w:ascii="Andes" w:hAnsi="Andes" w:cs="Arial"/>
          <w:sz w:val="22"/>
          <w:szCs w:val="22"/>
        </w:rPr>
      </w:pPr>
      <w:r w:rsidRPr="00833B69">
        <w:rPr>
          <w:rFonts w:ascii="Andes" w:hAnsi="Andes" w:cs="Arial"/>
          <w:sz w:val="22"/>
          <w:szCs w:val="22"/>
        </w:rPr>
        <w:lastRenderedPageBreak/>
        <w:t>En matière de pratiques durables de la passation de marchés, l’Emprunteur ne doit pas poser des conditions qui fassent appel à des solutions propriétaires ou auxquelles un seul</w:t>
      </w:r>
      <w:r w:rsidR="00210119">
        <w:rPr>
          <w:rFonts w:ascii="Andes" w:hAnsi="Andes" w:cs="Arial"/>
          <w:sz w:val="22"/>
          <w:szCs w:val="22"/>
        </w:rPr>
        <w:t xml:space="preserve"> Soumissionnaire/Proposant</w:t>
      </w:r>
      <w:r w:rsidRPr="00833B69">
        <w:rPr>
          <w:rFonts w:ascii="Andes" w:hAnsi="Andes" w:cs="Arial"/>
          <w:sz w:val="22"/>
          <w:szCs w:val="22"/>
        </w:rPr>
        <w:t xml:space="preserve"> ait accès, sauf si ces conditions sont justifiées d’une manière jugée satisfaisante par la Banque. </w:t>
      </w:r>
    </w:p>
    <w:p w14:paraId="375F707B" w14:textId="2770E8C3" w:rsidR="004029D5" w:rsidRPr="00833B69" w:rsidRDefault="004029D5" w:rsidP="004029D5">
      <w:pPr>
        <w:pStyle w:val="Paragraphedeliste"/>
        <w:numPr>
          <w:ilvl w:val="1"/>
          <w:numId w:val="129"/>
        </w:numPr>
        <w:spacing w:before="0" w:line="240" w:lineRule="auto"/>
        <w:ind w:left="634" w:hanging="634"/>
        <w:contextualSpacing w:val="0"/>
        <w:rPr>
          <w:rFonts w:ascii="Andes" w:hAnsi="Andes" w:cs="Arial"/>
          <w:sz w:val="22"/>
          <w:szCs w:val="22"/>
        </w:rPr>
      </w:pPr>
      <w:r w:rsidRPr="00833B69">
        <w:rPr>
          <w:rFonts w:ascii="Andes" w:hAnsi="Andes" w:cs="Arial"/>
          <w:sz w:val="22"/>
          <w:szCs w:val="22"/>
        </w:rPr>
        <w:t>Si des conditions de pratiques durables sont stipulées pour la passation des marchés, les critères d’évaluation et de qualification correspondants seront précisés dans les dossiers d’</w:t>
      </w:r>
      <w:r w:rsidR="00032841">
        <w:rPr>
          <w:rFonts w:ascii="Andes" w:hAnsi="Andes" w:cs="Arial"/>
          <w:sz w:val="22"/>
          <w:szCs w:val="22"/>
        </w:rPr>
        <w:t>A</w:t>
      </w:r>
      <w:r w:rsidRPr="00833B69">
        <w:rPr>
          <w:rFonts w:ascii="Andes" w:hAnsi="Andes" w:cs="Arial"/>
          <w:sz w:val="22"/>
          <w:szCs w:val="22"/>
        </w:rPr>
        <w:t>ppel d’</w:t>
      </w:r>
      <w:r w:rsidR="00032841">
        <w:rPr>
          <w:rFonts w:ascii="Andes" w:hAnsi="Andes" w:cs="Arial"/>
          <w:sz w:val="22"/>
          <w:szCs w:val="22"/>
        </w:rPr>
        <w:t>O</w:t>
      </w:r>
      <w:r w:rsidRPr="00833B69">
        <w:rPr>
          <w:rFonts w:ascii="Andes" w:hAnsi="Andes" w:cs="Arial"/>
          <w:sz w:val="22"/>
          <w:szCs w:val="22"/>
        </w:rPr>
        <w:t>ffres ou d’</w:t>
      </w:r>
      <w:r w:rsidR="00032841">
        <w:rPr>
          <w:rFonts w:ascii="Andes" w:hAnsi="Andes" w:cs="Arial"/>
          <w:sz w:val="22"/>
          <w:szCs w:val="22"/>
        </w:rPr>
        <w:t>A</w:t>
      </w:r>
      <w:r w:rsidRPr="00833B69">
        <w:rPr>
          <w:rFonts w:ascii="Andes" w:hAnsi="Andes" w:cs="Arial"/>
          <w:sz w:val="22"/>
          <w:szCs w:val="22"/>
        </w:rPr>
        <w:t xml:space="preserve">ppel à </w:t>
      </w:r>
      <w:r w:rsidR="00032841">
        <w:rPr>
          <w:rFonts w:ascii="Andes" w:hAnsi="Andes" w:cs="Arial"/>
          <w:sz w:val="22"/>
          <w:szCs w:val="22"/>
        </w:rPr>
        <w:t>P</w:t>
      </w:r>
      <w:r w:rsidRPr="00833B69">
        <w:rPr>
          <w:rFonts w:ascii="Andes" w:hAnsi="Andes" w:cs="Arial"/>
          <w:sz w:val="22"/>
          <w:szCs w:val="22"/>
        </w:rPr>
        <w:t xml:space="preserve">ropositions pour permettre l’évaluation des aspects relatifs aux pratiques durables des </w:t>
      </w:r>
      <w:r w:rsidR="00024761">
        <w:rPr>
          <w:rFonts w:ascii="Andes" w:hAnsi="Andes" w:cs="Arial"/>
          <w:sz w:val="22"/>
          <w:szCs w:val="22"/>
        </w:rPr>
        <w:t>O</w:t>
      </w:r>
      <w:r w:rsidRPr="00833B69">
        <w:rPr>
          <w:rFonts w:ascii="Andes" w:hAnsi="Andes" w:cs="Arial"/>
          <w:sz w:val="22"/>
          <w:szCs w:val="22"/>
        </w:rPr>
        <w:t xml:space="preserve">ffres ou </w:t>
      </w:r>
      <w:r w:rsidR="00024761">
        <w:rPr>
          <w:rFonts w:ascii="Andes" w:hAnsi="Andes" w:cs="Arial"/>
          <w:sz w:val="22"/>
          <w:szCs w:val="22"/>
        </w:rPr>
        <w:t>P</w:t>
      </w:r>
      <w:r w:rsidRPr="00833B69">
        <w:rPr>
          <w:rFonts w:ascii="Andes" w:hAnsi="Andes" w:cs="Arial"/>
          <w:sz w:val="22"/>
          <w:szCs w:val="22"/>
        </w:rPr>
        <w:t>ropositions</w:t>
      </w:r>
      <w:r w:rsidR="00024761">
        <w:rPr>
          <w:rFonts w:ascii="Andes" w:hAnsi="Andes" w:cs="Arial"/>
          <w:sz w:val="22"/>
          <w:szCs w:val="22"/>
        </w:rPr>
        <w:t xml:space="preserve"> – ex. </w:t>
      </w:r>
      <w:r w:rsidR="0083289E">
        <w:rPr>
          <w:rFonts w:ascii="Andes" w:hAnsi="Andes" w:cs="Arial"/>
          <w:sz w:val="22"/>
          <w:szCs w:val="22"/>
        </w:rPr>
        <w:t xml:space="preserve">la </w:t>
      </w:r>
      <w:r w:rsidR="008225BA">
        <w:rPr>
          <w:rFonts w:ascii="Andes" w:hAnsi="Andes" w:cs="Arial"/>
          <w:sz w:val="22"/>
          <w:szCs w:val="22"/>
        </w:rPr>
        <w:t>Stratégie</w:t>
      </w:r>
      <w:r w:rsidR="0083289E">
        <w:rPr>
          <w:rFonts w:ascii="Andes" w:hAnsi="Andes" w:cs="Arial"/>
          <w:sz w:val="22"/>
          <w:szCs w:val="22"/>
        </w:rPr>
        <w:t xml:space="preserve"> de Gestion </w:t>
      </w:r>
      <w:r w:rsidR="008225BA">
        <w:rPr>
          <w:rFonts w:ascii="Andes" w:hAnsi="Andes" w:cs="Arial"/>
          <w:sz w:val="22"/>
          <w:szCs w:val="22"/>
        </w:rPr>
        <w:t xml:space="preserve">Environnementale et Sociale </w:t>
      </w:r>
      <w:r w:rsidR="00CB7031">
        <w:rPr>
          <w:rFonts w:ascii="Andes" w:hAnsi="Andes" w:cs="Arial"/>
          <w:sz w:val="22"/>
          <w:szCs w:val="22"/>
        </w:rPr>
        <w:t>du Soumissionnaire/Proposant et le</w:t>
      </w:r>
      <w:r w:rsidR="00C108E2">
        <w:rPr>
          <w:rFonts w:ascii="Andes" w:hAnsi="Andes" w:cs="Arial"/>
          <w:sz w:val="22"/>
          <w:szCs w:val="22"/>
        </w:rPr>
        <w:t xml:space="preserve"> Plan de Mise en </w:t>
      </w:r>
      <w:r w:rsidR="00B1606A">
        <w:rPr>
          <w:rFonts w:ascii="Andes" w:hAnsi="Andes" w:cs="Arial"/>
          <w:sz w:val="22"/>
          <w:szCs w:val="22"/>
        </w:rPr>
        <w:t>Œuvre</w:t>
      </w:r>
      <w:r w:rsidR="000A7F1B">
        <w:rPr>
          <w:rFonts w:ascii="Andes" w:hAnsi="Andes" w:cs="Arial"/>
          <w:sz w:val="22"/>
          <w:szCs w:val="22"/>
        </w:rPr>
        <w:t xml:space="preserve"> </w:t>
      </w:r>
      <w:r w:rsidR="00B1606A">
        <w:rPr>
          <w:rFonts w:ascii="Andes" w:hAnsi="Andes" w:cs="Arial"/>
          <w:sz w:val="22"/>
          <w:szCs w:val="22"/>
        </w:rPr>
        <w:t>la méthodologie des travaux</w:t>
      </w:r>
      <w:r w:rsidR="00D106FE">
        <w:rPr>
          <w:rFonts w:ascii="Andes" w:hAnsi="Andes" w:cs="Arial"/>
          <w:sz w:val="22"/>
          <w:szCs w:val="22"/>
        </w:rPr>
        <w:t>, le personnel clé, le code de conduite etc</w:t>
      </w:r>
      <w:r w:rsidRPr="00833B69">
        <w:rPr>
          <w:rFonts w:ascii="Andes" w:hAnsi="Andes" w:cs="Arial"/>
          <w:sz w:val="22"/>
          <w:szCs w:val="22"/>
        </w:rPr>
        <w:t>. L’Emprunteur peut adopter des normes internationales de développement durable couvrant un large éventail de types de produits et services, à condition que lesdites normes soient conformes aux Principes Fondamentaux de</w:t>
      </w:r>
      <w:r>
        <w:rPr>
          <w:rFonts w:ascii="Andes" w:hAnsi="Andes" w:cs="Arial"/>
          <w:sz w:val="22"/>
          <w:szCs w:val="22"/>
        </w:rPr>
        <w:t xml:space="preserve"> </w:t>
      </w:r>
      <w:r w:rsidRPr="00833B69">
        <w:rPr>
          <w:rFonts w:ascii="Andes" w:hAnsi="Andes" w:cs="Arial"/>
          <w:sz w:val="22"/>
          <w:szCs w:val="22"/>
        </w:rPr>
        <w:t>Passation des Marchés de la Banque. Des programmes de certification ou d’accréditation de renommée internationale peuvent être utilisés pour prouver les capacités d</w:t>
      </w:r>
      <w:r w:rsidR="000948BF">
        <w:rPr>
          <w:rFonts w:ascii="Andes" w:hAnsi="Andes" w:cs="Arial"/>
          <w:sz w:val="22"/>
          <w:szCs w:val="22"/>
        </w:rPr>
        <w:t>u Soumissionnaire/Proposant</w:t>
      </w:r>
      <w:r w:rsidRPr="00833B69">
        <w:rPr>
          <w:rFonts w:ascii="Andes" w:hAnsi="Andes" w:cs="Arial"/>
          <w:sz w:val="22"/>
          <w:szCs w:val="22"/>
        </w:rPr>
        <w:t xml:space="preserve"> à appliquer des mesures de management environnemental. Ces programmes peuvent s’appuyer sur les normes ISO 14001 ou d’autres systèmes en conformité avec les normes internationales de certification et de management environnemental. Les </w:t>
      </w:r>
      <w:r w:rsidR="009A25A1">
        <w:rPr>
          <w:rFonts w:ascii="Andes" w:hAnsi="Andes" w:cs="Arial"/>
          <w:sz w:val="22"/>
          <w:szCs w:val="22"/>
        </w:rPr>
        <w:t>Soumissionnaires/Proposants</w:t>
      </w:r>
      <w:r w:rsidR="000D4836">
        <w:rPr>
          <w:rFonts w:ascii="Andes" w:hAnsi="Andes" w:cs="Arial"/>
          <w:sz w:val="22"/>
          <w:szCs w:val="22"/>
        </w:rPr>
        <w:t xml:space="preserve"> </w:t>
      </w:r>
      <w:r w:rsidRPr="00833B69">
        <w:rPr>
          <w:rFonts w:ascii="Andes" w:hAnsi="Andes" w:cs="Arial"/>
          <w:sz w:val="22"/>
          <w:szCs w:val="22"/>
        </w:rPr>
        <w:t xml:space="preserve">qui ne sont pas certifiés peuvent être en mesure de prouver par un autre moyen </w:t>
      </w:r>
      <w:r w:rsidR="00632397" w:rsidRPr="00833B69">
        <w:rPr>
          <w:rFonts w:ascii="Andes" w:hAnsi="Andes" w:cs="Arial"/>
          <w:sz w:val="22"/>
          <w:szCs w:val="22"/>
        </w:rPr>
        <w:t>qu’</w:t>
      </w:r>
      <w:r w:rsidR="00632397">
        <w:rPr>
          <w:rFonts w:ascii="Andes" w:hAnsi="Andes" w:cs="Arial"/>
          <w:sz w:val="22"/>
          <w:szCs w:val="22"/>
        </w:rPr>
        <w:t>il</w:t>
      </w:r>
      <w:r w:rsidR="00632397" w:rsidRPr="00833B69">
        <w:rPr>
          <w:rFonts w:ascii="Andes" w:hAnsi="Andes" w:cs="Arial"/>
          <w:sz w:val="22"/>
          <w:szCs w:val="22"/>
        </w:rPr>
        <w:t xml:space="preserve">s </w:t>
      </w:r>
      <w:r w:rsidRPr="00833B69">
        <w:rPr>
          <w:rFonts w:ascii="Andes" w:hAnsi="Andes" w:cs="Arial"/>
          <w:sz w:val="22"/>
          <w:szCs w:val="22"/>
        </w:rPr>
        <w:t xml:space="preserve">appliquent des mesures de </w:t>
      </w:r>
      <w:r w:rsidR="00C457BF">
        <w:rPr>
          <w:rFonts w:ascii="Andes" w:hAnsi="Andes" w:cs="Arial"/>
          <w:sz w:val="22"/>
          <w:szCs w:val="22"/>
        </w:rPr>
        <w:t xml:space="preserve">gestion </w:t>
      </w:r>
      <w:r w:rsidR="00213153">
        <w:rPr>
          <w:rFonts w:ascii="Andes" w:hAnsi="Andes" w:cs="Arial"/>
          <w:sz w:val="22"/>
          <w:szCs w:val="22"/>
        </w:rPr>
        <w:t>de durabilité</w:t>
      </w:r>
      <w:r w:rsidRPr="00833B69">
        <w:rPr>
          <w:rFonts w:ascii="Andes" w:hAnsi="Andes" w:cs="Arial"/>
          <w:sz w:val="22"/>
          <w:szCs w:val="22"/>
        </w:rPr>
        <w:t xml:space="preserve"> équivalentes. </w:t>
      </w:r>
    </w:p>
    <w:p w14:paraId="636AE7BD" w14:textId="77777777" w:rsidR="004029D5" w:rsidRPr="00833B69" w:rsidRDefault="004029D5" w:rsidP="004029D5">
      <w:pPr>
        <w:pStyle w:val="Paragraphedeliste"/>
        <w:numPr>
          <w:ilvl w:val="1"/>
          <w:numId w:val="129"/>
        </w:numPr>
        <w:spacing w:before="0" w:line="240" w:lineRule="auto"/>
        <w:ind w:left="634" w:hanging="634"/>
        <w:contextualSpacing w:val="0"/>
        <w:rPr>
          <w:rFonts w:ascii="Andes" w:hAnsi="Andes" w:cs="Arial"/>
          <w:sz w:val="22"/>
          <w:szCs w:val="22"/>
        </w:rPr>
      </w:pPr>
      <w:r w:rsidRPr="00833B69">
        <w:rPr>
          <w:rFonts w:ascii="Andes" w:hAnsi="Andes" w:cs="Arial"/>
          <w:sz w:val="22"/>
          <w:szCs w:val="22"/>
        </w:rPr>
        <w:t xml:space="preserve">L’Emprunteur peut inscrire des prescriptions d’ordre économique, environnemental et social dans un contrat, à condition qu’elles soient conformes à la politique de la Banque.  </w:t>
      </w:r>
    </w:p>
    <w:p w14:paraId="17491B53" w14:textId="77777777" w:rsidR="004029D5" w:rsidRPr="00833B69" w:rsidRDefault="004029D5" w:rsidP="004029D5">
      <w:pPr>
        <w:pStyle w:val="Paragraphedeliste"/>
        <w:numPr>
          <w:ilvl w:val="1"/>
          <w:numId w:val="129"/>
        </w:numPr>
        <w:spacing w:before="0" w:line="240" w:lineRule="auto"/>
        <w:ind w:left="634" w:hanging="634"/>
        <w:contextualSpacing w:val="0"/>
        <w:rPr>
          <w:rFonts w:ascii="Andes" w:hAnsi="Andes" w:cs="Arial"/>
          <w:sz w:val="22"/>
          <w:szCs w:val="22"/>
        </w:rPr>
      </w:pPr>
      <w:r w:rsidRPr="00833B69">
        <w:rPr>
          <w:rFonts w:ascii="Andes" w:hAnsi="Andes" w:cs="Arial"/>
          <w:sz w:val="22"/>
          <w:szCs w:val="22"/>
        </w:rPr>
        <w:t>Si des conditions de pratiques durables sont inscrites dans un contrat, les indicateurs de performance clés devront tenir compte de ces aspects pour en permettre le suivi.</w:t>
      </w:r>
    </w:p>
    <w:p w14:paraId="55159B16" w14:textId="77777777" w:rsidR="00F9558A" w:rsidRPr="004029D5" w:rsidRDefault="00F9558A" w:rsidP="00D6243A">
      <w:pPr>
        <w:spacing w:before="0" w:after="200"/>
        <w:contextualSpacing w:val="0"/>
        <w:rPr>
          <w:rFonts w:ascii="Andes" w:hAnsi="Andes" w:cs="Arial"/>
          <w:szCs w:val="24"/>
          <w:lang w:eastAsia="en-GB"/>
        </w:rPr>
      </w:pPr>
    </w:p>
    <w:p w14:paraId="38EB7E7F" w14:textId="77777777" w:rsidR="00512FEE" w:rsidRPr="00B1581D" w:rsidRDefault="00512FEE" w:rsidP="00A5557C">
      <w:pPr>
        <w:jc w:val="left"/>
        <w:rPr>
          <w:rFonts w:ascii="Andes" w:hAnsi="Andes" w:cs="Arial"/>
        </w:rPr>
      </w:pPr>
    </w:p>
    <w:p w14:paraId="3D60B05E" w14:textId="77777777" w:rsidR="00512FEE" w:rsidRPr="00B1581D" w:rsidRDefault="00512FEE" w:rsidP="00A5557C">
      <w:pPr>
        <w:jc w:val="left"/>
        <w:rPr>
          <w:rFonts w:ascii="Andes" w:hAnsi="Andes" w:cs="Arial"/>
        </w:rPr>
      </w:pPr>
    </w:p>
    <w:p w14:paraId="415AE502" w14:textId="77777777" w:rsidR="00F74207" w:rsidRPr="00B1581D" w:rsidRDefault="00F74207" w:rsidP="00A5557C">
      <w:pPr>
        <w:jc w:val="left"/>
        <w:rPr>
          <w:rFonts w:ascii="Andes" w:hAnsi="Andes" w:cs="Arial"/>
        </w:rPr>
        <w:sectPr w:rsidR="00F74207" w:rsidRPr="00B1581D" w:rsidSect="000B5EC0">
          <w:headerReference w:type="default" r:id="rId34"/>
          <w:pgSz w:w="12240" w:h="15840"/>
          <w:pgMar w:top="1872" w:right="1440" w:bottom="1440" w:left="1411" w:header="720" w:footer="720" w:gutter="0"/>
          <w:cols w:space="720"/>
          <w:docGrid w:linePitch="360"/>
        </w:sectPr>
      </w:pPr>
    </w:p>
    <w:p w14:paraId="571055EB" w14:textId="77777777" w:rsidR="00C811D2" w:rsidRPr="007656EB" w:rsidRDefault="004A283E" w:rsidP="000A5DC6">
      <w:pPr>
        <w:pStyle w:val="Titre1"/>
        <w:spacing w:before="0" w:after="0" w:line="240" w:lineRule="auto"/>
        <w:ind w:left="-90"/>
        <w:jc w:val="center"/>
        <w:rPr>
          <w:rFonts w:ascii="Andes" w:hAnsi="Andes" w:cs="Arial"/>
          <w:sz w:val="32"/>
          <w:szCs w:val="32"/>
          <w:lang w:val="en-US"/>
        </w:rPr>
      </w:pPr>
      <w:bookmarkStart w:id="3549" w:name="_Toc453170987"/>
      <w:bookmarkStart w:id="3550" w:name="_Toc453544335"/>
      <w:r w:rsidRPr="004A283E">
        <w:rPr>
          <w:rFonts w:ascii="Andes" w:hAnsi="Andes" w:cs="Microsoft Sans Serif"/>
          <w:caps/>
          <w:noProof/>
          <w:color w:val="002060"/>
          <w:lang w:val="en-US"/>
        </w:rPr>
        <w:lastRenderedPageBreak/>
        <mc:AlternateContent>
          <mc:Choice Requires="wps">
            <w:drawing>
              <wp:anchor distT="0" distB="0" distL="114300" distR="114300" simplePos="0" relativeHeight="251663360" behindDoc="0" locked="0" layoutInCell="1" allowOverlap="1" wp14:anchorId="5E90B15D" wp14:editId="04F70759">
                <wp:simplePos x="0" y="0"/>
                <wp:positionH relativeFrom="page">
                  <wp:posOffset>-164465</wp:posOffset>
                </wp:positionH>
                <wp:positionV relativeFrom="paragraph">
                  <wp:posOffset>-1180836</wp:posOffset>
                </wp:positionV>
                <wp:extent cx="8151963" cy="1466491"/>
                <wp:effectExtent l="0" t="0" r="1905" b="635"/>
                <wp:wrapNone/>
                <wp:docPr id="26" name="Rectangle 26"/>
                <wp:cNvGraphicFramePr/>
                <a:graphic xmlns:a="http://schemas.openxmlformats.org/drawingml/2006/main">
                  <a:graphicData uri="http://schemas.microsoft.com/office/word/2010/wordprocessingShape">
                    <wps:wsp>
                      <wps:cNvSpPr/>
                      <wps:spPr>
                        <a:xfrm>
                          <a:off x="0" y="0"/>
                          <a:ext cx="8151963" cy="1466491"/>
                        </a:xfrm>
                        <a:prstGeom prst="rect">
                          <a:avLst/>
                        </a:prstGeom>
                        <a:solidFill>
                          <a:srgbClr val="C45911"/>
                        </a:solidFill>
                        <a:ln w="12700" cap="flat" cmpd="sng" algn="ctr">
                          <a:noFill/>
                          <a:prstDash val="solid"/>
                          <a:miter lim="800000"/>
                        </a:ln>
                        <a:effectLst/>
                      </wps:spPr>
                      <wps:txbx>
                        <w:txbxContent>
                          <w:p w14:paraId="2DD5CA24" w14:textId="3E869D20" w:rsidR="00A41794" w:rsidRPr="008F0584" w:rsidRDefault="00A41794" w:rsidP="00E465D8">
                            <w:pPr>
                              <w:tabs>
                                <w:tab w:val="left" w:pos="3690"/>
                              </w:tabs>
                              <w:ind w:left="1530"/>
                              <w:rPr>
                                <w:rFonts w:ascii="Andes" w:hAnsi="Andes"/>
                                <w:color w:val="FFFFFF" w:themeColor="background1"/>
                                <w:sz w:val="44"/>
                                <w:szCs w:val="44"/>
                              </w:rPr>
                            </w:pPr>
                            <w:r>
                              <w:rPr>
                                <w:rFonts w:ascii="Andes" w:hAnsi="Andes"/>
                                <w:color w:val="FFFFFF" w:themeColor="background1"/>
                                <w:sz w:val="44"/>
                                <w:szCs w:val="44"/>
                              </w:rPr>
                              <w:t>Annexe VIII.  Types de contrat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0B15D" id="Rectangle 26" o:spid="_x0000_s1044" style="position:absolute;left:0;text-align:left;margin-left:-12.95pt;margin-top:-93pt;width:641.9pt;height:115.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" fillcolor="#c45911" stroked="f" strokeweight="1pt">
                <v:textbox>
                  <w:txbxContent>
                    <w:p w14:paraId="2DD5CA24" w14:textId="3E869D20" w:rsidR="00A41794" w:rsidRPr="008F0584" w:rsidRDefault="00A41794" w:rsidP="00E465D8">
                      <w:pPr>
                        <w:tabs>
                          <w:tab w:val="left" w:pos="3690"/>
                        </w:tabs>
                        <w:ind w:left="1530"/>
                        <w:rPr>
                          <w:rFonts w:ascii="Andes" w:hAnsi="Andes"/>
                          <w:color w:val="FFFFFF" w:themeColor="background1"/>
                          <w:sz w:val="44"/>
                          <w:szCs w:val="44"/>
                        </w:rPr>
                      </w:pPr>
                      <w:r>
                        <w:rPr>
                          <w:rFonts w:ascii="Andes" w:hAnsi="Andes"/>
                          <w:color w:val="FFFFFF" w:themeColor="background1"/>
                          <w:sz w:val="44"/>
                          <w:szCs w:val="44"/>
                        </w:rPr>
                        <w:t>Annexe VIII.  Types de contrat</w:t>
                      </w:r>
                    </w:p>
                  </w:txbxContent>
                </v:textbox>
                <w10:wrap anchorx="page"/>
              </v:rect>
            </w:pict>
          </mc:Fallback>
        </mc:AlternateContent>
      </w:r>
      <w:r w:rsidR="00C811D2" w:rsidRPr="007656EB">
        <w:rPr>
          <w:rFonts w:ascii="Andes" w:hAnsi="Andes" w:cs="Arial"/>
          <w:sz w:val="32"/>
          <w:szCs w:val="32"/>
          <w:lang w:val="en-US"/>
        </w:rPr>
        <w:t>Annex VIII</w:t>
      </w:r>
      <w:r w:rsidR="00687669">
        <w:rPr>
          <w:rFonts w:ascii="Andes" w:hAnsi="Andes" w:cs="Arial"/>
          <w:sz w:val="32"/>
          <w:szCs w:val="32"/>
          <w:lang w:val="en-US"/>
        </w:rPr>
        <w:t xml:space="preserve">.  </w:t>
      </w:r>
      <w:r w:rsidR="00C811D2" w:rsidRPr="007656EB">
        <w:rPr>
          <w:rFonts w:ascii="Andes" w:hAnsi="Andes" w:cs="Arial"/>
          <w:sz w:val="32"/>
          <w:szCs w:val="32"/>
          <w:lang w:val="en-US"/>
        </w:rPr>
        <w:t>Contract Types</w:t>
      </w:r>
      <w:bookmarkEnd w:id="3549"/>
      <w:bookmarkEnd w:id="3550"/>
    </w:p>
    <w:p w14:paraId="7C6F9216" w14:textId="77777777" w:rsidR="005F58B3" w:rsidRPr="00833B69" w:rsidRDefault="005F58B3" w:rsidP="005F58B3">
      <w:pPr>
        <w:pStyle w:val="Paragraphedeliste"/>
        <w:numPr>
          <w:ilvl w:val="0"/>
          <w:numId w:val="130"/>
        </w:numPr>
        <w:spacing w:before="600" w:line="240" w:lineRule="auto"/>
        <w:ind w:left="635" w:hanging="635"/>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Objet</w:t>
      </w:r>
    </w:p>
    <w:p w14:paraId="5F445CC9" w14:textId="77777777" w:rsidR="005F58B3" w:rsidRPr="00833B69" w:rsidRDefault="005F58B3" w:rsidP="005F58B3">
      <w:pPr>
        <w:pStyle w:val="Paragraphedeliste"/>
        <w:numPr>
          <w:ilvl w:val="0"/>
          <w:numId w:val="86"/>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La présente Annexe dresse la liste des différents types de contrat utilisables dans le cadre de la passation des marchés financés par la Banque. </w:t>
      </w:r>
    </w:p>
    <w:p w14:paraId="5CA88287" w14:textId="335393B7" w:rsidR="005F58B3" w:rsidRPr="00833B69" w:rsidRDefault="00B67437" w:rsidP="005F58B3">
      <w:pPr>
        <w:pStyle w:val="Paragraphedeliste"/>
        <w:numPr>
          <w:ilvl w:val="0"/>
          <w:numId w:val="130"/>
        </w:numPr>
        <w:spacing w:before="240" w:line="240" w:lineRule="auto"/>
        <w:ind w:left="634" w:hanging="634"/>
        <w:contextualSpacing w:val="0"/>
        <w:rPr>
          <w:rFonts w:ascii="Andes" w:eastAsiaTheme="majorEastAsia" w:hAnsi="Andes"/>
          <w:b/>
          <w:color w:val="C45911"/>
          <w:sz w:val="32"/>
          <w:szCs w:val="32"/>
        </w:rPr>
      </w:pPr>
      <w:r>
        <w:rPr>
          <w:rFonts w:ascii="Andes" w:eastAsiaTheme="majorEastAsia" w:hAnsi="Andes"/>
          <w:b/>
          <w:color w:val="C45911"/>
          <w:sz w:val="32"/>
          <w:szCs w:val="32"/>
        </w:rPr>
        <w:t>Exigences</w:t>
      </w:r>
    </w:p>
    <w:p w14:paraId="47A46A61" w14:textId="77777777" w:rsidR="005F58B3" w:rsidRPr="00833B69" w:rsidRDefault="005F58B3" w:rsidP="005F58B3">
      <w:pPr>
        <w:pStyle w:val="Paragraphedeliste"/>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Le choix du type et des modalités du contrat est déterminé par l’optimisation des ressources et l’adaptation à l’objectif visé. </w:t>
      </w:r>
    </w:p>
    <w:p w14:paraId="0991F651" w14:textId="77777777" w:rsidR="005F58B3" w:rsidRPr="00833B69" w:rsidRDefault="005F58B3" w:rsidP="005F58B3">
      <w:pPr>
        <w:pStyle w:val="Paragraphedeliste"/>
        <w:numPr>
          <w:ilvl w:val="0"/>
          <w:numId w:val="130"/>
        </w:numPr>
        <w:spacing w:before="240" w:line="240" w:lineRule="auto"/>
        <w:ind w:left="634" w:hanging="634"/>
        <w:contextualSpacing w:val="0"/>
        <w:rPr>
          <w:rFonts w:ascii="Andes" w:eastAsiaTheme="majorEastAsia" w:hAnsi="Andes"/>
          <w:b/>
          <w:color w:val="C45911"/>
          <w:sz w:val="32"/>
          <w:szCs w:val="32"/>
        </w:rPr>
      </w:pPr>
      <w:bookmarkStart w:id="3551" w:name="_Toc392000081"/>
      <w:bookmarkStart w:id="3552" w:name="_Toc392590919"/>
      <w:r w:rsidRPr="00833B69">
        <w:rPr>
          <w:rFonts w:ascii="Andes" w:eastAsiaTheme="majorEastAsia" w:hAnsi="Andes"/>
          <w:b/>
          <w:color w:val="C45911"/>
          <w:sz w:val="32"/>
          <w:szCs w:val="32"/>
        </w:rPr>
        <w:t xml:space="preserve">Types de contrat </w:t>
      </w:r>
    </w:p>
    <w:p w14:paraId="3FA32431" w14:textId="77777777" w:rsidR="005F58B3" w:rsidRPr="00833B69" w:rsidRDefault="005F58B3" w:rsidP="005F58B3">
      <w:pPr>
        <w:pStyle w:val="Paragraphedeliste"/>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t>La liste ci-dessous, non exhaustive, comprend les types de contrat les plus couramment utilisés sur la base des conditions de paiement.</w:t>
      </w:r>
    </w:p>
    <w:bookmarkEnd w:id="3551"/>
    <w:bookmarkEnd w:id="3552"/>
    <w:p w14:paraId="70B0506D" w14:textId="77777777" w:rsidR="005F58B3" w:rsidRPr="00833B69" w:rsidRDefault="005F58B3" w:rsidP="005F58B3">
      <w:pPr>
        <w:pStyle w:val="Paragraphedeliste"/>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Contrats à rémunération forfaitaire</w:t>
      </w:r>
    </w:p>
    <w:p w14:paraId="370A63A1" w14:textId="77777777" w:rsidR="005F58B3" w:rsidRPr="00833B69" w:rsidRDefault="005F58B3" w:rsidP="005F58B3">
      <w:pPr>
        <w:pStyle w:val="Paragraphedeliste"/>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t>Dans un contrat à rémunération forfaitaire, l’entrepreneur ou le Consultant s’engage à effectuer les services pour un montant forfaitaire contractuel. Le paiement peut se faire selon des pourcentages ou des montants liés à des jalons de réalisation contractuels ou être déterminé au prorata de la valeur du travail à accomplir.</w:t>
      </w:r>
    </w:p>
    <w:p w14:paraId="249CDF0C" w14:textId="77777777" w:rsidR="005F58B3" w:rsidRPr="00833B69" w:rsidRDefault="005F58B3" w:rsidP="005F58B3">
      <w:pPr>
        <w:pStyle w:val="Paragraphedeliste"/>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t>Le contrat à rémunération forfaitaire est adapté aux cas suivants :</w:t>
      </w:r>
    </w:p>
    <w:p w14:paraId="312594BF" w14:textId="46F16DFA" w:rsidR="005F58B3" w:rsidRPr="00833B69" w:rsidRDefault="005F58B3" w:rsidP="005F58B3">
      <w:pPr>
        <w:pStyle w:val="Paragraphedeliste"/>
        <w:numPr>
          <w:ilvl w:val="0"/>
          <w:numId w:val="25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l’étendue de l’activité concernée par la passation de marché peut être clairement et précisément définie et assortie d’échéances de versement au moment de la sélection (Travaux de génie civil simple, Services de Consultants associés à des réalisations clairement identifiables, par ex.) ;</w:t>
      </w:r>
    </w:p>
    <w:p w14:paraId="09C81E82" w14:textId="250A7E30" w:rsidR="005F58B3" w:rsidRPr="00833B69" w:rsidRDefault="005F58B3" w:rsidP="005F58B3">
      <w:pPr>
        <w:pStyle w:val="Paragraphedeliste"/>
        <w:numPr>
          <w:ilvl w:val="0"/>
          <w:numId w:val="250"/>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l’entrepreneur est responsable de la livraison finale des Travaux, de</w:t>
      </w:r>
      <w:r>
        <w:rPr>
          <w:rFonts w:ascii="Andes" w:eastAsiaTheme="minorHAnsi" w:hAnsi="Andes" w:cs="Arial"/>
          <w:color w:val="000000"/>
          <w:sz w:val="22"/>
          <w:szCs w:val="22"/>
        </w:rPr>
        <w:t xml:space="preserve"> l’Ouvrage </w:t>
      </w:r>
      <w:r w:rsidRPr="00833B69">
        <w:rPr>
          <w:rFonts w:ascii="Andes" w:eastAsiaTheme="minorHAnsi" w:hAnsi="Andes" w:cs="Arial"/>
          <w:color w:val="000000"/>
          <w:sz w:val="22"/>
          <w:szCs w:val="22"/>
        </w:rPr>
        <w:t xml:space="preserve">ou des solutions informatiques prédéfinies (contrats clé en main, par ex.) et peut être rémunéré par un montant forfaitaire en fonction de jalons de réalisation contractuels.  </w:t>
      </w:r>
    </w:p>
    <w:p w14:paraId="5D4720C4" w14:textId="77777777" w:rsidR="005F58B3" w:rsidRPr="00833B69" w:rsidRDefault="005F58B3" w:rsidP="005F58B3">
      <w:pPr>
        <w:pStyle w:val="Paragraphedeliste"/>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Contrats basés sur la performance</w:t>
      </w:r>
    </w:p>
    <w:p w14:paraId="0CC0DA3F" w14:textId="77777777" w:rsidR="005F58B3" w:rsidRPr="00833B69" w:rsidRDefault="005F58B3" w:rsidP="005F58B3">
      <w:pPr>
        <w:pStyle w:val="Paragraphedeliste"/>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t>Dans un contrat basé sur la performance, le paiement ne dépend pas des moyens déployés mais de la mesure des réalisations visant à satisfaire les besoins en termes de qualité, quantité et fiabilité.</w:t>
      </w:r>
    </w:p>
    <w:p w14:paraId="5D814A99" w14:textId="77777777" w:rsidR="005F58B3" w:rsidRPr="00833B69" w:rsidRDefault="005F58B3" w:rsidP="005F58B3">
      <w:pPr>
        <w:pStyle w:val="Paragraphedeliste"/>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t>Le contrat basé sur la performance est adapté aux cas suivants :</w:t>
      </w:r>
    </w:p>
    <w:p w14:paraId="4417B3C3" w14:textId="77777777" w:rsidR="005F58B3" w:rsidRPr="00833B69" w:rsidRDefault="005F58B3" w:rsidP="005F58B3">
      <w:pPr>
        <w:pStyle w:val="Paragraphedeliste"/>
        <w:numPr>
          <w:ilvl w:val="0"/>
          <w:numId w:val="251"/>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réfection des routes, exploitation et entretien des routes par un entrepreneur sur des périodes spécifiées ;</w:t>
      </w:r>
    </w:p>
    <w:p w14:paraId="5C58140F" w14:textId="77777777" w:rsidR="005F58B3" w:rsidRPr="00833B69" w:rsidRDefault="005F58B3" w:rsidP="005F58B3">
      <w:pPr>
        <w:pStyle w:val="Paragraphedeliste"/>
        <w:numPr>
          <w:ilvl w:val="0"/>
          <w:numId w:val="251"/>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 xml:space="preserve">réalisation de Services Autres que des Services de Consultants rémunérés sur la base des résultats ; </w:t>
      </w:r>
    </w:p>
    <w:p w14:paraId="3A066395" w14:textId="77777777" w:rsidR="005F58B3" w:rsidRPr="00833B69" w:rsidRDefault="005F58B3" w:rsidP="005F58B3">
      <w:pPr>
        <w:pStyle w:val="Paragraphedeliste"/>
        <w:numPr>
          <w:ilvl w:val="0"/>
          <w:numId w:val="251"/>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exploitation d’installations rémunérée sur la base des performances fonctionnelles.</w:t>
      </w:r>
    </w:p>
    <w:p w14:paraId="53042CCA" w14:textId="319E3F42" w:rsidR="005F58B3" w:rsidRPr="005F58B3" w:rsidRDefault="005F58B3" w:rsidP="005F58B3">
      <w:pPr>
        <w:spacing w:before="0" w:after="200"/>
        <w:contextualSpacing w:val="0"/>
        <w:jc w:val="left"/>
        <w:rPr>
          <w:rFonts w:ascii="Andes" w:hAnsi="Andes" w:cs="Arial"/>
          <w:b/>
          <w:color w:val="365F91" w:themeColor="accent1" w:themeShade="BF"/>
          <w:sz w:val="28"/>
          <w:szCs w:val="28"/>
        </w:rPr>
      </w:pPr>
      <w:r w:rsidRPr="00833B69">
        <w:rPr>
          <w:rFonts w:ascii="Andes" w:hAnsi="Andes" w:cs="Arial"/>
          <w:b/>
          <w:color w:val="000000" w:themeColor="text1"/>
          <w:sz w:val="28"/>
          <w:szCs w:val="28"/>
        </w:rPr>
        <w:lastRenderedPageBreak/>
        <w:t xml:space="preserve">Contrats </w:t>
      </w:r>
      <w:r w:rsidR="00632397">
        <w:rPr>
          <w:rFonts w:ascii="Andes" w:hAnsi="Andes" w:cs="Arial"/>
          <w:b/>
          <w:color w:val="000000" w:themeColor="text1"/>
          <w:sz w:val="28"/>
          <w:szCs w:val="28"/>
        </w:rPr>
        <w:t>à</w:t>
      </w:r>
      <w:r w:rsidRPr="00833B69">
        <w:rPr>
          <w:rFonts w:ascii="Andes" w:hAnsi="Andes" w:cs="Arial"/>
          <w:b/>
          <w:color w:val="000000" w:themeColor="text1"/>
          <w:sz w:val="28"/>
          <w:szCs w:val="28"/>
        </w:rPr>
        <w:t xml:space="preserve"> prix unitaire</w:t>
      </w:r>
      <w:r w:rsidR="00632397">
        <w:rPr>
          <w:rFonts w:ascii="Andes" w:hAnsi="Andes" w:cs="Arial"/>
          <w:b/>
          <w:color w:val="000000" w:themeColor="text1"/>
          <w:sz w:val="28"/>
          <w:szCs w:val="28"/>
        </w:rPr>
        <w:t>s</w:t>
      </w:r>
    </w:p>
    <w:p w14:paraId="62372F13" w14:textId="77777777" w:rsidR="005F58B3" w:rsidRPr="00833B69" w:rsidRDefault="005F58B3" w:rsidP="005F58B3">
      <w:pPr>
        <w:pStyle w:val="Paragraphedeliste"/>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Ce type de contrat, qui repose sur l’estimation des quantités d’articles et le prix unitaire contractuel de chacun d’eux, est rémunéré sur la base des quantités effectives et des prix unitaires contractuels. </w:t>
      </w:r>
    </w:p>
    <w:p w14:paraId="7A15E91B" w14:textId="77777777" w:rsidR="005F58B3" w:rsidRPr="00833B69" w:rsidRDefault="005F58B3" w:rsidP="005F58B3">
      <w:pPr>
        <w:pStyle w:val="Paragraphedeliste"/>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Ce type de contrat convient aux Travaux dont la nature est bien définie mais pour lesquels il est difficile de déterminer avec une précision raisonnable les quantités nécessaires avant la réalisation (construction de routes ou de digues, par ex.). </w:t>
      </w:r>
    </w:p>
    <w:p w14:paraId="359C9EA8" w14:textId="77777777" w:rsidR="005F58B3" w:rsidRPr="00833B69" w:rsidRDefault="005F58B3" w:rsidP="005F58B3">
      <w:pPr>
        <w:pStyle w:val="Paragraphedeliste"/>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t>S’agissant des Fournitures et des Services Autres que des Services de Consultants, ce type de contrat est adapté quand les quantités nécessaires sont connues et quand il est demandé aux Soumissionnaires d’indiquer un prix unitaire.</w:t>
      </w:r>
    </w:p>
    <w:p w14:paraId="547F5198" w14:textId="77777777" w:rsidR="005F58B3" w:rsidRPr="00833B69" w:rsidRDefault="005F58B3" w:rsidP="005F58B3">
      <w:pPr>
        <w:pStyle w:val="Paragraphedeliste"/>
        <w:spacing w:before="240" w:line="240" w:lineRule="auto"/>
        <w:contextualSpacing w:val="0"/>
        <w:rPr>
          <w:rFonts w:ascii="Andes" w:hAnsi="Andes" w:cs="Arial"/>
          <w:b/>
          <w:color w:val="000000" w:themeColor="text1"/>
          <w:sz w:val="28"/>
          <w:szCs w:val="28"/>
        </w:rPr>
      </w:pPr>
      <w:bookmarkStart w:id="3553" w:name="_Toc392000091"/>
      <w:bookmarkStart w:id="3554" w:name="_Toc392590929"/>
      <w:r w:rsidRPr="00833B69">
        <w:rPr>
          <w:rFonts w:ascii="Andes" w:hAnsi="Andes" w:cs="Arial"/>
          <w:b/>
          <w:color w:val="000000" w:themeColor="text1"/>
          <w:sz w:val="28"/>
          <w:szCs w:val="28"/>
        </w:rPr>
        <w:t xml:space="preserve">Contrats basés sur le temps </w:t>
      </w:r>
      <w:bookmarkEnd w:id="3553"/>
      <w:bookmarkEnd w:id="3554"/>
    </w:p>
    <w:p w14:paraId="336A27C2" w14:textId="77777777" w:rsidR="005F58B3" w:rsidRPr="00833B69" w:rsidRDefault="005F58B3" w:rsidP="005F58B3">
      <w:pPr>
        <w:pStyle w:val="Paragraphedeliste"/>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Au titre d’un contrat basé sur le temps, la rémunération est fondée sur le taux horaire convenu et le temps passé, plus les dépenses remboursables raisonnablement encourues.  </w:t>
      </w:r>
    </w:p>
    <w:p w14:paraId="0A841AC4" w14:textId="77777777" w:rsidR="005F58B3" w:rsidRPr="00833B69" w:rsidRDefault="005F58B3" w:rsidP="005F58B3">
      <w:pPr>
        <w:pStyle w:val="Paragraphedeliste"/>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t>Ce type d’accord contractuel est possible dans les cas suivants :</w:t>
      </w:r>
    </w:p>
    <w:p w14:paraId="09038A27" w14:textId="5ADCFAB9" w:rsidR="005F58B3" w:rsidRPr="00833B69" w:rsidRDefault="005F58B3" w:rsidP="005F58B3">
      <w:pPr>
        <w:pStyle w:val="Paragraphedeliste"/>
        <w:numPr>
          <w:ilvl w:val="0"/>
          <w:numId w:val="252"/>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dans les Situations d’Urgence et pour les Travaux de réparation et de maintenance ;</w:t>
      </w:r>
      <w:r w:rsidR="00560015">
        <w:rPr>
          <w:rFonts w:ascii="Andes" w:eastAsiaTheme="minorHAnsi" w:hAnsi="Andes" w:cs="Arial"/>
          <w:color w:val="000000"/>
          <w:sz w:val="22"/>
          <w:szCs w:val="22"/>
        </w:rPr>
        <w:t xml:space="preserve"> ou</w:t>
      </w:r>
    </w:p>
    <w:p w14:paraId="67D7AF71" w14:textId="77777777" w:rsidR="005F58B3" w:rsidRPr="00833B69" w:rsidRDefault="005F58B3" w:rsidP="005F58B3">
      <w:pPr>
        <w:pStyle w:val="Paragraphedeliste"/>
        <w:numPr>
          <w:ilvl w:val="0"/>
          <w:numId w:val="252"/>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Pour les Services de Consultants, quand l’étendue et la durée des services sont difficiles à déterminer ou à fixer (études complexes, supervision d’une construction, services de conseil, etc.).</w:t>
      </w:r>
    </w:p>
    <w:p w14:paraId="58726182" w14:textId="2856B497" w:rsidR="005F58B3" w:rsidRPr="00833B69" w:rsidRDefault="005F58B3" w:rsidP="005F58B3">
      <w:pPr>
        <w:pStyle w:val="Paragraphedeliste"/>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t>Ce type de contrat n’est pas adapté</w:t>
      </w:r>
      <w:r>
        <w:rPr>
          <w:rFonts w:ascii="Andes" w:hAnsi="Andes" w:cs="Arial"/>
          <w:sz w:val="22"/>
          <w:szCs w:val="22"/>
        </w:rPr>
        <w:t xml:space="preserve"> aux </w:t>
      </w:r>
      <w:r w:rsidRPr="00833B69">
        <w:rPr>
          <w:rFonts w:ascii="Andes" w:hAnsi="Andes" w:cs="Arial"/>
          <w:sz w:val="22"/>
          <w:szCs w:val="22"/>
        </w:rPr>
        <w:t>Fournitures</w:t>
      </w:r>
      <w:r>
        <w:rPr>
          <w:rFonts w:ascii="Andes" w:hAnsi="Andes" w:cs="Arial"/>
          <w:sz w:val="22"/>
          <w:szCs w:val="22"/>
        </w:rPr>
        <w:t xml:space="preserve"> ni aux </w:t>
      </w:r>
      <w:r w:rsidR="00272E1A">
        <w:rPr>
          <w:rFonts w:ascii="Andes" w:hAnsi="Andes" w:cs="Arial"/>
          <w:sz w:val="22"/>
          <w:szCs w:val="22"/>
        </w:rPr>
        <w:t>Installations</w:t>
      </w:r>
      <w:r w:rsidRPr="00833B69">
        <w:rPr>
          <w:rFonts w:ascii="Andes" w:hAnsi="Andes" w:cs="Arial"/>
          <w:sz w:val="22"/>
          <w:szCs w:val="22"/>
        </w:rPr>
        <w:t>.</w:t>
      </w:r>
    </w:p>
    <w:p w14:paraId="3713A1CD" w14:textId="1EED8638" w:rsidR="005F58B3" w:rsidRPr="00833B69" w:rsidRDefault="005F58B3" w:rsidP="005F58B3">
      <w:pPr>
        <w:pStyle w:val="Paragraphedeliste"/>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 xml:space="preserve">Contrats </w:t>
      </w:r>
      <w:r w:rsidR="00166614">
        <w:rPr>
          <w:rFonts w:ascii="Andes" w:hAnsi="Andes" w:cs="Arial"/>
          <w:b/>
          <w:color w:val="000000" w:themeColor="text1"/>
          <w:sz w:val="28"/>
          <w:szCs w:val="28"/>
        </w:rPr>
        <w:t>à</w:t>
      </w:r>
      <w:r w:rsidRPr="00833B69">
        <w:rPr>
          <w:rFonts w:ascii="Andes" w:hAnsi="Andes" w:cs="Arial"/>
          <w:b/>
          <w:color w:val="000000" w:themeColor="text1"/>
          <w:sz w:val="28"/>
          <w:szCs w:val="28"/>
        </w:rPr>
        <w:t xml:space="preserve"> frais remboursables</w:t>
      </w:r>
    </w:p>
    <w:p w14:paraId="07330CB1" w14:textId="77777777" w:rsidR="005F58B3" w:rsidRPr="00833B69" w:rsidRDefault="005F58B3" w:rsidP="005F58B3">
      <w:pPr>
        <w:pStyle w:val="Paragraphedeliste"/>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Au titre d’un contrat basé sur les frais remboursables, les paiements couvrent tous les frais effectifs, plus une somme convenue correspondant aux frais généraux et au bénéfice. </w:t>
      </w:r>
    </w:p>
    <w:p w14:paraId="4C7AA643" w14:textId="77777777" w:rsidR="005F58B3" w:rsidRPr="00833B69" w:rsidRDefault="005F58B3" w:rsidP="005F58B3">
      <w:pPr>
        <w:pStyle w:val="Paragraphedeliste"/>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Ce type de contrat est adapté à des cas tels que les réparations d’urgence et les travaux d’entretien. Pour réduire les risques supportés par l’Emprunteur </w:t>
      </w:r>
    </w:p>
    <w:p w14:paraId="18492884" w14:textId="77777777" w:rsidR="005F58B3" w:rsidRPr="00833B69" w:rsidRDefault="005F58B3" w:rsidP="005F58B3">
      <w:pPr>
        <w:pStyle w:val="Paragraphedeliste"/>
        <w:numPr>
          <w:ilvl w:val="0"/>
          <w:numId w:val="253"/>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l’entrepreneur met tous les dossiers et comptes à la disposition de l’Emprunteur ou d’un tiers neutre pour inspection ;</w:t>
      </w:r>
    </w:p>
    <w:p w14:paraId="49A41111" w14:textId="77777777" w:rsidR="005F58B3" w:rsidRPr="00833B69" w:rsidRDefault="005F58B3" w:rsidP="005F58B3">
      <w:pPr>
        <w:pStyle w:val="Paragraphedeliste"/>
        <w:numPr>
          <w:ilvl w:val="0"/>
          <w:numId w:val="253"/>
        </w:numPr>
        <w:spacing w:before="0" w:line="240" w:lineRule="auto"/>
        <w:contextualSpacing w:val="0"/>
        <w:rPr>
          <w:rFonts w:ascii="Andes" w:eastAsiaTheme="minorHAnsi" w:hAnsi="Andes" w:cs="Arial"/>
          <w:color w:val="000000"/>
          <w:sz w:val="22"/>
          <w:szCs w:val="22"/>
        </w:rPr>
      </w:pPr>
      <w:r w:rsidRPr="00833B69">
        <w:rPr>
          <w:rFonts w:ascii="Andes" w:eastAsiaTheme="minorHAnsi" w:hAnsi="Andes" w:cs="Arial"/>
          <w:color w:val="000000"/>
          <w:sz w:val="22"/>
          <w:szCs w:val="22"/>
        </w:rPr>
        <w:t>le contrat comprend des mesures appropriées d’incitation à limiter les coûts.</w:t>
      </w:r>
    </w:p>
    <w:p w14:paraId="362F8D19" w14:textId="1A16926C" w:rsidR="005F58B3" w:rsidRPr="00833B69" w:rsidRDefault="005F58B3" w:rsidP="005F58B3">
      <w:pPr>
        <w:pStyle w:val="Paragraphedeliste"/>
        <w:numPr>
          <w:ilvl w:val="0"/>
          <w:numId w:val="130"/>
        </w:numPr>
        <w:spacing w:before="240" w:line="240" w:lineRule="auto"/>
        <w:ind w:left="634" w:hanging="634"/>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 xml:space="preserve">Autres </w:t>
      </w:r>
      <w:proofErr w:type="gramStart"/>
      <w:r w:rsidRPr="00833B69">
        <w:rPr>
          <w:rFonts w:ascii="Andes" w:eastAsiaTheme="majorEastAsia" w:hAnsi="Andes"/>
          <w:b/>
          <w:color w:val="C45911"/>
          <w:sz w:val="32"/>
          <w:szCs w:val="32"/>
        </w:rPr>
        <w:t xml:space="preserve">types </w:t>
      </w:r>
      <w:r w:rsidR="00544FC3">
        <w:rPr>
          <w:rFonts w:ascii="Andes" w:eastAsiaTheme="majorEastAsia" w:hAnsi="Andes"/>
          <w:b/>
          <w:color w:val="C45911"/>
          <w:sz w:val="32"/>
          <w:szCs w:val="32"/>
        </w:rPr>
        <w:t xml:space="preserve"> d’arrangements</w:t>
      </w:r>
      <w:proofErr w:type="gramEnd"/>
      <w:r w:rsidRPr="00833B69">
        <w:rPr>
          <w:rFonts w:ascii="Andes" w:eastAsiaTheme="majorEastAsia" w:hAnsi="Andes"/>
          <w:b/>
          <w:color w:val="C45911"/>
          <w:sz w:val="32"/>
          <w:szCs w:val="32"/>
        </w:rPr>
        <w:t xml:space="preserve"> contractuels</w:t>
      </w:r>
    </w:p>
    <w:p w14:paraId="5944BC57" w14:textId="215AC7EB" w:rsidR="005F58B3" w:rsidRPr="00833B69" w:rsidRDefault="005F58B3" w:rsidP="005F58B3">
      <w:pPr>
        <w:pStyle w:val="Paragraphedeliste"/>
        <w:spacing w:before="240" w:line="240" w:lineRule="auto"/>
        <w:contextualSpacing w:val="0"/>
        <w:rPr>
          <w:rFonts w:ascii="Andes" w:hAnsi="Andes" w:cs="Arial"/>
          <w:b/>
          <w:color w:val="000000" w:themeColor="text1"/>
          <w:sz w:val="28"/>
          <w:szCs w:val="28"/>
        </w:rPr>
      </w:pPr>
      <w:r>
        <w:rPr>
          <w:rFonts w:ascii="Andes" w:hAnsi="Andes" w:cs="Arial"/>
          <w:b/>
          <w:color w:val="000000" w:themeColor="text1"/>
          <w:sz w:val="28"/>
          <w:szCs w:val="28"/>
        </w:rPr>
        <w:t>Accords</w:t>
      </w:r>
      <w:r w:rsidR="00272E1A">
        <w:rPr>
          <w:rFonts w:ascii="Andes" w:hAnsi="Andes" w:cs="Arial"/>
          <w:b/>
          <w:color w:val="000000" w:themeColor="text1"/>
          <w:sz w:val="28"/>
          <w:szCs w:val="28"/>
        </w:rPr>
        <w:t>-</w:t>
      </w:r>
      <w:r w:rsidRPr="00833B69">
        <w:rPr>
          <w:rFonts w:ascii="Andes" w:hAnsi="Andes" w:cs="Arial"/>
          <w:b/>
          <w:color w:val="000000" w:themeColor="text1"/>
          <w:sz w:val="28"/>
          <w:szCs w:val="28"/>
        </w:rPr>
        <w:t>Cadres</w:t>
      </w:r>
    </w:p>
    <w:p w14:paraId="3CFA41A7" w14:textId="336C46CA" w:rsidR="005F58B3" w:rsidRPr="00833B69" w:rsidRDefault="005F58B3" w:rsidP="005F58B3">
      <w:pPr>
        <w:pStyle w:val="Paragraphedeliste"/>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t>Ces dispositifs contractuels sont adaptés à la fourniture de volumes fixes ou variables de produits ou services sur une période fixe. Pour plus de détail, voir l’</w:t>
      </w:r>
      <w:r>
        <w:rPr>
          <w:rFonts w:ascii="Andes" w:hAnsi="Andes" w:cs="Arial"/>
          <w:sz w:val="22"/>
          <w:szCs w:val="22"/>
        </w:rPr>
        <w:t>Annexe XV, Accords</w:t>
      </w:r>
      <w:r w:rsidR="00272E1A">
        <w:rPr>
          <w:rFonts w:ascii="Andes" w:hAnsi="Andes" w:cs="Arial"/>
          <w:sz w:val="22"/>
          <w:szCs w:val="22"/>
        </w:rPr>
        <w:t>-</w:t>
      </w:r>
      <w:r w:rsidRPr="00833B69">
        <w:rPr>
          <w:rFonts w:ascii="Andes" w:hAnsi="Andes" w:cs="Arial"/>
          <w:sz w:val="22"/>
          <w:szCs w:val="22"/>
        </w:rPr>
        <w:t>Cadres.</w:t>
      </w:r>
    </w:p>
    <w:p w14:paraId="67B57AA8" w14:textId="77777777" w:rsidR="005F58B3" w:rsidRPr="00833B69" w:rsidRDefault="005F58B3" w:rsidP="005F58B3">
      <w:pPr>
        <w:pStyle w:val="Paragraphedeliste"/>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Partenariats public-privé</w:t>
      </w:r>
    </w:p>
    <w:p w14:paraId="382F7AD0" w14:textId="659E0855" w:rsidR="00717F2A" w:rsidRDefault="005F58B3" w:rsidP="005F58B3">
      <w:pPr>
        <w:pStyle w:val="Paragraphedeliste"/>
        <w:numPr>
          <w:ilvl w:val="1"/>
          <w:numId w:val="130"/>
        </w:numPr>
        <w:spacing w:before="0" w:line="240" w:lineRule="auto"/>
        <w:ind w:left="630" w:hanging="630"/>
        <w:contextualSpacing w:val="0"/>
        <w:rPr>
          <w:rFonts w:ascii="Andes" w:hAnsi="Andes" w:cs="Arial"/>
          <w:sz w:val="22"/>
          <w:szCs w:val="22"/>
        </w:rPr>
      </w:pPr>
      <w:r w:rsidRPr="00833B69">
        <w:rPr>
          <w:rFonts w:ascii="Andes" w:hAnsi="Andes" w:cs="Arial"/>
          <w:sz w:val="22"/>
          <w:szCs w:val="22"/>
        </w:rPr>
        <w:lastRenderedPageBreak/>
        <w:t xml:space="preserve">Les dispositifs contractuels utilisables pour les PPP (telles les opérations de construction-exploitation-transfert (CET) et de construction-exploitation-propriété-transfert (CEPT)) sont détaillés à l’Annexe XIV, Partenariats public-privé. </w:t>
      </w:r>
    </w:p>
    <w:p w14:paraId="785DC0F7" w14:textId="77777777" w:rsidR="00717F2A" w:rsidRDefault="00717F2A">
      <w:pPr>
        <w:spacing w:before="0" w:after="200"/>
        <w:contextualSpacing w:val="0"/>
        <w:jc w:val="left"/>
        <w:rPr>
          <w:rFonts w:ascii="Andes" w:hAnsi="Andes" w:cs="Arial"/>
          <w:sz w:val="22"/>
          <w:szCs w:val="22"/>
        </w:rPr>
      </w:pPr>
      <w:r>
        <w:rPr>
          <w:rFonts w:ascii="Andes" w:hAnsi="Andes" w:cs="Arial"/>
          <w:sz w:val="22"/>
          <w:szCs w:val="22"/>
        </w:rPr>
        <w:br w:type="page"/>
      </w:r>
    </w:p>
    <w:p w14:paraId="11087485" w14:textId="77777777" w:rsidR="005F58B3" w:rsidRPr="00833B69" w:rsidRDefault="005F58B3" w:rsidP="002859FD">
      <w:pPr>
        <w:pStyle w:val="Paragraphedeliste"/>
        <w:spacing w:before="0" w:line="240" w:lineRule="auto"/>
        <w:ind w:left="630"/>
        <w:contextualSpacing w:val="0"/>
        <w:rPr>
          <w:rFonts w:ascii="Andes" w:hAnsi="Andes" w:cs="Arial"/>
          <w:sz w:val="22"/>
          <w:szCs w:val="22"/>
        </w:rPr>
      </w:pPr>
    </w:p>
    <w:p w14:paraId="5C1A16AE" w14:textId="77777777" w:rsidR="00867EEC" w:rsidRPr="00B1581D" w:rsidRDefault="00867EEC" w:rsidP="005F58B3">
      <w:pPr>
        <w:spacing w:before="0" w:line="240" w:lineRule="auto"/>
        <w:contextualSpacing w:val="0"/>
        <w:rPr>
          <w:rFonts w:ascii="Andes" w:hAnsi="Andes" w:cs="Arial"/>
          <w:sz w:val="22"/>
          <w:szCs w:val="22"/>
        </w:rPr>
      </w:pPr>
      <w:bookmarkStart w:id="3555" w:name="_Toc392000097"/>
      <w:bookmarkStart w:id="3556" w:name="_Toc392590935"/>
    </w:p>
    <w:p w14:paraId="145AFAE4" w14:textId="77777777" w:rsidR="00867EEC" w:rsidRPr="00B1581D" w:rsidRDefault="00867EEC" w:rsidP="005F58B3">
      <w:pPr>
        <w:spacing w:before="0" w:line="240" w:lineRule="auto"/>
        <w:contextualSpacing w:val="0"/>
        <w:rPr>
          <w:rFonts w:ascii="Andes" w:hAnsi="Andes" w:cs="Arial"/>
          <w:sz w:val="22"/>
          <w:szCs w:val="22"/>
        </w:rPr>
        <w:sectPr w:rsidR="00867EEC" w:rsidRPr="00B1581D" w:rsidSect="000B5EC0">
          <w:headerReference w:type="default" r:id="rId35"/>
          <w:pgSz w:w="12240" w:h="15840"/>
          <w:pgMar w:top="1872" w:right="1440" w:bottom="1440" w:left="1411" w:header="720" w:footer="720" w:gutter="0"/>
          <w:cols w:space="720"/>
          <w:docGrid w:linePitch="360"/>
        </w:sectPr>
      </w:pPr>
    </w:p>
    <w:p w14:paraId="769EF0E4" w14:textId="77777777" w:rsidR="00C811D2" w:rsidRPr="004A283E" w:rsidRDefault="00D97180" w:rsidP="000A5DC6">
      <w:pPr>
        <w:pStyle w:val="Titre1"/>
        <w:spacing w:before="0" w:after="0" w:line="240" w:lineRule="auto"/>
        <w:ind w:left="-90"/>
        <w:jc w:val="center"/>
        <w:rPr>
          <w:rFonts w:ascii="Andes" w:hAnsi="Andes" w:cs="Arial"/>
          <w:sz w:val="28"/>
          <w:szCs w:val="28"/>
          <w:lang w:val="en-US"/>
        </w:rPr>
      </w:pPr>
      <w:bookmarkStart w:id="3557" w:name="_Toc453170992"/>
      <w:bookmarkStart w:id="3558" w:name="_Toc453544336"/>
      <w:r w:rsidRPr="004A283E">
        <w:rPr>
          <w:rFonts w:ascii="Andes" w:hAnsi="Andes" w:cs="Microsoft Sans Serif"/>
          <w:caps/>
          <w:noProof/>
          <w:color w:val="002060"/>
          <w:lang w:val="en-US"/>
        </w:rPr>
        <w:lastRenderedPageBreak/>
        <mc:AlternateContent>
          <mc:Choice Requires="wps">
            <w:drawing>
              <wp:anchor distT="0" distB="0" distL="114300" distR="114300" simplePos="0" relativeHeight="251669504" behindDoc="0" locked="0" layoutInCell="1" allowOverlap="1" wp14:anchorId="1C16223B" wp14:editId="13E19436">
                <wp:simplePos x="0" y="0"/>
                <wp:positionH relativeFrom="page">
                  <wp:align>left</wp:align>
                </wp:positionH>
                <wp:positionV relativeFrom="paragraph">
                  <wp:posOffset>-1174090</wp:posOffset>
                </wp:positionV>
                <wp:extent cx="8151963" cy="1580084"/>
                <wp:effectExtent l="0" t="0" r="1905" b="1270"/>
                <wp:wrapNone/>
                <wp:docPr id="27" name="Rectangle 27"/>
                <wp:cNvGraphicFramePr/>
                <a:graphic xmlns:a="http://schemas.openxmlformats.org/drawingml/2006/main">
                  <a:graphicData uri="http://schemas.microsoft.com/office/word/2010/wordprocessingShape">
                    <wps:wsp>
                      <wps:cNvSpPr/>
                      <wps:spPr>
                        <a:xfrm>
                          <a:off x="0" y="0"/>
                          <a:ext cx="8151963" cy="1580084"/>
                        </a:xfrm>
                        <a:prstGeom prst="rect">
                          <a:avLst/>
                        </a:prstGeom>
                        <a:solidFill>
                          <a:srgbClr val="C45911"/>
                        </a:solidFill>
                        <a:ln w="12700" cap="flat" cmpd="sng" algn="ctr">
                          <a:noFill/>
                          <a:prstDash val="solid"/>
                          <a:miter lim="800000"/>
                        </a:ln>
                        <a:effectLst/>
                      </wps:spPr>
                      <wps:txbx>
                        <w:txbxContent>
                          <w:p w14:paraId="2E33325B" w14:textId="08366D0D" w:rsidR="00A41794" w:rsidRPr="00293B61" w:rsidRDefault="00A41794" w:rsidP="00293B61">
                            <w:pPr>
                              <w:tabs>
                                <w:tab w:val="left" w:pos="3150"/>
                              </w:tabs>
                              <w:ind w:left="1170" w:right="564"/>
                              <w:jc w:val="left"/>
                              <w:rPr>
                                <w:rFonts w:ascii="Andes" w:hAnsi="Andes"/>
                                <w:color w:val="FFFFFF" w:themeColor="background1"/>
                                <w:sz w:val="44"/>
                                <w:szCs w:val="44"/>
                              </w:rPr>
                            </w:pPr>
                            <w:r w:rsidRPr="00EF7732">
                              <w:rPr>
                                <w:rFonts w:ascii="Andes" w:hAnsi="Andes"/>
                                <w:color w:val="FFFFFF" w:themeColor="background1"/>
                                <w:sz w:val="44"/>
                                <w:szCs w:val="44"/>
                              </w:rPr>
                              <w:t xml:space="preserve">Annexe IX.  </w:t>
                            </w:r>
                            <w:r w:rsidRPr="00EF7732">
                              <w:rPr>
                                <w:rFonts w:ascii="Andes" w:hAnsi="Andes"/>
                                <w:color w:val="FFFFFF" w:themeColor="background1"/>
                                <w:sz w:val="44"/>
                                <w:szCs w:val="44"/>
                              </w:rPr>
                              <w:tab/>
                            </w:r>
                            <w:r>
                              <w:rPr>
                                <w:rFonts w:ascii="Andes" w:hAnsi="Andes"/>
                                <w:color w:val="FFFFFF" w:themeColor="background1"/>
                                <w:sz w:val="44"/>
                                <w:szCs w:val="44"/>
                              </w:rPr>
                              <w:t xml:space="preserve">Clauses et conditions </w:t>
                            </w:r>
                            <w:r w:rsidRPr="00EF7732">
                              <w:rPr>
                                <w:rFonts w:ascii="Andes" w:hAnsi="Andes"/>
                                <w:color w:val="FFFFFF" w:themeColor="background1"/>
                                <w:sz w:val="44"/>
                                <w:szCs w:val="44"/>
                              </w:rPr>
                              <w:t xml:space="preserve">contractuelles </w:t>
                            </w:r>
                            <w:r>
                              <w:rPr>
                                <w:rFonts w:ascii="Andes" w:hAnsi="Andes"/>
                                <w:color w:val="FFFFFF" w:themeColor="background1"/>
                                <w:sz w:val="44"/>
                                <w:szCs w:val="44"/>
                              </w:rPr>
                              <w:t>pour les marchés faisant appel à la concurrence internationale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6223B" id="Rectangle 27" o:spid="_x0000_s1045" style="position:absolute;left:0;text-align:left;margin-left:0;margin-top:-92.45pt;width:641.9pt;height:124.4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" fillcolor="#c45911" stroked="f" strokeweight="1pt">
                <v:textbox>
                  <w:txbxContent>
                    <w:p w14:paraId="2E33325B" w14:textId="08366D0D" w:rsidR="00A41794" w:rsidRPr="00293B61" w:rsidRDefault="00A41794" w:rsidP="00293B61">
                      <w:pPr>
                        <w:tabs>
                          <w:tab w:val="left" w:pos="3150"/>
                        </w:tabs>
                        <w:ind w:left="1170" w:right="564"/>
                        <w:jc w:val="left"/>
                        <w:rPr>
                          <w:rFonts w:ascii="Andes" w:hAnsi="Andes"/>
                          <w:color w:val="FFFFFF" w:themeColor="background1"/>
                          <w:sz w:val="44"/>
                          <w:szCs w:val="44"/>
                        </w:rPr>
                      </w:pPr>
                      <w:r w:rsidRPr="00EF7732">
                        <w:rPr>
                          <w:rFonts w:ascii="Andes" w:hAnsi="Andes"/>
                          <w:color w:val="FFFFFF" w:themeColor="background1"/>
                          <w:sz w:val="44"/>
                          <w:szCs w:val="44"/>
                        </w:rPr>
                        <w:t xml:space="preserve">Annexe IX.  </w:t>
                      </w:r>
                      <w:r w:rsidRPr="00EF7732">
                        <w:rPr>
                          <w:rFonts w:ascii="Andes" w:hAnsi="Andes"/>
                          <w:color w:val="FFFFFF" w:themeColor="background1"/>
                          <w:sz w:val="44"/>
                          <w:szCs w:val="44"/>
                        </w:rPr>
                        <w:tab/>
                      </w:r>
                      <w:r>
                        <w:rPr>
                          <w:rFonts w:ascii="Andes" w:hAnsi="Andes"/>
                          <w:color w:val="FFFFFF" w:themeColor="background1"/>
                          <w:sz w:val="44"/>
                          <w:szCs w:val="44"/>
                        </w:rPr>
                        <w:t xml:space="preserve">Clauses et conditions </w:t>
                      </w:r>
                      <w:r w:rsidRPr="00EF7732">
                        <w:rPr>
                          <w:rFonts w:ascii="Andes" w:hAnsi="Andes"/>
                          <w:color w:val="FFFFFF" w:themeColor="background1"/>
                          <w:sz w:val="44"/>
                          <w:szCs w:val="44"/>
                        </w:rPr>
                        <w:t xml:space="preserve">contractuelles </w:t>
                      </w:r>
                      <w:r>
                        <w:rPr>
                          <w:rFonts w:ascii="Andes" w:hAnsi="Andes"/>
                          <w:color w:val="FFFFFF" w:themeColor="background1"/>
                          <w:sz w:val="44"/>
                          <w:szCs w:val="44"/>
                        </w:rPr>
                        <w:t>pour les marchés faisant appel à la concurrence internationale</w:t>
                      </w:r>
                    </w:p>
                  </w:txbxContent>
                </v:textbox>
                <w10:wrap anchorx="page"/>
              </v:rect>
            </w:pict>
          </mc:Fallback>
        </mc:AlternateContent>
      </w:r>
      <w:r w:rsidR="00C811D2" w:rsidRPr="004A283E">
        <w:rPr>
          <w:rFonts w:ascii="Andes" w:hAnsi="Andes" w:cs="Arial"/>
          <w:sz w:val="28"/>
          <w:szCs w:val="28"/>
          <w:lang w:val="en-US"/>
        </w:rPr>
        <w:t>Annex IX</w:t>
      </w:r>
      <w:r w:rsidR="00687669">
        <w:rPr>
          <w:rFonts w:ascii="Andes" w:hAnsi="Andes" w:cs="Arial"/>
          <w:sz w:val="28"/>
          <w:szCs w:val="28"/>
          <w:lang w:val="en-US"/>
        </w:rPr>
        <w:t xml:space="preserve">.  </w:t>
      </w:r>
      <w:r w:rsidR="00C811D2" w:rsidRPr="004A283E">
        <w:rPr>
          <w:rFonts w:ascii="Andes" w:hAnsi="Andes" w:cs="Arial"/>
          <w:sz w:val="28"/>
          <w:szCs w:val="28"/>
          <w:lang w:val="en-US"/>
        </w:rPr>
        <w:t xml:space="preserve">Contract </w:t>
      </w:r>
      <w:r w:rsidR="00C409EB" w:rsidRPr="004A283E">
        <w:rPr>
          <w:rFonts w:ascii="Andes" w:hAnsi="Andes" w:cs="Arial"/>
          <w:sz w:val="28"/>
          <w:szCs w:val="28"/>
          <w:lang w:val="en-US"/>
        </w:rPr>
        <w:t>Co</w:t>
      </w:r>
      <w:r w:rsidR="00C811D2" w:rsidRPr="004A283E">
        <w:rPr>
          <w:rFonts w:ascii="Andes" w:hAnsi="Andes" w:cs="Arial"/>
          <w:sz w:val="28"/>
          <w:szCs w:val="28"/>
          <w:lang w:val="en-US"/>
        </w:rPr>
        <w:t>nditions</w:t>
      </w:r>
      <w:r w:rsidR="006760E8" w:rsidRPr="004A283E">
        <w:rPr>
          <w:rFonts w:ascii="Andes" w:hAnsi="Andes" w:cs="Arial"/>
          <w:sz w:val="28"/>
          <w:szCs w:val="28"/>
          <w:lang w:val="en-US"/>
        </w:rPr>
        <w:t xml:space="preserve"> in International </w:t>
      </w:r>
      <w:r w:rsidR="0024234A" w:rsidRPr="004A283E">
        <w:rPr>
          <w:rFonts w:ascii="Andes" w:hAnsi="Andes" w:cs="Arial"/>
          <w:sz w:val="28"/>
          <w:szCs w:val="28"/>
          <w:lang w:val="en-US"/>
        </w:rPr>
        <w:t xml:space="preserve">Competitive </w:t>
      </w:r>
      <w:r w:rsidR="006760E8" w:rsidRPr="004A283E">
        <w:rPr>
          <w:rFonts w:ascii="Andes" w:hAnsi="Andes" w:cs="Arial"/>
          <w:sz w:val="28"/>
          <w:szCs w:val="28"/>
          <w:lang w:val="en-US"/>
        </w:rPr>
        <w:t>Procurement</w:t>
      </w:r>
      <w:bookmarkEnd w:id="3557"/>
      <w:bookmarkEnd w:id="3558"/>
    </w:p>
    <w:p w14:paraId="4A1F4A95" w14:textId="77777777" w:rsidR="002D4CA4" w:rsidRPr="00833B69" w:rsidRDefault="002D4CA4" w:rsidP="002D4CA4">
      <w:pPr>
        <w:pStyle w:val="Paragraphedeliste"/>
        <w:numPr>
          <w:ilvl w:val="0"/>
          <w:numId w:val="131"/>
        </w:numPr>
        <w:spacing w:before="600"/>
        <w:ind w:left="635" w:hanging="635"/>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Objet</w:t>
      </w:r>
    </w:p>
    <w:p w14:paraId="2D7D2300" w14:textId="77777777" w:rsidR="002D4CA4" w:rsidRPr="00833B69" w:rsidRDefault="002D4CA4" w:rsidP="002D4CA4">
      <w:pPr>
        <w:pStyle w:val="Paragraphedeliste"/>
        <w:numPr>
          <w:ilvl w:val="0"/>
          <w:numId w:val="87"/>
        </w:numPr>
        <w:tabs>
          <w:tab w:val="left" w:pos="630"/>
        </w:tabs>
        <w:spacing w:before="0" w:line="240" w:lineRule="auto"/>
        <w:ind w:left="634" w:hanging="634"/>
        <w:contextualSpacing w:val="0"/>
        <w:rPr>
          <w:rFonts w:ascii="Andes" w:hAnsi="Andes" w:cs="Arial"/>
          <w:sz w:val="22"/>
          <w:szCs w:val="22"/>
        </w:rPr>
      </w:pPr>
      <w:r w:rsidRPr="00833B69">
        <w:rPr>
          <w:rFonts w:ascii="Andes" w:hAnsi="Andes" w:cs="Arial"/>
          <w:sz w:val="22"/>
          <w:szCs w:val="22"/>
        </w:rPr>
        <w:t xml:space="preserve">La présente Annexe énonce les </w:t>
      </w:r>
      <w:r>
        <w:rPr>
          <w:rFonts w:ascii="Andes" w:hAnsi="Andes" w:cs="Arial"/>
          <w:sz w:val="22"/>
          <w:szCs w:val="22"/>
        </w:rPr>
        <w:t xml:space="preserve">clauses et </w:t>
      </w:r>
      <w:r w:rsidRPr="00833B69">
        <w:rPr>
          <w:rFonts w:ascii="Andes" w:hAnsi="Andes" w:cs="Arial"/>
          <w:sz w:val="22"/>
          <w:szCs w:val="22"/>
        </w:rPr>
        <w:t>conditions contractuelles minimales requises</w:t>
      </w:r>
      <w:r>
        <w:rPr>
          <w:rFonts w:ascii="Andes" w:hAnsi="Andes" w:cs="Arial"/>
          <w:sz w:val="22"/>
          <w:szCs w:val="22"/>
        </w:rPr>
        <w:t xml:space="preserve"> pour les marchés de </w:t>
      </w:r>
      <w:r w:rsidRPr="00833B69">
        <w:rPr>
          <w:rFonts w:ascii="Andes" w:hAnsi="Andes" w:cs="Arial"/>
          <w:sz w:val="22"/>
          <w:szCs w:val="22"/>
        </w:rPr>
        <w:t xml:space="preserve">Fournitures, de Travaux et de Services Autres que des Services de Consultants </w:t>
      </w:r>
      <w:r>
        <w:rPr>
          <w:rFonts w:ascii="Andes" w:hAnsi="Andes" w:cs="Arial"/>
          <w:sz w:val="22"/>
          <w:szCs w:val="22"/>
        </w:rPr>
        <w:t xml:space="preserve">qui font appel à la concurrence internationale </w:t>
      </w:r>
      <w:r w:rsidRPr="00833B69">
        <w:rPr>
          <w:rFonts w:ascii="Andes" w:hAnsi="Andes" w:cs="Arial"/>
          <w:sz w:val="22"/>
          <w:szCs w:val="22"/>
        </w:rPr>
        <w:t>dans le cadre d’opérations de FPI.</w:t>
      </w:r>
    </w:p>
    <w:p w14:paraId="34B48DEB" w14:textId="77777777" w:rsidR="002D4CA4" w:rsidRPr="00833B69" w:rsidRDefault="002D4CA4" w:rsidP="002D4CA4">
      <w:pPr>
        <w:pStyle w:val="Paragraphedeliste"/>
        <w:numPr>
          <w:ilvl w:val="0"/>
          <w:numId w:val="131"/>
        </w:numPr>
        <w:spacing w:before="240"/>
        <w:ind w:left="630" w:hanging="630"/>
        <w:contextualSpacing w:val="0"/>
        <w:rPr>
          <w:rFonts w:ascii="Andes" w:eastAsiaTheme="majorEastAsia" w:hAnsi="Andes"/>
          <w:b/>
          <w:color w:val="C45911"/>
          <w:sz w:val="32"/>
          <w:szCs w:val="32"/>
        </w:rPr>
      </w:pPr>
      <w:r w:rsidRPr="00833B69">
        <w:rPr>
          <w:rFonts w:ascii="Andes" w:eastAsiaTheme="majorEastAsia" w:hAnsi="Andes"/>
          <w:b/>
          <w:color w:val="C45911"/>
          <w:sz w:val="32"/>
          <w:szCs w:val="32"/>
        </w:rPr>
        <w:t>Prescriptions</w:t>
      </w:r>
    </w:p>
    <w:p w14:paraId="0DB53ED3" w14:textId="77777777" w:rsidR="002D4CA4" w:rsidRPr="00833B69" w:rsidRDefault="002D4CA4" w:rsidP="002D4CA4">
      <w:pPr>
        <w:pStyle w:val="Paragraphedeliste"/>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Les </w:t>
      </w:r>
      <w:r>
        <w:rPr>
          <w:rFonts w:ascii="Andes" w:hAnsi="Andes" w:cs="Arial"/>
          <w:sz w:val="22"/>
          <w:szCs w:val="22"/>
        </w:rPr>
        <w:t xml:space="preserve">clauses et </w:t>
      </w:r>
      <w:r w:rsidRPr="00833B69">
        <w:rPr>
          <w:rFonts w:ascii="Andes" w:hAnsi="Andes" w:cs="Arial"/>
          <w:sz w:val="22"/>
          <w:szCs w:val="22"/>
        </w:rPr>
        <w:t xml:space="preserve">conditions contractuelles définissent une répartition adaptée des responsabilités, des risques et des obligations en fonction de l’analyse des capacités respectives de gestion des risques des parties, compte tenu des coûts et des mesures incitatives associés à la répartition desdits risques. </w:t>
      </w:r>
    </w:p>
    <w:p w14:paraId="7D37DEF1" w14:textId="434DE732" w:rsidR="002D4CA4" w:rsidRPr="00833B69" w:rsidRDefault="002D4CA4" w:rsidP="002D4CA4">
      <w:pPr>
        <w:pStyle w:val="Paragraphedeliste"/>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S’agissant des marchés de Fournitures, de Travaux, de Services Autres que les Services de Consultants et de Services de Consultants</w:t>
      </w:r>
      <w:r>
        <w:rPr>
          <w:rFonts w:ascii="Andes" w:hAnsi="Andes" w:cs="Arial"/>
          <w:sz w:val="22"/>
          <w:szCs w:val="22"/>
        </w:rPr>
        <w:t xml:space="preserve"> qui font appel à la concurrence internationale</w:t>
      </w:r>
      <w:r w:rsidRPr="00833B69">
        <w:rPr>
          <w:rFonts w:ascii="Andes" w:hAnsi="Andes" w:cs="Arial"/>
          <w:sz w:val="22"/>
          <w:szCs w:val="22"/>
        </w:rPr>
        <w:t xml:space="preserve">, l’Emprunteur utilise les </w:t>
      </w:r>
      <w:r w:rsidRPr="00833B69">
        <w:rPr>
          <w:rFonts w:ascii="Andes" w:hAnsi="Andes"/>
          <w:sz w:val="22"/>
          <w:szCs w:val="22"/>
          <w:lang w:eastAsia="fr-FR"/>
        </w:rPr>
        <w:t>Dossiers Types de Passation de Marchés de la Banque (DTPM) (dossiers d’</w:t>
      </w:r>
      <w:r w:rsidR="00B835B6">
        <w:rPr>
          <w:rFonts w:ascii="Andes" w:hAnsi="Andes"/>
          <w:sz w:val="22"/>
          <w:szCs w:val="22"/>
          <w:lang w:eastAsia="fr-FR"/>
        </w:rPr>
        <w:t>A</w:t>
      </w:r>
      <w:r w:rsidRPr="00833B69">
        <w:rPr>
          <w:rFonts w:ascii="Andes" w:hAnsi="Andes"/>
          <w:sz w:val="22"/>
          <w:szCs w:val="22"/>
          <w:lang w:eastAsia="fr-FR"/>
        </w:rPr>
        <w:t>ppel d’</w:t>
      </w:r>
      <w:r w:rsidR="00B835B6">
        <w:rPr>
          <w:rFonts w:ascii="Andes" w:hAnsi="Andes"/>
          <w:sz w:val="22"/>
          <w:szCs w:val="22"/>
          <w:lang w:eastAsia="fr-FR"/>
        </w:rPr>
        <w:t>O</w:t>
      </w:r>
      <w:r w:rsidRPr="00833B69">
        <w:rPr>
          <w:rFonts w:ascii="Andes" w:hAnsi="Andes"/>
          <w:sz w:val="22"/>
          <w:szCs w:val="22"/>
          <w:lang w:eastAsia="fr-FR"/>
        </w:rPr>
        <w:t>ffres ou d’</w:t>
      </w:r>
      <w:r w:rsidR="00B835B6">
        <w:rPr>
          <w:rFonts w:ascii="Andes" w:hAnsi="Andes"/>
          <w:sz w:val="22"/>
          <w:szCs w:val="22"/>
          <w:lang w:eastAsia="fr-FR"/>
        </w:rPr>
        <w:t>A</w:t>
      </w:r>
      <w:r w:rsidRPr="00833B69">
        <w:rPr>
          <w:rFonts w:ascii="Andes" w:hAnsi="Andes"/>
          <w:sz w:val="22"/>
          <w:szCs w:val="22"/>
          <w:lang w:eastAsia="fr-FR"/>
        </w:rPr>
        <w:t xml:space="preserve">ppels à </w:t>
      </w:r>
      <w:r w:rsidR="00B835B6">
        <w:rPr>
          <w:rFonts w:ascii="Andes" w:hAnsi="Andes"/>
          <w:sz w:val="22"/>
          <w:szCs w:val="22"/>
          <w:lang w:eastAsia="fr-FR"/>
        </w:rPr>
        <w:t>P</w:t>
      </w:r>
      <w:r w:rsidRPr="00833B69">
        <w:rPr>
          <w:rFonts w:ascii="Andes" w:hAnsi="Andes"/>
          <w:sz w:val="22"/>
          <w:szCs w:val="22"/>
          <w:lang w:eastAsia="fr-FR"/>
        </w:rPr>
        <w:t xml:space="preserve">ropositions, par ex.) en n’y apportant que les modifications minimales, jugées acceptables par la Banque, qui sont nécessaires pour tenir compte des conditions particulières du projet. </w:t>
      </w:r>
      <w:r w:rsidRPr="00833B69">
        <w:rPr>
          <w:rFonts w:ascii="Andes" w:hAnsi="Andes" w:cs="Arial"/>
          <w:sz w:val="22"/>
          <w:szCs w:val="22"/>
        </w:rPr>
        <w:t xml:space="preserve"> </w:t>
      </w:r>
    </w:p>
    <w:p w14:paraId="6370CFE4" w14:textId="7AB28AB4" w:rsidR="002D4CA4" w:rsidRPr="00833B69" w:rsidRDefault="002D4CA4" w:rsidP="002D4CA4">
      <w:pPr>
        <w:pStyle w:val="Paragraphedeliste"/>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S’il n’existe pas de DTPM de la Banque applicables aux Fournitures, Travaux et Services Autres que des Services de Consultants, l’Emprunteur utilise d’autres conditions contractuelles standard reconnues internationalement et des formulaires de contrat jugés acceptables par la Banque et soumis </w:t>
      </w:r>
      <w:r w:rsidR="000D1FC7">
        <w:rPr>
          <w:rFonts w:ascii="Andes" w:hAnsi="Andes" w:cs="Arial"/>
          <w:sz w:val="22"/>
          <w:szCs w:val="22"/>
        </w:rPr>
        <w:t>au paragraph</w:t>
      </w:r>
      <w:r w:rsidRPr="00833B69">
        <w:rPr>
          <w:rFonts w:ascii="Andes" w:hAnsi="Andes" w:cs="Arial"/>
          <w:sz w:val="22"/>
          <w:szCs w:val="22"/>
        </w:rPr>
        <w:t xml:space="preserve">e 2.27 de la présente Annexe. S’il n’existe ni DTPM applicable ni d’autres conditions contractuelles standard reconnues internationalement ni de formulaire de contrat jugé acceptable par la Banque, l’Emprunteur inclut au minimum les stipulations ci-après dans le contrat. </w:t>
      </w:r>
    </w:p>
    <w:p w14:paraId="79E43FE8" w14:textId="185E0E01" w:rsidR="002D4CA4" w:rsidRDefault="002D4CA4" w:rsidP="002D4CA4">
      <w:pPr>
        <w:pStyle w:val="Paragraphedeliste"/>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 xml:space="preserve">Garantie de bonne exécution </w:t>
      </w:r>
    </w:p>
    <w:p w14:paraId="6B4BEFB0" w14:textId="77777777" w:rsidR="00746A5D" w:rsidRPr="00833B69" w:rsidRDefault="00746A5D" w:rsidP="002D4CA4">
      <w:pPr>
        <w:pStyle w:val="Paragraphedeliste"/>
        <w:spacing w:before="240" w:line="240" w:lineRule="auto"/>
        <w:contextualSpacing w:val="0"/>
        <w:rPr>
          <w:rFonts w:ascii="Andes" w:hAnsi="Andes" w:cs="Arial"/>
          <w:b/>
          <w:vanish/>
          <w:color w:val="000000" w:themeColor="text1"/>
          <w:sz w:val="28"/>
          <w:szCs w:val="28"/>
        </w:rPr>
      </w:pPr>
    </w:p>
    <w:p w14:paraId="44749E91" w14:textId="3C99F707" w:rsidR="002D4CA4" w:rsidRPr="00833B69" w:rsidRDefault="002D4CA4" w:rsidP="002D4CA4">
      <w:pPr>
        <w:pStyle w:val="Paragraphedeliste"/>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Les contrats relatifs à des Travaux et</w:t>
      </w:r>
      <w:r>
        <w:rPr>
          <w:rFonts w:ascii="Andes" w:hAnsi="Andes" w:cs="Arial"/>
          <w:sz w:val="22"/>
          <w:szCs w:val="22"/>
        </w:rPr>
        <w:t xml:space="preserve"> </w:t>
      </w:r>
      <w:r w:rsidR="00EA11B4">
        <w:rPr>
          <w:rFonts w:ascii="Andes" w:hAnsi="Andes" w:cs="Arial"/>
          <w:sz w:val="22"/>
          <w:szCs w:val="22"/>
        </w:rPr>
        <w:t xml:space="preserve">Installations </w:t>
      </w:r>
      <w:r w:rsidRPr="00833B69">
        <w:rPr>
          <w:rFonts w:ascii="Andes" w:hAnsi="Andes" w:cs="Arial"/>
          <w:sz w:val="22"/>
          <w:szCs w:val="22"/>
        </w:rPr>
        <w:t>doivent prévoir des mesures de garantie suffisantes pour protéger l’Emprunteur en cas de non-respect par l’entrepreneur de ses obligations contractuelles. Cette garantie s’élève à un montant approprié, spécifié par l’Emprunteur dans le dossier d’</w:t>
      </w:r>
      <w:r w:rsidR="00CA1E05">
        <w:rPr>
          <w:rFonts w:ascii="Andes" w:hAnsi="Andes" w:cs="Arial"/>
          <w:sz w:val="22"/>
          <w:szCs w:val="22"/>
        </w:rPr>
        <w:t>A</w:t>
      </w:r>
      <w:r w:rsidRPr="00833B69">
        <w:rPr>
          <w:rFonts w:ascii="Andes" w:hAnsi="Andes" w:cs="Arial"/>
          <w:sz w:val="22"/>
          <w:szCs w:val="22"/>
        </w:rPr>
        <w:t>ppel d’</w:t>
      </w:r>
      <w:r w:rsidR="00CA1E05">
        <w:rPr>
          <w:rFonts w:ascii="Andes" w:hAnsi="Andes" w:cs="Arial"/>
          <w:sz w:val="22"/>
          <w:szCs w:val="22"/>
        </w:rPr>
        <w:t>O</w:t>
      </w:r>
      <w:r w:rsidRPr="00833B69">
        <w:rPr>
          <w:rFonts w:ascii="Andes" w:hAnsi="Andes" w:cs="Arial"/>
          <w:sz w:val="22"/>
          <w:szCs w:val="22"/>
        </w:rPr>
        <w:t>ffres ou d’</w:t>
      </w:r>
      <w:r w:rsidR="00CA1E05">
        <w:rPr>
          <w:rFonts w:ascii="Andes" w:hAnsi="Andes" w:cs="Arial"/>
          <w:sz w:val="22"/>
          <w:szCs w:val="22"/>
        </w:rPr>
        <w:t>A</w:t>
      </w:r>
      <w:r w:rsidRPr="00833B69">
        <w:rPr>
          <w:rFonts w:ascii="Andes" w:hAnsi="Andes" w:cs="Arial"/>
          <w:sz w:val="22"/>
          <w:szCs w:val="22"/>
        </w:rPr>
        <w:t xml:space="preserve">ppel à </w:t>
      </w:r>
      <w:r w:rsidR="00CA1E05">
        <w:rPr>
          <w:rFonts w:ascii="Andes" w:hAnsi="Andes" w:cs="Arial"/>
          <w:sz w:val="22"/>
          <w:szCs w:val="22"/>
        </w:rPr>
        <w:t>P</w:t>
      </w:r>
      <w:r w:rsidRPr="00833B69">
        <w:rPr>
          <w:rFonts w:ascii="Andes" w:hAnsi="Andes" w:cs="Arial"/>
          <w:sz w:val="22"/>
          <w:szCs w:val="22"/>
        </w:rPr>
        <w:t>ropositions. Le montant de la garantie peut varier en fonction du type de la garantie ainsi que de la nature et de l’ampleur des Travaux ou installations. En règle générale, le montant des garanties bancaires ne dépasse pas dix pour cent (10%) du prix du contrat sauf si un pourcentage différent est recommandé dans les pratiques commerciales du secteur industriel concerné. Une partie de cette garantie doit rester valide suffisamment longtemps après la date d’achèvement des Travaux ou des installations pour couvrir la période de garantie technique ou de maintenance jusqu’à réception finale par l’Emprunteur.</w:t>
      </w:r>
    </w:p>
    <w:p w14:paraId="48F4011C" w14:textId="5702A0E4" w:rsidR="002D4CA4" w:rsidRPr="00833B69" w:rsidRDefault="002D4CA4" w:rsidP="002D4CA4">
      <w:pPr>
        <w:pStyle w:val="Paragraphedeliste"/>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Dans les contrats portant sur des Fournitures, la nécessité d’une garantie de bonne exécution dépend des conditions du marché et des pratiques commerciales pour le type de Fournitures </w:t>
      </w:r>
      <w:r w:rsidRPr="00833B69">
        <w:rPr>
          <w:rFonts w:ascii="Andes" w:hAnsi="Andes" w:cs="Arial"/>
          <w:sz w:val="22"/>
          <w:szCs w:val="22"/>
        </w:rPr>
        <w:lastRenderedPageBreak/>
        <w:t>concerné. À des fins de protection contre la non-exécution du contrat, il peut être demandé aux entreprises de fournir une garantie d’un montant approprié et raisonnable, spécifié par l’Emprunteur dans le dossier d’</w:t>
      </w:r>
      <w:r w:rsidR="00A80BDB">
        <w:rPr>
          <w:rFonts w:ascii="Andes" w:hAnsi="Andes" w:cs="Arial"/>
          <w:sz w:val="22"/>
          <w:szCs w:val="22"/>
        </w:rPr>
        <w:t>A</w:t>
      </w:r>
      <w:r w:rsidRPr="00833B69">
        <w:rPr>
          <w:rFonts w:ascii="Andes" w:hAnsi="Andes" w:cs="Arial"/>
          <w:sz w:val="22"/>
          <w:szCs w:val="22"/>
        </w:rPr>
        <w:t>ppel d’</w:t>
      </w:r>
      <w:r w:rsidR="00A80BDB">
        <w:rPr>
          <w:rFonts w:ascii="Andes" w:hAnsi="Andes" w:cs="Arial"/>
          <w:sz w:val="22"/>
          <w:szCs w:val="22"/>
        </w:rPr>
        <w:t>O</w:t>
      </w:r>
      <w:r w:rsidRPr="00833B69">
        <w:rPr>
          <w:rFonts w:ascii="Andes" w:hAnsi="Andes" w:cs="Arial"/>
          <w:sz w:val="22"/>
          <w:szCs w:val="22"/>
        </w:rPr>
        <w:t>ffres ou d’</w:t>
      </w:r>
      <w:r w:rsidR="00A80BDB">
        <w:rPr>
          <w:rFonts w:ascii="Andes" w:hAnsi="Andes" w:cs="Arial"/>
          <w:sz w:val="22"/>
          <w:szCs w:val="22"/>
        </w:rPr>
        <w:t>A</w:t>
      </w:r>
      <w:r w:rsidRPr="00833B69">
        <w:rPr>
          <w:rFonts w:ascii="Andes" w:hAnsi="Andes" w:cs="Arial"/>
          <w:sz w:val="22"/>
          <w:szCs w:val="22"/>
        </w:rPr>
        <w:t xml:space="preserve">ppel à </w:t>
      </w:r>
      <w:r w:rsidR="00A80BDB">
        <w:rPr>
          <w:rFonts w:ascii="Andes" w:hAnsi="Andes" w:cs="Arial"/>
          <w:sz w:val="22"/>
          <w:szCs w:val="22"/>
        </w:rPr>
        <w:t>P</w:t>
      </w:r>
      <w:r w:rsidRPr="00833B69">
        <w:rPr>
          <w:rFonts w:ascii="Andes" w:hAnsi="Andes" w:cs="Arial"/>
          <w:sz w:val="22"/>
          <w:szCs w:val="22"/>
        </w:rPr>
        <w:t>ropositions.</w:t>
      </w:r>
    </w:p>
    <w:p w14:paraId="53DB603E" w14:textId="1AE32B6A" w:rsidR="002D4CA4" w:rsidRPr="00833B69" w:rsidRDefault="002D4CA4" w:rsidP="002D4CA4">
      <w:pPr>
        <w:pStyle w:val="Paragraphedeliste"/>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Les garanties de bonne exécution revêtent une forme appropriée, jugée acceptable par la Banque, spécifiée par l’Emprunteur dans le dossier d’</w:t>
      </w:r>
      <w:r w:rsidR="002B38D4">
        <w:rPr>
          <w:rFonts w:ascii="Andes" w:hAnsi="Andes" w:cs="Arial"/>
          <w:sz w:val="22"/>
          <w:szCs w:val="22"/>
        </w:rPr>
        <w:t>Appel d’Offres ou d’Appel à Propositions</w:t>
      </w:r>
      <w:r w:rsidRPr="00833B69">
        <w:rPr>
          <w:rFonts w:ascii="Andes" w:hAnsi="Andes" w:cs="Arial"/>
          <w:sz w:val="22"/>
          <w:szCs w:val="22"/>
        </w:rPr>
        <w:t xml:space="preserve">. Les Soumissionnaires et Proposants sont autorisés à présenter une garantie de bonne exécution directement émise par une banque ou institution financière réputée (compagnie d’assurance, société de cautionnement ou garant) de leur choix, située dans un pays répondant aux critères d’admissibilité. Toutefois, si la garantie de bonne exécution est émise par une institution financière située hors du pays de l’Emprunteur, et ne peut être </w:t>
      </w:r>
      <w:r w:rsidR="00E11EB1">
        <w:rPr>
          <w:rFonts w:ascii="Andes" w:hAnsi="Andes" w:cs="Arial"/>
          <w:sz w:val="22"/>
          <w:szCs w:val="22"/>
        </w:rPr>
        <w:t>exécutoire hors du pays de l’Emprunteur</w:t>
      </w:r>
      <w:r w:rsidRPr="00833B69">
        <w:rPr>
          <w:rFonts w:ascii="Andes" w:hAnsi="Andes" w:cs="Arial"/>
          <w:sz w:val="22"/>
          <w:szCs w:val="22"/>
        </w:rPr>
        <w:t xml:space="preserve">, ladite institution financière devra avoir une institution financière correspondante implantée dans le pays de l’Emprunteur permettant </w:t>
      </w:r>
      <w:r w:rsidR="00E11EB1">
        <w:rPr>
          <w:rFonts w:ascii="Andes" w:hAnsi="Andes" w:cs="Arial"/>
          <w:sz w:val="22"/>
          <w:szCs w:val="22"/>
        </w:rPr>
        <w:t>de rendre exécutoire</w:t>
      </w:r>
      <w:r w:rsidRPr="00833B69">
        <w:rPr>
          <w:rFonts w:ascii="Andes" w:hAnsi="Andes" w:cs="Arial"/>
          <w:sz w:val="22"/>
          <w:szCs w:val="22"/>
        </w:rPr>
        <w:t xml:space="preserve"> la garantie.</w:t>
      </w:r>
    </w:p>
    <w:p w14:paraId="220818E5" w14:textId="77777777" w:rsidR="002D4CA4" w:rsidRPr="00833B69" w:rsidRDefault="002D4CA4" w:rsidP="002D4CA4">
      <w:pPr>
        <w:pStyle w:val="Paragraphedeliste"/>
        <w:spacing w:before="240" w:line="240" w:lineRule="auto"/>
        <w:contextualSpacing w:val="0"/>
        <w:rPr>
          <w:rFonts w:ascii="Andes" w:hAnsi="Andes" w:cs="Arial"/>
          <w:b/>
          <w:color w:val="000000" w:themeColor="text1"/>
          <w:sz w:val="28"/>
          <w:szCs w:val="28"/>
        </w:rPr>
      </w:pPr>
      <w:bookmarkStart w:id="3559" w:name="_Toc392000100"/>
      <w:bookmarkStart w:id="3560" w:name="_Toc392590938"/>
      <w:r w:rsidRPr="00833B69">
        <w:rPr>
          <w:rFonts w:ascii="Andes" w:hAnsi="Andes" w:cs="Arial"/>
          <w:b/>
          <w:color w:val="000000" w:themeColor="text1"/>
          <w:sz w:val="28"/>
          <w:szCs w:val="28"/>
        </w:rPr>
        <w:t>Manquements</w:t>
      </w:r>
    </w:p>
    <w:p w14:paraId="2BAFD206" w14:textId="2E8015D3" w:rsidR="002D4CA4" w:rsidRPr="00833B69" w:rsidRDefault="002D4CA4" w:rsidP="002D4CA4">
      <w:pPr>
        <w:pStyle w:val="Paragraphedeliste"/>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Le contrat doit comprendre des clauses </w:t>
      </w:r>
      <w:r w:rsidR="008A39A1">
        <w:rPr>
          <w:rFonts w:ascii="Andes" w:hAnsi="Andes" w:cs="Arial"/>
          <w:sz w:val="22"/>
          <w:szCs w:val="22"/>
        </w:rPr>
        <w:t>de suspension ou de résiliation</w:t>
      </w:r>
      <w:r w:rsidRPr="00833B69">
        <w:rPr>
          <w:rFonts w:ascii="Andes" w:hAnsi="Andes" w:cs="Arial"/>
          <w:sz w:val="22"/>
          <w:szCs w:val="22"/>
        </w:rPr>
        <w:t xml:space="preserve"> en cas de manquement au contrat de l’une ou l’autre partie.</w:t>
      </w:r>
    </w:p>
    <w:p w14:paraId="1318F8F0" w14:textId="77777777" w:rsidR="002D4CA4" w:rsidRPr="00833B69" w:rsidRDefault="002D4CA4" w:rsidP="002D4CA4">
      <w:pPr>
        <w:pStyle w:val="Paragraphedeliste"/>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Force Majeure</w:t>
      </w:r>
    </w:p>
    <w:p w14:paraId="4012D0FA" w14:textId="77777777" w:rsidR="002D4CA4" w:rsidRPr="00833B69" w:rsidRDefault="002D4CA4" w:rsidP="002D4CA4">
      <w:pPr>
        <w:pStyle w:val="Paragraphedeliste"/>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Les</w:t>
      </w:r>
      <w:r>
        <w:rPr>
          <w:rFonts w:ascii="Andes" w:hAnsi="Andes" w:cs="Arial"/>
          <w:sz w:val="22"/>
          <w:szCs w:val="22"/>
        </w:rPr>
        <w:t xml:space="preserve"> clauses et conditions contractuelles </w:t>
      </w:r>
      <w:r w:rsidRPr="00833B69">
        <w:rPr>
          <w:rFonts w:ascii="Andes" w:hAnsi="Andes" w:cs="Arial"/>
          <w:sz w:val="22"/>
          <w:szCs w:val="22"/>
        </w:rPr>
        <w:t>doivent préciser que la non-exécution par les parties de leurs obligations au titre du contrat n’est pas considérée comme un manquement si cette non-exécution est la conséquence d’un événement de force majeure tel que défini au contrat.</w:t>
      </w:r>
    </w:p>
    <w:bookmarkEnd w:id="3559"/>
    <w:bookmarkEnd w:id="3560"/>
    <w:p w14:paraId="2CE7CCBB" w14:textId="77777777" w:rsidR="002D4CA4" w:rsidRPr="00833B69" w:rsidRDefault="002D4CA4" w:rsidP="002D4CA4">
      <w:pPr>
        <w:pStyle w:val="Paragraphedeliste"/>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 xml:space="preserve">Pénalités et primes </w:t>
      </w:r>
    </w:p>
    <w:p w14:paraId="53A5E777" w14:textId="77777777" w:rsidR="002D4CA4" w:rsidRPr="00833B69" w:rsidRDefault="002D4CA4" w:rsidP="002D4CA4">
      <w:pPr>
        <w:pStyle w:val="Paragraphedeliste"/>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Le délai d’achèvement ou de livraison doit être spécifié dans le contrat. Des pénalités ou des dispositions similaires d’un montant approprié seront incluses dans les</w:t>
      </w:r>
      <w:r>
        <w:rPr>
          <w:rFonts w:ascii="Andes" w:hAnsi="Andes" w:cs="Arial"/>
          <w:sz w:val="22"/>
          <w:szCs w:val="22"/>
        </w:rPr>
        <w:t xml:space="preserve"> clauses et conditions contractuelles </w:t>
      </w:r>
      <w:r w:rsidRPr="00833B69">
        <w:rPr>
          <w:rFonts w:ascii="Andes" w:hAnsi="Andes" w:cs="Arial"/>
          <w:sz w:val="22"/>
          <w:szCs w:val="22"/>
        </w:rPr>
        <w:t>et s’appliqueront si le retard de la livraison des Fournitures, de l’achèvement des Travaux ou la non-conformité des Fournitures, des Travaux ou des Services Autres que des Services de Consultants aux exigences requises entraîne des frais supplémentaires ou des pertes de revenus ou d’autres recettes pour l’Emprunteur. Le versement d’une prime aux entrepreneurs peut également être prévu en cas d’achèvement des Travaux ou de livraison des Fournitures avant la date spécifiée au contrat, si cette anticipation est une source de bénéfice pour l’Emprunteur.</w:t>
      </w:r>
    </w:p>
    <w:p w14:paraId="1EADAFA7" w14:textId="77777777" w:rsidR="002D4CA4" w:rsidRPr="00833B69" w:rsidRDefault="002D4CA4" w:rsidP="002D4CA4">
      <w:pPr>
        <w:pStyle w:val="Paragraphedeliste"/>
        <w:spacing w:before="240" w:line="240" w:lineRule="auto"/>
        <w:contextualSpacing w:val="0"/>
        <w:rPr>
          <w:rFonts w:ascii="Andes" w:hAnsi="Andes" w:cs="Arial"/>
          <w:b/>
          <w:color w:val="000000" w:themeColor="text1"/>
          <w:sz w:val="28"/>
          <w:szCs w:val="28"/>
        </w:rPr>
      </w:pPr>
      <w:bookmarkStart w:id="3561" w:name="_Toc392000101"/>
      <w:bookmarkStart w:id="3562" w:name="_Toc392590939"/>
      <w:r w:rsidRPr="00833B69">
        <w:rPr>
          <w:rFonts w:ascii="Andes" w:hAnsi="Andes" w:cs="Arial"/>
          <w:b/>
          <w:color w:val="000000" w:themeColor="text1"/>
          <w:sz w:val="28"/>
          <w:szCs w:val="28"/>
        </w:rPr>
        <w:t>Analyse de la valeur</w:t>
      </w:r>
    </w:p>
    <w:p w14:paraId="083850F8" w14:textId="77777777" w:rsidR="002D4CA4" w:rsidRPr="00833B69" w:rsidRDefault="002D4CA4" w:rsidP="002D4CA4">
      <w:pPr>
        <w:pStyle w:val="Paragraphedeliste"/>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Pour les contrats complexes ou de valeur élevée, il est possible d’inclure des clauses d’analyse de la valeur par lesquelles l’entrepreneur propose de réduire les coûts, d’accroître les performances, d’améliorer les temps de réalisation ou de produire d’autres avantages pour l’Emprunteur. Les frais d’élaboration de la proposition sont à la charge de l’entrepreneur tandis que la décision de l’adopter ou non appartient à l’Emprunteur. Le contrat précise les conditions de partage entre les parties des bénéfices susceptibles de découler de ladite proposition. </w:t>
      </w:r>
    </w:p>
    <w:p w14:paraId="7386EF84" w14:textId="77777777" w:rsidR="002D4CA4" w:rsidRPr="00833B69" w:rsidRDefault="002D4CA4" w:rsidP="002D4CA4">
      <w:pPr>
        <w:pStyle w:val="Paragraphedeliste"/>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Gestion des modifications du contrat</w:t>
      </w:r>
    </w:p>
    <w:p w14:paraId="1A9F885A" w14:textId="77777777" w:rsidR="002D4CA4" w:rsidRPr="00833B69" w:rsidRDefault="002D4CA4" w:rsidP="002D4CA4">
      <w:pPr>
        <w:pStyle w:val="Paragraphedeliste"/>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Le contrat doit clairement indiquer les procédures à suivre pour traiter les avenants ou modifications du contrat.</w:t>
      </w:r>
    </w:p>
    <w:p w14:paraId="7E8014B8" w14:textId="110E06E1" w:rsidR="002D4CA4" w:rsidRPr="002D4CA4" w:rsidRDefault="002D4CA4" w:rsidP="002D4CA4">
      <w:pPr>
        <w:spacing w:before="0" w:after="200"/>
        <w:contextualSpacing w:val="0"/>
        <w:jc w:val="left"/>
        <w:rPr>
          <w:rFonts w:ascii="Andes" w:hAnsi="Andes" w:cs="Arial"/>
          <w:b/>
          <w:color w:val="365F91" w:themeColor="accent1" w:themeShade="BF"/>
          <w:sz w:val="28"/>
          <w:szCs w:val="28"/>
        </w:rPr>
      </w:pPr>
      <w:r w:rsidRPr="00833B69">
        <w:rPr>
          <w:rFonts w:ascii="Andes" w:hAnsi="Andes" w:cs="Arial"/>
          <w:b/>
          <w:color w:val="000000" w:themeColor="text1"/>
          <w:sz w:val="28"/>
          <w:szCs w:val="28"/>
        </w:rPr>
        <w:lastRenderedPageBreak/>
        <w:t>Paiements</w:t>
      </w:r>
    </w:p>
    <w:p w14:paraId="12A7E0A4" w14:textId="77777777" w:rsidR="002D4CA4" w:rsidRPr="00833B69" w:rsidRDefault="002D4CA4" w:rsidP="002D4CA4">
      <w:pPr>
        <w:pStyle w:val="Paragraphedeliste"/>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Les conditions contractuelles de paiement doivent être conformes aux pratiques commerciales internationales applicables aux Fournitures, Travaux et Services Autres que des Services de Consultants.</w:t>
      </w:r>
    </w:p>
    <w:p w14:paraId="4D61A88D" w14:textId="247C189F" w:rsidR="002D4CA4" w:rsidRPr="00833B69" w:rsidRDefault="002D4CA4" w:rsidP="002D4CA4">
      <w:pPr>
        <w:pStyle w:val="Paragraphedeliste"/>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Les contrats de Fournitures prévoient un paiement total à la livraison, le cas échéant après inspection des Fournitures au contrat, sauf pour les marchés incluant l’installation et la mise en service ; pour ces derniers, une partie du paiement peut intervenir une fois que l’entrepreneur a rempli toutes ses obligations au titre du contrat. La Banque requiert généralement l’utilisation de lettres de crédit pour garantir le paiement rapide de l’entrepreneur. S’agissant des contrats importants portant sur des équipements et des </w:t>
      </w:r>
      <w:r w:rsidR="00F60E9A">
        <w:rPr>
          <w:rFonts w:ascii="Andes" w:hAnsi="Andes" w:cs="Arial"/>
          <w:sz w:val="22"/>
          <w:szCs w:val="22"/>
        </w:rPr>
        <w:t>Installations</w:t>
      </w:r>
      <w:r w:rsidRPr="00833B69">
        <w:rPr>
          <w:rFonts w:ascii="Andes" w:hAnsi="Andes" w:cs="Arial"/>
          <w:sz w:val="22"/>
          <w:szCs w:val="22"/>
        </w:rPr>
        <w:t>, des dispositions sont à prévoir pour assurer des avances adéquates et, pour les contrats de longue durée, des paiements échelonnés pendant la période de fabrication ou d’assemblage</w:t>
      </w:r>
      <w:r>
        <w:rPr>
          <w:rFonts w:ascii="Andes" w:hAnsi="Andes" w:cs="Arial"/>
          <w:sz w:val="22"/>
          <w:szCs w:val="22"/>
        </w:rPr>
        <w:t>.</w:t>
      </w:r>
      <w:r w:rsidRPr="00833B69">
        <w:rPr>
          <w:rFonts w:ascii="Andes" w:hAnsi="Andes" w:cs="Arial"/>
          <w:sz w:val="22"/>
          <w:szCs w:val="22"/>
        </w:rPr>
        <w:t xml:space="preserve"> </w:t>
      </w:r>
    </w:p>
    <w:p w14:paraId="368C132C" w14:textId="77777777" w:rsidR="002D4CA4" w:rsidRPr="00833B69" w:rsidRDefault="002D4CA4" w:rsidP="002D4CA4">
      <w:pPr>
        <w:pStyle w:val="Paragraphedeliste"/>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Dans certains cas, les contrats relatifs à des Travaux pourront prévoir des avances pour frais de démarrage, des avances pour l’équipement et les matériaux nécessaires à l’entrepreneur, des versements échelonnés et des retenues d’un montant raisonnable décaissées au fur et à mesure de l’exécution par l’entrepreneur de ses obligations au titre du contrat. </w:t>
      </w:r>
    </w:p>
    <w:p w14:paraId="36C852AE" w14:textId="1B94D04C" w:rsidR="002D4CA4" w:rsidRPr="00833B69" w:rsidRDefault="002D4CA4" w:rsidP="002D4CA4">
      <w:pPr>
        <w:pStyle w:val="Paragraphedeliste"/>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Le versement d’une avance pour frais de démarrage ou d’autres dépenses similaires, intervenant au titre de la signature d’un contrat portant sur des Fournitures, Travaux et Services Autres que des Services de Consultants, doit être en rapport avec le montant estimé desdites dépenses et être spécifié dans le dossier d’</w:t>
      </w:r>
      <w:r w:rsidR="002B38D4">
        <w:rPr>
          <w:rFonts w:ascii="Andes" w:hAnsi="Andes" w:cs="Arial"/>
          <w:sz w:val="22"/>
          <w:szCs w:val="22"/>
        </w:rPr>
        <w:t>Appel d’Offres ou d’Appel à Propositions</w:t>
      </w:r>
      <w:r w:rsidRPr="00833B69">
        <w:rPr>
          <w:rFonts w:ascii="Andes" w:hAnsi="Andes" w:cs="Arial"/>
          <w:sz w:val="22"/>
          <w:szCs w:val="22"/>
        </w:rPr>
        <w:t>. Le montant et le calendrier de versement des autres avances, notamment pour des matériaux livrés sur site en vue de leur incorporation dans les Fournitures ou Travaux, devront également être spécifiés. Le cas échéant, le dossier d’</w:t>
      </w:r>
      <w:r w:rsidR="002B38D4">
        <w:rPr>
          <w:rFonts w:ascii="Andes" w:hAnsi="Andes" w:cs="Arial"/>
          <w:sz w:val="22"/>
          <w:szCs w:val="22"/>
        </w:rPr>
        <w:t>Appel d’Offres ou d’Appel à Propositions</w:t>
      </w:r>
      <w:r w:rsidRPr="00833B69">
        <w:rPr>
          <w:rFonts w:ascii="Andes" w:hAnsi="Andes" w:cs="Arial"/>
          <w:sz w:val="22"/>
          <w:szCs w:val="22"/>
        </w:rPr>
        <w:t xml:space="preserve"> spécifiera les modalités de garantie associées au versement de ces avances. </w:t>
      </w:r>
    </w:p>
    <w:p w14:paraId="3E18B2EE" w14:textId="77777777" w:rsidR="002D4CA4" w:rsidRPr="00833B69" w:rsidRDefault="002D4CA4" w:rsidP="002D4CA4">
      <w:pPr>
        <w:pStyle w:val="Paragraphedeliste"/>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Impôts, droits et taxes</w:t>
      </w:r>
    </w:p>
    <w:p w14:paraId="54952682" w14:textId="77777777" w:rsidR="002D4CA4" w:rsidRPr="00833B69" w:rsidRDefault="002D4CA4" w:rsidP="002D4CA4">
      <w:pPr>
        <w:pStyle w:val="Paragraphedeliste"/>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Les contrats doivent comprendre des clauses relatives au traitement des impôts, droits et taxes, précisant les responsabilités des parties au contrat. </w:t>
      </w:r>
    </w:p>
    <w:bookmarkEnd w:id="3561"/>
    <w:bookmarkEnd w:id="3562"/>
    <w:p w14:paraId="78F31F17" w14:textId="77777777" w:rsidR="002D4CA4" w:rsidRPr="00833B69" w:rsidRDefault="002D4CA4" w:rsidP="0056338A">
      <w:pPr>
        <w:pStyle w:val="Paragraphedeliste"/>
        <w:keepNext/>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Révision des prix</w:t>
      </w:r>
    </w:p>
    <w:p w14:paraId="21FCBBB4" w14:textId="02D21201" w:rsidR="002D4CA4" w:rsidRPr="00833B69" w:rsidRDefault="002D4CA4" w:rsidP="0056338A">
      <w:pPr>
        <w:pStyle w:val="Paragraphedeliste"/>
        <w:keepNext/>
        <w:numPr>
          <w:ilvl w:val="1"/>
          <w:numId w:val="131"/>
        </w:numPr>
        <w:spacing w:before="0" w:line="240" w:lineRule="auto"/>
        <w:ind w:left="634" w:hanging="634"/>
        <w:contextualSpacing w:val="0"/>
        <w:rPr>
          <w:rFonts w:ascii="Andes" w:hAnsi="Andes" w:cs="Arial"/>
          <w:sz w:val="22"/>
          <w:szCs w:val="22"/>
        </w:rPr>
      </w:pPr>
      <w:r w:rsidRPr="00833B69">
        <w:rPr>
          <w:rFonts w:ascii="Andes" w:hAnsi="Andes" w:cs="Arial"/>
          <w:sz w:val="22"/>
          <w:szCs w:val="22"/>
        </w:rPr>
        <w:t xml:space="preserve">Le contrat </w:t>
      </w:r>
      <w:r w:rsidR="008A39A1">
        <w:rPr>
          <w:rFonts w:ascii="Andes" w:hAnsi="Andes" w:cs="Arial"/>
          <w:sz w:val="22"/>
          <w:szCs w:val="22"/>
        </w:rPr>
        <w:t>doit st</w:t>
      </w:r>
      <w:r w:rsidR="0077419A">
        <w:rPr>
          <w:rFonts w:ascii="Andes" w:hAnsi="Andes" w:cs="Arial"/>
          <w:sz w:val="22"/>
          <w:szCs w:val="22"/>
        </w:rPr>
        <w:t>i</w:t>
      </w:r>
      <w:r w:rsidR="008A39A1">
        <w:rPr>
          <w:rFonts w:ascii="Andes" w:hAnsi="Andes" w:cs="Arial"/>
          <w:sz w:val="22"/>
          <w:szCs w:val="22"/>
        </w:rPr>
        <w:t>p</w:t>
      </w:r>
      <w:r w:rsidR="0077419A">
        <w:rPr>
          <w:rFonts w:ascii="Andes" w:hAnsi="Andes" w:cs="Arial"/>
          <w:sz w:val="22"/>
          <w:szCs w:val="22"/>
        </w:rPr>
        <w:t>u</w:t>
      </w:r>
      <w:r w:rsidR="008A39A1">
        <w:rPr>
          <w:rFonts w:ascii="Andes" w:hAnsi="Andes" w:cs="Arial"/>
          <w:sz w:val="22"/>
          <w:szCs w:val="22"/>
        </w:rPr>
        <w:t>ler</w:t>
      </w:r>
      <w:r w:rsidR="0077419A">
        <w:rPr>
          <w:rFonts w:ascii="Andes" w:hAnsi="Andes" w:cs="Arial"/>
          <w:sz w:val="22"/>
          <w:szCs w:val="22"/>
        </w:rPr>
        <w:t> :</w:t>
      </w:r>
    </w:p>
    <w:p w14:paraId="77B9B617" w14:textId="77777777" w:rsidR="002D4CA4" w:rsidRPr="00833B69" w:rsidRDefault="002D4CA4" w:rsidP="002D4CA4">
      <w:pPr>
        <w:pStyle w:val="Paragraphedeliste"/>
        <w:numPr>
          <w:ilvl w:val="1"/>
          <w:numId w:val="216"/>
        </w:numPr>
        <w:spacing w:before="0" w:line="240" w:lineRule="auto"/>
        <w:ind w:left="1260"/>
        <w:contextualSpacing w:val="0"/>
        <w:rPr>
          <w:rFonts w:ascii="Andes" w:hAnsi="Andes" w:cs="Arial"/>
          <w:sz w:val="22"/>
          <w:szCs w:val="22"/>
        </w:rPr>
      </w:pPr>
      <w:r w:rsidRPr="00833B69">
        <w:rPr>
          <w:rFonts w:ascii="Andes" w:hAnsi="Andes" w:cs="Arial"/>
          <w:sz w:val="22"/>
          <w:szCs w:val="22"/>
        </w:rPr>
        <w:t xml:space="preserve">soit que les prix contractuels sont fermes </w:t>
      </w:r>
    </w:p>
    <w:p w14:paraId="2A8B780F" w14:textId="77777777" w:rsidR="002D4CA4" w:rsidRPr="00833B69" w:rsidRDefault="002D4CA4" w:rsidP="002D4CA4">
      <w:pPr>
        <w:pStyle w:val="Paragraphedeliste"/>
        <w:numPr>
          <w:ilvl w:val="1"/>
          <w:numId w:val="216"/>
        </w:numPr>
        <w:spacing w:before="0" w:line="240" w:lineRule="auto"/>
        <w:ind w:left="1260"/>
        <w:contextualSpacing w:val="0"/>
        <w:rPr>
          <w:rFonts w:ascii="Andes" w:hAnsi="Andes" w:cs="Arial"/>
          <w:sz w:val="22"/>
          <w:szCs w:val="22"/>
        </w:rPr>
      </w:pPr>
      <w:r w:rsidRPr="00833B69">
        <w:rPr>
          <w:rFonts w:ascii="Andes" w:hAnsi="Andes" w:cs="Arial"/>
          <w:sz w:val="22"/>
          <w:szCs w:val="22"/>
        </w:rPr>
        <w:t>soit que la révision des prix contractuels se fera en fonction de l’évolution des principales composantes des coûts du marché</w:t>
      </w:r>
      <w:r>
        <w:rPr>
          <w:rFonts w:ascii="Andes" w:hAnsi="Andes" w:cs="Arial"/>
          <w:sz w:val="22"/>
          <w:szCs w:val="22"/>
        </w:rPr>
        <w:t xml:space="preserve"> (main-</w:t>
      </w:r>
      <w:r w:rsidRPr="00833B69">
        <w:rPr>
          <w:rFonts w:ascii="Andes" w:hAnsi="Andes" w:cs="Arial"/>
          <w:sz w:val="22"/>
          <w:szCs w:val="22"/>
        </w:rPr>
        <w:t xml:space="preserve">d’œuvre et matériaux, par ex.). </w:t>
      </w:r>
    </w:p>
    <w:p w14:paraId="438999E9" w14:textId="113AD9ED" w:rsidR="002D4CA4" w:rsidRPr="00833B69" w:rsidRDefault="002D4CA4" w:rsidP="002D4CA4">
      <w:pPr>
        <w:pStyle w:val="Paragraphedeliste"/>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Les clauses de révision des prix ne sont généralement pas nécessaires dans les contrats simples portant sur la livraison de Fournitures ou la réalisation de Travaux et de Services Autres que des Services de Consultants </w:t>
      </w:r>
      <w:r w:rsidR="00F60E9A">
        <w:rPr>
          <w:rFonts w:ascii="Andes" w:hAnsi="Andes" w:cs="Arial"/>
          <w:sz w:val="22"/>
          <w:szCs w:val="22"/>
        </w:rPr>
        <w:t>ne dépassant pas</w:t>
      </w:r>
      <w:r w:rsidRPr="00833B69">
        <w:rPr>
          <w:rFonts w:ascii="Andes" w:hAnsi="Andes" w:cs="Arial"/>
          <w:sz w:val="22"/>
          <w:szCs w:val="22"/>
        </w:rPr>
        <w:t xml:space="preserve"> dix-huit (18) mois mais seront incluses dans les contrats portant sur une période supérieure à dix-huit (18) mois. Les contrats de moindre durée (portant sur une période inférieure à 18 mois) peuvent aussi inclure des clauses similaires de révision des prix si une forte inflation est anticipée à l’échelle nationale ou internationale. Les prix sont révisés </w:t>
      </w:r>
      <w:r w:rsidRPr="00833B69">
        <w:rPr>
          <w:rFonts w:ascii="Andes" w:hAnsi="Andes" w:cs="Arial"/>
          <w:sz w:val="22"/>
          <w:szCs w:val="22"/>
        </w:rPr>
        <w:lastRenderedPageBreak/>
        <w:t xml:space="preserve">en fonction des indices officiels de prix applicables. En cas d’indisponibilité d’indices de ce type, il est possible de les extrapoler à partir de sources appropriées. </w:t>
      </w:r>
    </w:p>
    <w:p w14:paraId="10E25DE8" w14:textId="77777777" w:rsidR="002D4CA4" w:rsidRPr="00833B69" w:rsidRDefault="002D4CA4" w:rsidP="002D4CA4">
      <w:pPr>
        <w:pStyle w:val="Paragraphedeliste"/>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Les formules, les indices de prix applicables et la date de base d’application doivent être clairement définis dans le contrat. Celui-ci doit également comprendre des clauses appropriées pour traiter les conséquences sur le contrat </w:t>
      </w:r>
      <w:r>
        <w:rPr>
          <w:rFonts w:ascii="Andes" w:hAnsi="Andes" w:cs="Arial"/>
          <w:sz w:val="22"/>
          <w:szCs w:val="22"/>
        </w:rPr>
        <w:t>d’une modification de la législation du</w:t>
      </w:r>
      <w:r w:rsidRPr="00833B69">
        <w:rPr>
          <w:rFonts w:ascii="Andes" w:hAnsi="Andes" w:cs="Arial"/>
          <w:sz w:val="22"/>
          <w:szCs w:val="22"/>
        </w:rPr>
        <w:t xml:space="preserve"> pays de l’Emprunteur, si </w:t>
      </w:r>
      <w:r>
        <w:rPr>
          <w:rFonts w:ascii="Andes" w:hAnsi="Andes" w:cs="Arial"/>
          <w:sz w:val="22"/>
          <w:szCs w:val="22"/>
        </w:rPr>
        <w:t>celle</w:t>
      </w:r>
      <w:r w:rsidRPr="00833B69">
        <w:rPr>
          <w:rFonts w:ascii="Andes" w:hAnsi="Andes" w:cs="Arial"/>
          <w:sz w:val="22"/>
          <w:szCs w:val="22"/>
        </w:rPr>
        <w:t xml:space="preserve">-ci intervient dans les 28 jours précédant la date de </w:t>
      </w:r>
      <w:r>
        <w:rPr>
          <w:rFonts w:ascii="Andes" w:hAnsi="Andes" w:cs="Arial"/>
          <w:sz w:val="22"/>
          <w:szCs w:val="22"/>
        </w:rPr>
        <w:t>remise</w:t>
      </w:r>
      <w:r w:rsidRPr="00833B69">
        <w:rPr>
          <w:rFonts w:ascii="Andes" w:hAnsi="Andes" w:cs="Arial"/>
          <w:sz w:val="22"/>
          <w:szCs w:val="22"/>
        </w:rPr>
        <w:t xml:space="preserve"> des offres ou propositions et </w:t>
      </w:r>
      <w:r>
        <w:rPr>
          <w:rFonts w:ascii="Andes" w:hAnsi="Andes" w:cs="Arial"/>
          <w:sz w:val="22"/>
          <w:szCs w:val="22"/>
        </w:rPr>
        <w:t>a</w:t>
      </w:r>
      <w:r w:rsidRPr="00833B69">
        <w:rPr>
          <w:rFonts w:ascii="Andes" w:hAnsi="Andes" w:cs="Arial"/>
          <w:sz w:val="22"/>
          <w:szCs w:val="22"/>
        </w:rPr>
        <w:t xml:space="preserve"> ensuite des effets sur la période d’exécution du marché, la date de livraison ou le prix du marché.  </w:t>
      </w:r>
    </w:p>
    <w:p w14:paraId="57395416" w14:textId="77777777" w:rsidR="002D4CA4" w:rsidRPr="00833B69" w:rsidRDefault="002D4CA4" w:rsidP="002D4CA4">
      <w:pPr>
        <w:pStyle w:val="Paragraphedeliste"/>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Incoterms</w:t>
      </w:r>
    </w:p>
    <w:p w14:paraId="4D5BC2C8" w14:textId="77777777" w:rsidR="002D4CA4" w:rsidRPr="00833B69" w:rsidRDefault="002D4CA4" w:rsidP="002D4CA4">
      <w:pPr>
        <w:pStyle w:val="Paragraphedeliste"/>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La version en vigueur des Incoterms s’applique aux marchés de Fournitures. </w:t>
      </w:r>
    </w:p>
    <w:p w14:paraId="544C56FC" w14:textId="77777777" w:rsidR="002D4CA4" w:rsidRPr="00833B69" w:rsidRDefault="002D4CA4" w:rsidP="002D4CA4">
      <w:pPr>
        <w:pStyle w:val="Paragraphedeliste"/>
        <w:spacing w:before="240" w:line="240" w:lineRule="auto"/>
        <w:contextualSpacing w:val="0"/>
        <w:rPr>
          <w:rFonts w:ascii="Andes" w:hAnsi="Andes" w:cs="Arial"/>
          <w:b/>
          <w:color w:val="000000" w:themeColor="text1"/>
          <w:sz w:val="28"/>
          <w:szCs w:val="28"/>
        </w:rPr>
      </w:pPr>
      <w:bookmarkStart w:id="3563" w:name="_Toc392000104"/>
      <w:bookmarkStart w:id="3564" w:name="_Toc392590942"/>
      <w:r w:rsidRPr="00833B69">
        <w:rPr>
          <w:rFonts w:ascii="Andes" w:hAnsi="Andes" w:cs="Arial"/>
          <w:b/>
          <w:color w:val="000000" w:themeColor="text1"/>
          <w:sz w:val="28"/>
          <w:szCs w:val="28"/>
        </w:rPr>
        <w:t>Assurance</w:t>
      </w:r>
    </w:p>
    <w:p w14:paraId="0FB1E3B5" w14:textId="77777777" w:rsidR="002D4CA4" w:rsidRPr="00833B69" w:rsidRDefault="002D4CA4" w:rsidP="002D4CA4">
      <w:pPr>
        <w:pStyle w:val="Paragraphedeliste"/>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 xml:space="preserve">Les contrats doivent préciser les types et conditions d’assurance à souscrire par les entrepreneurs. En règle générale, une police d’assurance de type « tous risques » est spécifiée. Pour les Fournitures et les marchés à responsabilité unique, l’indemnité payable au titre de l’assurance transport se montera au minimum à 110 % (cent dix pour cent) du prix CIP des Fournitures à importer, dans la monnaie de paiement ou dans une monnaie librement convertible, de manière à permettre le remplacement rapide des Fournitures perdues ou endommagées. </w:t>
      </w:r>
    </w:p>
    <w:p w14:paraId="36794848" w14:textId="77777777" w:rsidR="002D4CA4" w:rsidRPr="00833B69" w:rsidRDefault="002D4CA4" w:rsidP="002D4CA4">
      <w:pPr>
        <w:pStyle w:val="Paragraphedeliste"/>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Si l’Emprunteur ne souhaite pas contracter une assurance par le biais du contrat mais préfère prendre ses propres dispositions en la matière ou s’adresser à une compagnie d’assurance nationale ou à d’autres entreprises désignées, il fournit une attestation jugée satisfaisante par la Banque établissant :</w:t>
      </w:r>
    </w:p>
    <w:p w14:paraId="65D6CE77" w14:textId="77777777" w:rsidR="002D4CA4" w:rsidRPr="00833B69" w:rsidRDefault="002D4CA4" w:rsidP="002D4CA4">
      <w:pPr>
        <w:pStyle w:val="Paragraphedeliste"/>
        <w:numPr>
          <w:ilvl w:val="0"/>
          <w:numId w:val="217"/>
        </w:numPr>
        <w:spacing w:before="0" w:line="240" w:lineRule="auto"/>
        <w:contextualSpacing w:val="0"/>
        <w:rPr>
          <w:rFonts w:ascii="Andes" w:hAnsi="Andes" w:cs="Arial"/>
          <w:sz w:val="22"/>
          <w:szCs w:val="22"/>
        </w:rPr>
      </w:pPr>
      <w:r w:rsidRPr="00833B69">
        <w:rPr>
          <w:rFonts w:ascii="Andes" w:hAnsi="Andes" w:cs="Arial"/>
          <w:sz w:val="22"/>
          <w:szCs w:val="22"/>
        </w:rPr>
        <w:t xml:space="preserve">que des moyens sont facilement mobilisables pour assurer un paiement rapide, dans l’une des monnaies de paiement librement convertibles mentionnées au contrat, des indemnités nécessaires pour remplacer les Fournitures ou Travaux perdus ou endommagés ; et </w:t>
      </w:r>
    </w:p>
    <w:p w14:paraId="7CBBA30A" w14:textId="77777777" w:rsidR="002D4CA4" w:rsidRPr="00833B69" w:rsidRDefault="002D4CA4" w:rsidP="002D4CA4">
      <w:pPr>
        <w:pStyle w:val="Paragraphedeliste"/>
        <w:numPr>
          <w:ilvl w:val="0"/>
          <w:numId w:val="217"/>
        </w:numPr>
        <w:spacing w:before="0" w:line="240" w:lineRule="auto"/>
        <w:contextualSpacing w:val="0"/>
        <w:rPr>
          <w:rFonts w:ascii="Andes" w:hAnsi="Andes" w:cs="Arial"/>
          <w:sz w:val="22"/>
          <w:szCs w:val="22"/>
        </w:rPr>
      </w:pPr>
      <w:r w:rsidRPr="00833B69">
        <w:rPr>
          <w:rFonts w:ascii="Andes" w:hAnsi="Andes" w:cs="Arial"/>
          <w:sz w:val="22"/>
          <w:szCs w:val="22"/>
        </w:rPr>
        <w:t xml:space="preserve">que les risques sont adéquatement assurés. </w:t>
      </w:r>
    </w:p>
    <w:p w14:paraId="456AA17B" w14:textId="77777777" w:rsidR="002D4CA4" w:rsidRPr="00833B69" w:rsidRDefault="002D4CA4" w:rsidP="002D4CA4">
      <w:pPr>
        <w:pStyle w:val="Paragraphedeliste"/>
        <w:spacing w:before="240" w:line="240" w:lineRule="auto"/>
        <w:contextualSpacing w:val="0"/>
        <w:rPr>
          <w:rFonts w:ascii="Andes" w:hAnsi="Andes" w:cs="Arial"/>
          <w:b/>
          <w:color w:val="000000" w:themeColor="text1"/>
          <w:sz w:val="28"/>
          <w:szCs w:val="28"/>
        </w:rPr>
      </w:pPr>
      <w:r>
        <w:rPr>
          <w:rFonts w:ascii="Andes" w:hAnsi="Andes" w:cs="Arial"/>
          <w:b/>
          <w:color w:val="000000" w:themeColor="text1"/>
          <w:sz w:val="28"/>
          <w:szCs w:val="28"/>
        </w:rPr>
        <w:t>Droits d’auteur</w:t>
      </w:r>
      <w:r w:rsidRPr="00833B69">
        <w:rPr>
          <w:rFonts w:ascii="Andes" w:hAnsi="Andes" w:cs="Arial"/>
          <w:b/>
          <w:color w:val="000000" w:themeColor="text1"/>
          <w:sz w:val="28"/>
          <w:szCs w:val="28"/>
        </w:rPr>
        <w:t xml:space="preserve"> et brevets</w:t>
      </w:r>
    </w:p>
    <w:p w14:paraId="26C1C66C" w14:textId="77777777" w:rsidR="002D4CA4" w:rsidRPr="00833B69" w:rsidRDefault="002D4CA4" w:rsidP="002D4CA4">
      <w:pPr>
        <w:pStyle w:val="Paragraphedeliste"/>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Le contrat doit comprendre des clauses portant sur les droits de reproduction et l’utilisation des brevets.</w:t>
      </w:r>
    </w:p>
    <w:bookmarkEnd w:id="3563"/>
    <w:bookmarkEnd w:id="3564"/>
    <w:p w14:paraId="72E5F5CC" w14:textId="77777777" w:rsidR="002D4CA4" w:rsidRPr="00833B69" w:rsidRDefault="002D4CA4" w:rsidP="002D4CA4">
      <w:pPr>
        <w:pStyle w:val="Paragraphedeliste"/>
        <w:spacing w:before="240" w:line="240" w:lineRule="auto"/>
        <w:contextualSpacing w:val="0"/>
        <w:rPr>
          <w:rFonts w:ascii="Andes" w:hAnsi="Andes" w:cs="Arial"/>
          <w:b/>
          <w:color w:val="000000" w:themeColor="text1"/>
          <w:sz w:val="28"/>
          <w:szCs w:val="28"/>
        </w:rPr>
      </w:pPr>
      <w:r w:rsidRPr="00833B69">
        <w:rPr>
          <w:rFonts w:ascii="Andes" w:hAnsi="Andes" w:cs="Arial"/>
          <w:b/>
          <w:color w:val="000000" w:themeColor="text1"/>
          <w:sz w:val="28"/>
          <w:szCs w:val="28"/>
        </w:rPr>
        <w:t xml:space="preserve">Droit applicable et règlement des litiges </w:t>
      </w:r>
    </w:p>
    <w:p w14:paraId="7B1387C5" w14:textId="19C718A4" w:rsidR="002D4CA4" w:rsidRPr="00833B69" w:rsidRDefault="002D4CA4" w:rsidP="002D4CA4">
      <w:pPr>
        <w:pStyle w:val="Paragraphedeliste"/>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Les contrats relatifs à</w:t>
      </w:r>
      <w:r>
        <w:rPr>
          <w:rFonts w:ascii="Andes" w:hAnsi="Andes" w:cs="Arial"/>
          <w:sz w:val="22"/>
          <w:szCs w:val="22"/>
        </w:rPr>
        <w:t xml:space="preserve"> des marchés faisant appel à la concurrence internationale </w:t>
      </w:r>
      <w:r w:rsidRPr="00833B69">
        <w:rPr>
          <w:rFonts w:ascii="Andes" w:hAnsi="Andes" w:cs="Arial"/>
          <w:sz w:val="22"/>
          <w:szCs w:val="22"/>
        </w:rPr>
        <w:t xml:space="preserve">doivent comprendre des clauses </w:t>
      </w:r>
      <w:r>
        <w:rPr>
          <w:rFonts w:ascii="Andes" w:hAnsi="Andes" w:cs="Arial"/>
          <w:sz w:val="22"/>
          <w:szCs w:val="22"/>
        </w:rPr>
        <w:t xml:space="preserve">et conditions </w:t>
      </w:r>
      <w:r w:rsidRPr="00833B69">
        <w:rPr>
          <w:rFonts w:ascii="Andes" w:hAnsi="Andes" w:cs="Arial"/>
          <w:sz w:val="22"/>
          <w:szCs w:val="22"/>
        </w:rPr>
        <w:t>portant sur le droit applicable et l’instance compétente pour le règlement des litiges. Tous les contrats relatifs à</w:t>
      </w:r>
      <w:r>
        <w:rPr>
          <w:rFonts w:ascii="Andes" w:hAnsi="Andes" w:cs="Arial"/>
          <w:sz w:val="22"/>
          <w:szCs w:val="22"/>
        </w:rPr>
        <w:t xml:space="preserve"> des marchés faisant appel à la concurrence internationale </w:t>
      </w:r>
      <w:r w:rsidRPr="00833B69">
        <w:rPr>
          <w:rFonts w:ascii="Andes" w:hAnsi="Andes" w:cs="Arial"/>
          <w:sz w:val="22"/>
          <w:szCs w:val="22"/>
        </w:rPr>
        <w:t xml:space="preserve">doivent comprendre des mécanismes appropriés de règlement indépendant des litiges (experts ou </w:t>
      </w:r>
      <w:r w:rsidR="00234A78">
        <w:rPr>
          <w:rFonts w:ascii="Andes" w:hAnsi="Andes" w:cs="Arial"/>
          <w:sz w:val="22"/>
          <w:szCs w:val="22"/>
        </w:rPr>
        <w:t>comités de conciliation</w:t>
      </w:r>
      <w:r w:rsidRPr="00833B69">
        <w:rPr>
          <w:rFonts w:ascii="Andes" w:hAnsi="Andes" w:cs="Arial"/>
          <w:sz w:val="22"/>
          <w:szCs w:val="22"/>
        </w:rPr>
        <w:t xml:space="preserve"> des litiges). </w:t>
      </w:r>
    </w:p>
    <w:p w14:paraId="374C89BA" w14:textId="77777777" w:rsidR="002D4CA4" w:rsidRPr="00833B69" w:rsidRDefault="002D4CA4" w:rsidP="002D4CA4">
      <w:pPr>
        <w:pStyle w:val="Paragraphedeliste"/>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t>L’arbitrage commercial international dans un lieu neutre sera également requis, sauf si la r</w:t>
      </w:r>
      <w:r>
        <w:rPr>
          <w:rFonts w:ascii="Andes" w:hAnsi="Andes" w:cs="Arial"/>
          <w:sz w:val="22"/>
          <w:szCs w:val="22"/>
        </w:rPr>
        <w:t>é</w:t>
      </w:r>
      <w:r w:rsidRPr="00833B69">
        <w:rPr>
          <w:rFonts w:ascii="Andes" w:hAnsi="Andes" w:cs="Arial"/>
          <w:sz w:val="22"/>
          <w:szCs w:val="22"/>
        </w:rPr>
        <w:t xml:space="preserve">glementation et les procédures d’arbitrage nationales assurent un équivalent, jugé acceptable par la Banque, de l’arbitrage commercial international et si le lieu est neutre, ou si le marché a été attribué à un Soumissionnaire/Proposant/Consultant du pays de l’Emprunteur. </w:t>
      </w:r>
    </w:p>
    <w:p w14:paraId="0E4C7379" w14:textId="77777777" w:rsidR="002D4CA4" w:rsidRPr="00833B69" w:rsidRDefault="002D4CA4" w:rsidP="002D4CA4">
      <w:pPr>
        <w:pStyle w:val="Paragraphedeliste"/>
        <w:numPr>
          <w:ilvl w:val="1"/>
          <w:numId w:val="131"/>
        </w:numPr>
        <w:spacing w:before="0" w:line="240" w:lineRule="auto"/>
        <w:ind w:left="630" w:hanging="630"/>
        <w:contextualSpacing w:val="0"/>
        <w:rPr>
          <w:rFonts w:ascii="Andes" w:hAnsi="Andes" w:cs="Arial"/>
          <w:sz w:val="22"/>
          <w:szCs w:val="22"/>
        </w:rPr>
      </w:pPr>
      <w:r w:rsidRPr="00833B69">
        <w:rPr>
          <w:rFonts w:ascii="Andes" w:hAnsi="Andes" w:cs="Arial"/>
          <w:sz w:val="22"/>
          <w:szCs w:val="22"/>
        </w:rPr>
        <w:lastRenderedPageBreak/>
        <w:t>La Banque ne saurait être désignée comme arbitre ni être invitée à en désigner un. Il est toutefois entendu que les agents du Centre international pour le règlement des différends relatifs aux investissements (CIRDI) demeurent libres, en cette qualité, de désigner des arbitres.</w:t>
      </w:r>
    </w:p>
    <w:p w14:paraId="0265EE48" w14:textId="163950AF" w:rsidR="002D4CA4" w:rsidRPr="002D4CA4" w:rsidRDefault="002D4CA4" w:rsidP="002D4CA4">
      <w:pPr>
        <w:spacing w:before="0" w:after="200"/>
        <w:contextualSpacing w:val="0"/>
        <w:jc w:val="left"/>
        <w:rPr>
          <w:rFonts w:ascii="Andes" w:hAnsi="Andes" w:cs="Arial"/>
          <w:sz w:val="22"/>
          <w:szCs w:val="22"/>
        </w:rPr>
      </w:pPr>
      <w:r w:rsidRPr="00833B69">
        <w:rPr>
          <w:rFonts w:ascii="Andes" w:hAnsi="Andes" w:cs="Arial"/>
          <w:b/>
          <w:color w:val="000000" w:themeColor="text1"/>
          <w:sz w:val="28"/>
          <w:szCs w:val="28"/>
        </w:rPr>
        <w:t xml:space="preserve">Fraude et Corruption </w:t>
      </w:r>
    </w:p>
    <w:p w14:paraId="1B72FE0D" w14:textId="111D39BE" w:rsidR="006B7880" w:rsidRDefault="002D4CA4" w:rsidP="002D4CA4">
      <w:pPr>
        <w:pStyle w:val="Paragraphedeliste"/>
        <w:numPr>
          <w:ilvl w:val="1"/>
          <w:numId w:val="131"/>
        </w:numPr>
        <w:spacing w:before="240" w:line="240" w:lineRule="auto"/>
        <w:ind w:left="629" w:hanging="629"/>
        <w:contextualSpacing w:val="0"/>
        <w:rPr>
          <w:rFonts w:ascii="Andes" w:hAnsi="Andes" w:cs="Arial"/>
          <w:sz w:val="22"/>
          <w:szCs w:val="22"/>
        </w:rPr>
      </w:pPr>
      <w:r w:rsidRPr="00833B69">
        <w:rPr>
          <w:rFonts w:ascii="Andes" w:hAnsi="Andes" w:cs="Arial"/>
          <w:sz w:val="22"/>
          <w:szCs w:val="22"/>
        </w:rPr>
        <w:t xml:space="preserve">La Banque exige l’application et le respect des Directives pour la Lutte contre la Corruption, en particulier l’application intégrale de son droit d’infliger des sanctions </w:t>
      </w:r>
      <w:r>
        <w:rPr>
          <w:rFonts w:ascii="Andes" w:hAnsi="Andes" w:cs="Arial"/>
          <w:sz w:val="22"/>
          <w:szCs w:val="22"/>
        </w:rPr>
        <w:t>ainsi que</w:t>
      </w:r>
      <w:r w:rsidRPr="00833B69">
        <w:rPr>
          <w:rFonts w:ascii="Andes" w:hAnsi="Andes" w:cs="Arial"/>
          <w:sz w:val="22"/>
          <w:szCs w:val="22"/>
        </w:rPr>
        <w:t xml:space="preserve"> de son droit d’inspection et de vérification (pour plus de détails, voir l’Annexe IV, Fraude et Corruption.</w:t>
      </w:r>
    </w:p>
    <w:p w14:paraId="5BB63C13" w14:textId="0EC6F007" w:rsidR="006B7880" w:rsidRDefault="006B7880" w:rsidP="006B7880">
      <w:pPr>
        <w:tabs>
          <w:tab w:val="left" w:pos="8561"/>
        </w:tabs>
      </w:pPr>
    </w:p>
    <w:p w14:paraId="486B1523" w14:textId="0EC435E5" w:rsidR="006B7880" w:rsidRDefault="006B7880" w:rsidP="006B7880"/>
    <w:p w14:paraId="185448AB" w14:textId="77777777" w:rsidR="008A510A" w:rsidRPr="006B7880" w:rsidRDefault="008A510A" w:rsidP="006B7880">
      <w:pPr>
        <w:sectPr w:rsidR="008A510A" w:rsidRPr="006B7880" w:rsidSect="000B5EC0">
          <w:headerReference w:type="default" r:id="rId36"/>
          <w:pgSz w:w="12240" w:h="15840"/>
          <w:pgMar w:top="1872" w:right="1440" w:bottom="1440" w:left="1411" w:header="720" w:footer="720" w:gutter="0"/>
          <w:cols w:space="720"/>
          <w:docGrid w:linePitch="360"/>
        </w:sectPr>
      </w:pPr>
    </w:p>
    <w:p w14:paraId="29B1DDF5" w14:textId="338659E5" w:rsidR="008F0584" w:rsidRPr="00B1581D" w:rsidRDefault="004A283E" w:rsidP="00EA4749">
      <w:pPr>
        <w:pStyle w:val="Paragraphedeliste"/>
        <w:numPr>
          <w:ilvl w:val="0"/>
          <w:numId w:val="88"/>
        </w:numPr>
        <w:tabs>
          <w:tab w:val="left" w:pos="630"/>
        </w:tabs>
        <w:spacing w:before="0" w:after="200" w:line="240" w:lineRule="auto"/>
        <w:ind w:left="634"/>
        <w:contextualSpacing w:val="0"/>
        <w:jc w:val="left"/>
        <w:rPr>
          <w:rFonts w:ascii="Andes" w:hAnsi="Andes" w:cs="Arial"/>
          <w:b/>
        </w:rPr>
      </w:pPr>
      <w:bookmarkStart w:id="3565" w:name="_Toc409801522"/>
      <w:bookmarkStart w:id="3566" w:name="_Toc453170995"/>
      <w:bookmarkStart w:id="3567" w:name="_Toc453544337"/>
      <w:bookmarkEnd w:id="3555"/>
      <w:bookmarkEnd w:id="3556"/>
      <w:r w:rsidRPr="004A283E">
        <w:rPr>
          <w:rFonts w:ascii="Andes" w:hAnsi="Andes" w:cs="Microsoft Sans Serif"/>
          <w:caps/>
          <w:noProof/>
          <w:color w:val="002060"/>
          <w:lang w:val="en-US"/>
        </w:rPr>
        <w:lastRenderedPageBreak/>
        <mc:AlternateContent>
          <mc:Choice Requires="wps">
            <w:drawing>
              <wp:anchor distT="0" distB="0" distL="114300" distR="114300" simplePos="0" relativeHeight="251692032" behindDoc="0" locked="0" layoutInCell="1" allowOverlap="1" wp14:anchorId="69DF2EF3" wp14:editId="4FFF9BE8">
                <wp:simplePos x="0" y="0"/>
                <wp:positionH relativeFrom="page">
                  <wp:posOffset>-173355</wp:posOffset>
                </wp:positionH>
                <wp:positionV relativeFrom="paragraph">
                  <wp:posOffset>-1192901</wp:posOffset>
                </wp:positionV>
                <wp:extent cx="8151963" cy="1466491"/>
                <wp:effectExtent l="0" t="0" r="1905" b="635"/>
                <wp:wrapNone/>
                <wp:docPr id="28" name="Rectangle 28"/>
                <wp:cNvGraphicFramePr/>
                <a:graphic xmlns:a="http://schemas.openxmlformats.org/drawingml/2006/main">
                  <a:graphicData uri="http://schemas.microsoft.com/office/word/2010/wordprocessingShape">
                    <wps:wsp>
                      <wps:cNvSpPr/>
                      <wps:spPr>
                        <a:xfrm>
                          <a:off x="0" y="0"/>
                          <a:ext cx="8151963" cy="1466491"/>
                        </a:xfrm>
                        <a:prstGeom prst="rect">
                          <a:avLst/>
                        </a:prstGeom>
                        <a:solidFill>
                          <a:srgbClr val="C45911"/>
                        </a:solidFill>
                        <a:ln w="12700" cap="flat" cmpd="sng" algn="ctr">
                          <a:noFill/>
                          <a:prstDash val="solid"/>
                          <a:miter lim="800000"/>
                        </a:ln>
                        <a:effectLst/>
                      </wps:spPr>
                      <wps:txbx>
                        <w:txbxContent>
                          <w:p w14:paraId="40C02955" w14:textId="4FB96CBA" w:rsidR="00A41794" w:rsidRPr="00335BAE" w:rsidRDefault="00A41794" w:rsidP="00335BAE">
                            <w:pPr>
                              <w:tabs>
                                <w:tab w:val="left" w:pos="3240"/>
                              </w:tabs>
                              <w:ind w:left="1530"/>
                              <w:rPr>
                                <w:rFonts w:ascii="Andes" w:hAnsi="Andes"/>
                                <w:color w:val="FFFFFF" w:themeColor="background1"/>
                                <w:sz w:val="44"/>
                                <w:szCs w:val="44"/>
                              </w:rPr>
                            </w:pPr>
                            <w:r w:rsidRPr="00D124D9">
                              <w:rPr>
                                <w:rFonts w:ascii="Andes" w:hAnsi="Andes"/>
                                <w:color w:val="FFFFFF" w:themeColor="background1"/>
                                <w:sz w:val="44"/>
                                <w:szCs w:val="44"/>
                              </w:rPr>
                              <w:t xml:space="preserve">Annexe X.  </w:t>
                            </w:r>
                            <w:r w:rsidRPr="00D124D9">
                              <w:rPr>
                                <w:rFonts w:ascii="Andes" w:hAnsi="Andes"/>
                                <w:color w:val="FFFFFF" w:themeColor="background1"/>
                                <w:sz w:val="44"/>
                                <w:szCs w:val="44"/>
                              </w:rPr>
                              <w:tab/>
                              <w:t>Critères d’évaluation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F2EF3" id="Rectangle 28" o:spid="_x0000_s1046" style="position:absolute;left:0;text-align:left;margin-left:-13.65pt;margin-top:-93.95pt;width:641.9pt;height:115.4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" fillcolor="#c45911" stroked="f" strokeweight="1pt">
                <v:textbox>
                  <w:txbxContent>
                    <w:p w14:paraId="40C02955" w14:textId="4FB96CBA" w:rsidR="00A41794" w:rsidRPr="00335BAE" w:rsidRDefault="00A41794" w:rsidP="00335BAE">
                      <w:pPr>
                        <w:tabs>
                          <w:tab w:val="left" w:pos="3240"/>
                        </w:tabs>
                        <w:ind w:left="1530"/>
                        <w:rPr>
                          <w:rFonts w:ascii="Andes" w:hAnsi="Andes"/>
                          <w:color w:val="FFFFFF" w:themeColor="background1"/>
                          <w:sz w:val="44"/>
                          <w:szCs w:val="44"/>
                        </w:rPr>
                      </w:pPr>
                      <w:r w:rsidRPr="00D124D9">
                        <w:rPr>
                          <w:rFonts w:ascii="Andes" w:hAnsi="Andes"/>
                          <w:color w:val="FFFFFF" w:themeColor="background1"/>
                          <w:sz w:val="44"/>
                          <w:szCs w:val="44"/>
                        </w:rPr>
                        <w:t xml:space="preserve">Annexe X.  </w:t>
                      </w:r>
                      <w:r w:rsidRPr="00D124D9">
                        <w:rPr>
                          <w:rFonts w:ascii="Andes" w:hAnsi="Andes"/>
                          <w:color w:val="FFFFFF" w:themeColor="background1"/>
                          <w:sz w:val="44"/>
                          <w:szCs w:val="44"/>
                        </w:rPr>
                        <w:tab/>
                        <w:t>Critères d’évaluation</w:t>
                      </w:r>
                    </w:p>
                  </w:txbxContent>
                </v:textbox>
                <w10:wrap anchorx="page"/>
              </v:rect>
            </w:pict>
          </mc:Fallback>
        </mc:AlternateContent>
      </w:r>
      <w:r w:rsidR="005E4809" w:rsidRPr="007656EB">
        <w:rPr>
          <w:rFonts w:ascii="Andes" w:hAnsi="Andes" w:cs="Arial"/>
          <w:sz w:val="32"/>
          <w:szCs w:val="32"/>
          <w:lang w:val="en-US"/>
        </w:rPr>
        <w:t>Annex X</w:t>
      </w:r>
      <w:bookmarkStart w:id="3568" w:name="_Toc409801523"/>
      <w:bookmarkEnd w:id="3565"/>
      <w:r w:rsidR="00687669">
        <w:rPr>
          <w:rFonts w:ascii="Andes" w:hAnsi="Andes" w:cs="Arial"/>
          <w:sz w:val="32"/>
          <w:szCs w:val="32"/>
          <w:lang w:val="en-US"/>
        </w:rPr>
        <w:t xml:space="preserve">.  </w:t>
      </w:r>
      <w:r w:rsidR="005E4809" w:rsidRPr="007656EB">
        <w:rPr>
          <w:rFonts w:ascii="Andes" w:hAnsi="Andes" w:cs="Arial"/>
          <w:sz w:val="32"/>
          <w:szCs w:val="32"/>
          <w:lang w:val="en-US"/>
        </w:rPr>
        <w:t>Evaluation Criteria</w:t>
      </w:r>
      <w:bookmarkStart w:id="3569" w:name="_Toc409801524"/>
      <w:bookmarkEnd w:id="3566"/>
      <w:bookmarkEnd w:id="3567"/>
      <w:bookmarkEnd w:id="3568"/>
    </w:p>
    <w:p w14:paraId="1F88B347" w14:textId="77777777" w:rsidR="00335BAE" w:rsidRPr="00D124D9" w:rsidRDefault="00335BAE" w:rsidP="00335BAE">
      <w:pPr>
        <w:pStyle w:val="Paragraphedeliste"/>
        <w:numPr>
          <w:ilvl w:val="0"/>
          <w:numId w:val="132"/>
        </w:numPr>
        <w:spacing w:before="360" w:line="240" w:lineRule="auto"/>
        <w:ind w:left="634" w:hanging="634"/>
        <w:contextualSpacing w:val="0"/>
        <w:rPr>
          <w:rFonts w:ascii="Andes" w:eastAsiaTheme="majorEastAsia" w:hAnsi="Andes"/>
          <w:b/>
          <w:color w:val="C45911"/>
          <w:sz w:val="32"/>
          <w:szCs w:val="32"/>
        </w:rPr>
      </w:pPr>
      <w:bookmarkStart w:id="3570" w:name="_Toc453170996"/>
      <w:bookmarkEnd w:id="3569"/>
      <w:r w:rsidRPr="00D124D9">
        <w:rPr>
          <w:rFonts w:ascii="Andes" w:eastAsiaTheme="majorEastAsia" w:hAnsi="Andes"/>
          <w:b/>
          <w:color w:val="C45911"/>
          <w:sz w:val="32"/>
          <w:szCs w:val="32"/>
        </w:rPr>
        <w:t>Objet</w:t>
      </w:r>
      <w:bookmarkEnd w:id="3570"/>
      <w:r w:rsidRPr="00D124D9">
        <w:rPr>
          <w:rFonts w:ascii="Andes" w:eastAsiaTheme="majorEastAsia" w:hAnsi="Andes"/>
          <w:b/>
          <w:color w:val="C45911"/>
          <w:sz w:val="32"/>
          <w:szCs w:val="32"/>
        </w:rPr>
        <w:t xml:space="preserve"> </w:t>
      </w:r>
    </w:p>
    <w:p w14:paraId="5A52666F" w14:textId="07AD44E9" w:rsidR="00335BAE" w:rsidRPr="00D124D9" w:rsidRDefault="00335BAE" w:rsidP="00335BAE">
      <w:pPr>
        <w:pStyle w:val="Paragraphedeliste"/>
        <w:numPr>
          <w:ilvl w:val="0"/>
          <w:numId w:val="89"/>
        </w:numPr>
        <w:tabs>
          <w:tab w:val="left" w:pos="630"/>
        </w:tabs>
        <w:spacing w:before="0" w:line="240" w:lineRule="auto"/>
        <w:ind w:left="634"/>
        <w:contextualSpacing w:val="0"/>
        <w:rPr>
          <w:rFonts w:ascii="Andes" w:hAnsi="Andes" w:cs="Arial"/>
          <w:sz w:val="22"/>
          <w:szCs w:val="22"/>
        </w:rPr>
      </w:pPr>
      <w:r w:rsidRPr="00D124D9">
        <w:rPr>
          <w:rFonts w:ascii="Andes" w:hAnsi="Andes" w:cs="Arial"/>
          <w:sz w:val="22"/>
          <w:szCs w:val="22"/>
        </w:rPr>
        <w:t xml:space="preserve">La présente annexe décrit les principes des </w:t>
      </w:r>
      <w:r w:rsidR="00332620">
        <w:rPr>
          <w:rFonts w:ascii="Andes" w:hAnsi="Andes" w:cs="Arial"/>
          <w:sz w:val="22"/>
          <w:szCs w:val="22"/>
        </w:rPr>
        <w:t>C</w:t>
      </w:r>
      <w:r w:rsidRPr="00D124D9">
        <w:rPr>
          <w:rFonts w:ascii="Andes" w:hAnsi="Andes" w:cs="Arial"/>
          <w:sz w:val="22"/>
          <w:szCs w:val="22"/>
        </w:rPr>
        <w:t xml:space="preserve">ritères et méthodes d’évaluation des </w:t>
      </w:r>
      <w:r>
        <w:rPr>
          <w:rFonts w:ascii="Andes" w:hAnsi="Andes" w:cs="Arial"/>
          <w:sz w:val="22"/>
          <w:szCs w:val="22"/>
        </w:rPr>
        <w:t>Offres/P</w:t>
      </w:r>
      <w:r w:rsidRPr="00D124D9">
        <w:rPr>
          <w:rFonts w:ascii="Andes" w:hAnsi="Andes" w:cs="Arial"/>
          <w:sz w:val="22"/>
          <w:szCs w:val="22"/>
        </w:rPr>
        <w:t>ropositions.</w:t>
      </w:r>
    </w:p>
    <w:p w14:paraId="2630A0A5" w14:textId="357D4E63" w:rsidR="00335BAE" w:rsidRPr="00D124D9" w:rsidRDefault="005533F8" w:rsidP="00335BAE">
      <w:pPr>
        <w:pStyle w:val="Paragraphedeliste"/>
        <w:numPr>
          <w:ilvl w:val="0"/>
          <w:numId w:val="132"/>
        </w:numPr>
        <w:spacing w:before="240" w:line="240" w:lineRule="auto"/>
        <w:ind w:left="634" w:hanging="634"/>
        <w:contextualSpacing w:val="0"/>
        <w:rPr>
          <w:rFonts w:ascii="Andes" w:eastAsiaTheme="majorEastAsia" w:hAnsi="Andes"/>
          <w:b/>
          <w:color w:val="C45911"/>
          <w:sz w:val="32"/>
          <w:szCs w:val="32"/>
        </w:rPr>
      </w:pPr>
      <w:r>
        <w:rPr>
          <w:rFonts w:ascii="Andes" w:eastAsiaTheme="majorEastAsia" w:hAnsi="Andes"/>
          <w:b/>
          <w:color w:val="C45911"/>
          <w:sz w:val="32"/>
          <w:szCs w:val="32"/>
        </w:rPr>
        <w:t>Exigences</w:t>
      </w:r>
      <w:r w:rsidRPr="000D54A0">
        <w:rPr>
          <w:rFonts w:ascii="Andes" w:eastAsiaTheme="majorEastAsia" w:hAnsi="Andes"/>
          <w:b/>
          <w:color w:val="C45911"/>
          <w:sz w:val="32"/>
          <w:szCs w:val="32"/>
        </w:rPr>
        <w:t xml:space="preserve"> </w:t>
      </w:r>
      <w:r w:rsidRPr="00D124D9">
        <w:rPr>
          <w:rFonts w:ascii="Andes" w:eastAsiaTheme="majorEastAsia" w:hAnsi="Andes"/>
          <w:b/>
          <w:color w:val="C45911"/>
          <w:sz w:val="32"/>
          <w:szCs w:val="32"/>
        </w:rPr>
        <w:t xml:space="preserve"> </w:t>
      </w:r>
    </w:p>
    <w:p w14:paraId="6F6CC1A7" w14:textId="71130CF9" w:rsidR="00612934" w:rsidRPr="00612934" w:rsidRDefault="00335BAE" w:rsidP="00612934">
      <w:pPr>
        <w:pStyle w:val="Paragraphedeliste"/>
        <w:numPr>
          <w:ilvl w:val="1"/>
          <w:numId w:val="132"/>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Les </w:t>
      </w:r>
      <w:r w:rsidR="00A10414">
        <w:rPr>
          <w:rFonts w:ascii="Andes" w:hAnsi="Andes" w:cs="Arial"/>
          <w:sz w:val="22"/>
          <w:szCs w:val="22"/>
        </w:rPr>
        <w:t>C</w:t>
      </w:r>
      <w:r w:rsidRPr="00D124D9">
        <w:rPr>
          <w:rFonts w:ascii="Andes" w:hAnsi="Andes" w:cs="Arial"/>
          <w:sz w:val="22"/>
          <w:szCs w:val="22"/>
        </w:rPr>
        <w:t>ritères d’</w:t>
      </w:r>
      <w:r w:rsidR="00A10414">
        <w:rPr>
          <w:rFonts w:ascii="Andes" w:hAnsi="Andes" w:cs="Arial"/>
          <w:sz w:val="22"/>
          <w:szCs w:val="22"/>
        </w:rPr>
        <w:t>E</w:t>
      </w:r>
      <w:r w:rsidRPr="00D124D9">
        <w:rPr>
          <w:rFonts w:ascii="Andes" w:hAnsi="Andes" w:cs="Arial"/>
          <w:sz w:val="22"/>
          <w:szCs w:val="22"/>
        </w:rPr>
        <w:t xml:space="preserve">valuation sont définis à la lumière de la Stratégie de </w:t>
      </w:r>
      <w:r w:rsidR="00ED6930">
        <w:rPr>
          <w:rFonts w:ascii="Andes" w:hAnsi="Andes" w:cs="Arial"/>
          <w:sz w:val="22"/>
          <w:szCs w:val="22"/>
        </w:rPr>
        <w:t>P</w:t>
      </w:r>
      <w:r w:rsidRPr="00D124D9">
        <w:rPr>
          <w:rFonts w:ascii="Andes" w:hAnsi="Andes" w:cs="Arial"/>
          <w:sz w:val="22"/>
          <w:szCs w:val="22"/>
        </w:rPr>
        <w:t xml:space="preserve">assation des </w:t>
      </w:r>
      <w:r w:rsidR="00ED6930">
        <w:rPr>
          <w:rFonts w:ascii="Andes" w:hAnsi="Andes" w:cs="Arial"/>
          <w:sz w:val="22"/>
          <w:szCs w:val="22"/>
        </w:rPr>
        <w:t>M</w:t>
      </w:r>
      <w:r w:rsidRPr="00D124D9">
        <w:rPr>
          <w:rFonts w:ascii="Andes" w:hAnsi="Andes" w:cs="Arial"/>
          <w:sz w:val="22"/>
          <w:szCs w:val="22"/>
        </w:rPr>
        <w:t>archés du projet pour promouvoir le développement (</w:t>
      </w:r>
      <w:r w:rsidR="00EA73D8">
        <w:rPr>
          <w:rFonts w:ascii="Andes" w:hAnsi="Andes" w:cs="Arial"/>
          <w:sz w:val="22"/>
          <w:szCs w:val="22"/>
        </w:rPr>
        <w:t>PPSD</w:t>
      </w:r>
      <w:r w:rsidR="005533F8">
        <w:rPr>
          <w:rFonts w:ascii="Andes" w:hAnsi="Andes" w:cs="Arial"/>
          <w:sz w:val="22"/>
          <w:szCs w:val="22"/>
        </w:rPr>
        <w:t xml:space="preserve"> pour son sigle en Anglais</w:t>
      </w:r>
      <w:r w:rsidRPr="00D124D9">
        <w:rPr>
          <w:rFonts w:ascii="Andes" w:hAnsi="Andes" w:cs="Arial"/>
          <w:sz w:val="22"/>
          <w:szCs w:val="22"/>
        </w:rPr>
        <w:t xml:space="preserve">). </w:t>
      </w:r>
      <w:r>
        <w:rPr>
          <w:rFonts w:ascii="Andes" w:hAnsi="Andes" w:cs="Arial"/>
          <w:sz w:val="22"/>
          <w:szCs w:val="22"/>
        </w:rPr>
        <w:t>Ils doivent être</w:t>
      </w:r>
      <w:r w:rsidRPr="00D124D9">
        <w:rPr>
          <w:rFonts w:ascii="Andes" w:hAnsi="Andes" w:cs="Arial"/>
          <w:sz w:val="22"/>
          <w:szCs w:val="22"/>
        </w:rPr>
        <w:t xml:space="preserve"> proportionnels à la nature et à la complexité du marché pour permettre à l’</w:t>
      </w:r>
      <w:r w:rsidR="00B86853">
        <w:rPr>
          <w:rFonts w:ascii="Andes" w:hAnsi="Andes" w:cs="Arial"/>
          <w:sz w:val="22"/>
          <w:szCs w:val="22"/>
        </w:rPr>
        <w:t>E</w:t>
      </w:r>
      <w:r w:rsidRPr="00D124D9">
        <w:rPr>
          <w:rFonts w:ascii="Andes" w:hAnsi="Andes" w:cs="Arial"/>
          <w:sz w:val="22"/>
          <w:szCs w:val="22"/>
        </w:rPr>
        <w:t>mprunteur d’optimiser l’emploi des ressources.</w:t>
      </w:r>
      <w:r w:rsidR="00612934">
        <w:rPr>
          <w:rFonts w:ascii="Andes" w:hAnsi="Andes" w:cs="Arial"/>
          <w:sz w:val="22"/>
          <w:szCs w:val="22"/>
        </w:rPr>
        <w:t xml:space="preserve"> </w:t>
      </w:r>
      <w:hyperlink r:id="rId37" w:history="1">
        <w:r w:rsidR="00612934">
          <w:rPr>
            <w:rStyle w:val="Lienhypertexte"/>
            <w:rFonts w:ascii="Andes" w:hAnsi="Andes" w:cs="Arial"/>
            <w:sz w:val="22"/>
            <w:szCs w:val="22"/>
          </w:rPr>
          <w:t xml:space="preserve">Voir Guide </w:t>
        </w:r>
        <w:r w:rsidR="008741C4">
          <w:rPr>
            <w:rStyle w:val="Lienhypertexte"/>
            <w:rFonts w:ascii="Andes" w:hAnsi="Andes" w:cs="Arial"/>
            <w:sz w:val="22"/>
            <w:szCs w:val="22"/>
          </w:rPr>
          <w:t>d</w:t>
        </w:r>
        <w:r w:rsidR="00612934">
          <w:rPr>
            <w:rStyle w:val="Lienhypertexte"/>
            <w:rFonts w:ascii="Andes" w:hAnsi="Andes" w:cs="Arial"/>
            <w:sz w:val="22"/>
            <w:szCs w:val="22"/>
          </w:rPr>
          <w:t xml:space="preserve">e Passation </w:t>
        </w:r>
        <w:r w:rsidR="008741C4">
          <w:rPr>
            <w:rStyle w:val="Lienhypertexte"/>
            <w:rFonts w:ascii="Andes" w:hAnsi="Andes" w:cs="Arial"/>
            <w:sz w:val="22"/>
            <w:szCs w:val="22"/>
          </w:rPr>
          <w:t>d</w:t>
        </w:r>
        <w:r w:rsidR="00612934">
          <w:rPr>
            <w:rStyle w:val="Lienhypertexte"/>
            <w:rFonts w:ascii="Andes" w:hAnsi="Andes" w:cs="Arial"/>
            <w:sz w:val="22"/>
            <w:szCs w:val="22"/>
          </w:rPr>
          <w:t xml:space="preserve">e Marchés-Évaluation </w:t>
        </w:r>
        <w:r w:rsidR="008741C4">
          <w:rPr>
            <w:rStyle w:val="Lienhypertexte"/>
            <w:rFonts w:ascii="Andes" w:hAnsi="Andes" w:cs="Arial"/>
            <w:sz w:val="22"/>
            <w:szCs w:val="22"/>
          </w:rPr>
          <w:t>d</w:t>
        </w:r>
        <w:r w:rsidR="00612934">
          <w:rPr>
            <w:rStyle w:val="Lienhypertexte"/>
            <w:rFonts w:ascii="Andes" w:hAnsi="Andes" w:cs="Arial"/>
            <w:sz w:val="22"/>
            <w:szCs w:val="22"/>
          </w:rPr>
          <w:t xml:space="preserve">es Offres </w:t>
        </w:r>
        <w:r w:rsidR="008741C4">
          <w:rPr>
            <w:rStyle w:val="Lienhypertexte"/>
            <w:rFonts w:ascii="Andes" w:hAnsi="Andes" w:cs="Arial"/>
            <w:sz w:val="22"/>
            <w:szCs w:val="22"/>
          </w:rPr>
          <w:t>e</w:t>
        </w:r>
        <w:r w:rsidR="00612934">
          <w:rPr>
            <w:rStyle w:val="Lienhypertexte"/>
            <w:rFonts w:ascii="Andes" w:hAnsi="Andes" w:cs="Arial"/>
            <w:sz w:val="22"/>
            <w:szCs w:val="22"/>
          </w:rPr>
          <w:t xml:space="preserve">t </w:t>
        </w:r>
        <w:r w:rsidR="008741C4">
          <w:rPr>
            <w:rStyle w:val="Lienhypertexte"/>
            <w:rFonts w:ascii="Andes" w:hAnsi="Andes" w:cs="Arial"/>
            <w:sz w:val="22"/>
            <w:szCs w:val="22"/>
          </w:rPr>
          <w:t>d</w:t>
        </w:r>
        <w:r w:rsidR="00612934">
          <w:rPr>
            <w:rStyle w:val="Lienhypertexte"/>
            <w:rFonts w:ascii="Andes" w:hAnsi="Andes" w:cs="Arial"/>
            <w:sz w:val="22"/>
            <w:szCs w:val="22"/>
          </w:rPr>
          <w:t>es Propositions</w:t>
        </w:r>
      </w:hyperlink>
      <w:r w:rsidR="00612934">
        <w:rPr>
          <w:rFonts w:ascii="Andes" w:hAnsi="Andes" w:cs="Arial"/>
          <w:sz w:val="22"/>
          <w:szCs w:val="22"/>
        </w:rPr>
        <w:t>.</w:t>
      </w:r>
    </w:p>
    <w:p w14:paraId="49CC210D" w14:textId="13EAD9E4" w:rsidR="00335BAE" w:rsidRPr="00D124D9" w:rsidRDefault="00335BAE" w:rsidP="00335BAE">
      <w:pPr>
        <w:pStyle w:val="Paragraphedeliste"/>
        <w:numPr>
          <w:ilvl w:val="1"/>
          <w:numId w:val="132"/>
        </w:numPr>
        <w:spacing w:before="0" w:line="240" w:lineRule="auto"/>
        <w:ind w:left="630" w:hanging="630"/>
        <w:contextualSpacing w:val="0"/>
        <w:rPr>
          <w:rFonts w:ascii="Andes" w:hAnsi="Andes" w:cs="Arial"/>
          <w:sz w:val="22"/>
          <w:szCs w:val="22"/>
        </w:rPr>
      </w:pPr>
      <w:r w:rsidRPr="00D124D9">
        <w:rPr>
          <w:rFonts w:ascii="Andes" w:hAnsi="Andes" w:cs="Arial"/>
          <w:sz w:val="22"/>
          <w:szCs w:val="22"/>
        </w:rPr>
        <w:t>L</w:t>
      </w:r>
      <w:r>
        <w:rPr>
          <w:rFonts w:ascii="Andes" w:hAnsi="Andes" w:cs="Arial"/>
          <w:sz w:val="22"/>
          <w:szCs w:val="22"/>
        </w:rPr>
        <w:t>e</w:t>
      </w:r>
      <w:r w:rsidRPr="00D124D9">
        <w:rPr>
          <w:rFonts w:ascii="Andes" w:hAnsi="Andes" w:cs="Arial"/>
          <w:sz w:val="22"/>
          <w:szCs w:val="22"/>
        </w:rPr>
        <w:t xml:space="preserve">s </w:t>
      </w:r>
      <w:r w:rsidR="00547A71">
        <w:rPr>
          <w:rFonts w:ascii="Andes" w:hAnsi="Andes" w:cs="Arial"/>
          <w:sz w:val="22"/>
          <w:szCs w:val="22"/>
        </w:rPr>
        <w:t>C</w:t>
      </w:r>
      <w:r w:rsidRPr="00D124D9">
        <w:rPr>
          <w:rFonts w:ascii="Andes" w:hAnsi="Andes" w:cs="Arial"/>
          <w:sz w:val="22"/>
          <w:szCs w:val="22"/>
        </w:rPr>
        <w:t>ritères d’</w:t>
      </w:r>
      <w:r w:rsidR="00547A71">
        <w:rPr>
          <w:rFonts w:ascii="Andes" w:hAnsi="Andes" w:cs="Arial"/>
          <w:sz w:val="22"/>
          <w:szCs w:val="22"/>
        </w:rPr>
        <w:t>E</w:t>
      </w:r>
      <w:r w:rsidRPr="00D124D9">
        <w:rPr>
          <w:rFonts w:ascii="Andes" w:hAnsi="Andes" w:cs="Arial"/>
          <w:sz w:val="22"/>
          <w:szCs w:val="22"/>
        </w:rPr>
        <w:t xml:space="preserve">valuation des </w:t>
      </w:r>
      <w:r>
        <w:rPr>
          <w:rFonts w:ascii="Andes" w:hAnsi="Andes" w:cs="Arial"/>
          <w:sz w:val="22"/>
          <w:szCs w:val="22"/>
        </w:rPr>
        <w:t>O</w:t>
      </w:r>
      <w:r w:rsidRPr="00D124D9">
        <w:rPr>
          <w:rFonts w:ascii="Andes" w:hAnsi="Andes" w:cs="Arial"/>
          <w:sz w:val="22"/>
          <w:szCs w:val="22"/>
        </w:rPr>
        <w:t>ffres</w:t>
      </w:r>
      <w:r>
        <w:rPr>
          <w:rFonts w:ascii="Andes" w:hAnsi="Andes" w:cs="Arial"/>
          <w:sz w:val="22"/>
          <w:szCs w:val="22"/>
        </w:rPr>
        <w:t xml:space="preserve">/Propositions sont régis par les dispositions </w:t>
      </w:r>
      <w:r w:rsidRPr="00D124D9">
        <w:rPr>
          <w:rFonts w:ascii="Andes" w:hAnsi="Andes" w:cs="Arial"/>
          <w:sz w:val="22"/>
          <w:szCs w:val="22"/>
        </w:rPr>
        <w:t>suivantes</w:t>
      </w:r>
      <w:r w:rsidRPr="00D124D9">
        <w:rPr>
          <w:rFonts w:ascii="Calibri" w:hAnsi="Calibri" w:cs="Arial"/>
          <w:sz w:val="22"/>
          <w:szCs w:val="22"/>
        </w:rPr>
        <w:t> </w:t>
      </w:r>
      <w:r w:rsidRPr="00D124D9">
        <w:rPr>
          <w:rFonts w:ascii="Andes" w:hAnsi="Andes" w:cs="Arial"/>
          <w:sz w:val="22"/>
          <w:szCs w:val="22"/>
        </w:rPr>
        <w:t>:</w:t>
      </w:r>
    </w:p>
    <w:p w14:paraId="371CBB40" w14:textId="77777777" w:rsidR="00335BAE" w:rsidRPr="00D124D9" w:rsidRDefault="00335BAE" w:rsidP="00335BAE">
      <w:pPr>
        <w:pStyle w:val="Paragraphedeliste"/>
        <w:numPr>
          <w:ilvl w:val="0"/>
          <w:numId w:val="218"/>
        </w:numPr>
        <w:spacing w:before="0" w:line="240" w:lineRule="auto"/>
        <w:ind w:left="1354"/>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les critères d’évaluation sont proportionnels et adaptés au type, à la nature, aux conditions du marché, à la complexité, au risqu</w:t>
      </w:r>
      <w:r>
        <w:rPr>
          <w:rFonts w:ascii="Andes" w:eastAsiaTheme="minorHAnsi" w:hAnsi="Andes" w:cs="Arial"/>
          <w:color w:val="000000"/>
          <w:sz w:val="22"/>
          <w:szCs w:val="22"/>
        </w:rPr>
        <w:t>e</w:t>
      </w:r>
      <w:r w:rsidRPr="00D124D9">
        <w:rPr>
          <w:rFonts w:ascii="Andes" w:eastAsiaTheme="minorHAnsi" w:hAnsi="Andes" w:cs="Arial"/>
          <w:color w:val="000000"/>
          <w:sz w:val="22"/>
          <w:szCs w:val="22"/>
        </w:rPr>
        <w:t>, à la valeur et à l’objectif de l’objet du marché</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xml:space="preserve">; </w:t>
      </w:r>
    </w:p>
    <w:p w14:paraId="48251DD2" w14:textId="72A28D79" w:rsidR="00335BAE" w:rsidRPr="00D124D9" w:rsidRDefault="00335BAE" w:rsidP="00335BAE">
      <w:pPr>
        <w:pStyle w:val="Paragraphedeliste"/>
        <w:numPr>
          <w:ilvl w:val="0"/>
          <w:numId w:val="218"/>
        </w:numPr>
        <w:spacing w:before="0" w:line="240" w:lineRule="auto"/>
        <w:ind w:left="1354"/>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le do</w:t>
      </w:r>
      <w:r>
        <w:rPr>
          <w:rFonts w:ascii="Andes" w:eastAsiaTheme="minorHAnsi" w:hAnsi="Andes" w:cs="Arial"/>
          <w:color w:val="000000"/>
          <w:sz w:val="22"/>
          <w:szCs w:val="22"/>
        </w:rPr>
        <w:t>ssier</w:t>
      </w:r>
      <w:r w:rsidRPr="00D124D9">
        <w:rPr>
          <w:rFonts w:ascii="Andes" w:eastAsiaTheme="minorHAnsi" w:hAnsi="Andes" w:cs="Arial"/>
          <w:color w:val="000000"/>
          <w:sz w:val="22"/>
          <w:szCs w:val="22"/>
        </w:rPr>
        <w:t xml:space="preserve"> </w:t>
      </w:r>
      <w:r>
        <w:rPr>
          <w:rFonts w:ascii="Andes" w:eastAsiaTheme="minorHAnsi" w:hAnsi="Andes" w:cs="Arial"/>
          <w:color w:val="000000"/>
          <w:sz w:val="22"/>
          <w:szCs w:val="22"/>
        </w:rPr>
        <w:t>d</w:t>
      </w:r>
      <w:r w:rsidRPr="00D124D9">
        <w:rPr>
          <w:rFonts w:ascii="Andes" w:eastAsiaTheme="minorHAnsi" w:hAnsi="Andes" w:cs="Arial"/>
          <w:color w:val="000000"/>
          <w:sz w:val="22"/>
          <w:szCs w:val="22"/>
        </w:rPr>
        <w:t>’</w:t>
      </w:r>
      <w:r w:rsidR="00C51DF5">
        <w:rPr>
          <w:rFonts w:ascii="Andes" w:eastAsiaTheme="minorHAnsi" w:hAnsi="Andes" w:cs="Arial"/>
          <w:color w:val="000000"/>
          <w:sz w:val="22"/>
          <w:szCs w:val="22"/>
        </w:rPr>
        <w:t>Appel d’Offres/ à Propositions</w:t>
      </w:r>
      <w:r w:rsidRPr="00D124D9">
        <w:rPr>
          <w:rFonts w:ascii="Andes" w:eastAsiaTheme="minorHAnsi" w:hAnsi="Andes" w:cs="Arial"/>
          <w:color w:val="000000"/>
          <w:sz w:val="22"/>
          <w:szCs w:val="22"/>
        </w:rPr>
        <w:t xml:space="preserve"> </w:t>
      </w:r>
      <w:r w:rsidR="00BF249F">
        <w:rPr>
          <w:rFonts w:ascii="Andes" w:eastAsiaTheme="minorHAnsi" w:hAnsi="Andes" w:cs="Arial"/>
          <w:color w:val="000000"/>
          <w:sz w:val="22"/>
          <w:szCs w:val="22"/>
        </w:rPr>
        <w:t xml:space="preserve">doit </w:t>
      </w:r>
      <w:r w:rsidRPr="00D124D9">
        <w:rPr>
          <w:rFonts w:ascii="Andes" w:eastAsiaTheme="minorHAnsi" w:hAnsi="Andes" w:cs="Arial"/>
          <w:color w:val="000000"/>
          <w:sz w:val="22"/>
          <w:szCs w:val="22"/>
        </w:rPr>
        <w:t>décri</w:t>
      </w:r>
      <w:r w:rsidR="006D11C3">
        <w:rPr>
          <w:rFonts w:ascii="Andes" w:eastAsiaTheme="minorHAnsi" w:hAnsi="Andes" w:cs="Arial"/>
          <w:color w:val="000000"/>
          <w:sz w:val="22"/>
          <w:szCs w:val="22"/>
        </w:rPr>
        <w:t>re</w:t>
      </w:r>
      <w:r w:rsidRPr="00D124D9">
        <w:rPr>
          <w:rFonts w:ascii="Andes" w:eastAsiaTheme="minorHAnsi" w:hAnsi="Andes" w:cs="Arial"/>
          <w:color w:val="000000"/>
          <w:sz w:val="22"/>
          <w:szCs w:val="22"/>
        </w:rPr>
        <w:t xml:space="preserve"> l’ensemble des </w:t>
      </w:r>
      <w:r w:rsidR="006D11C3">
        <w:rPr>
          <w:rFonts w:ascii="Andes" w:eastAsiaTheme="minorHAnsi" w:hAnsi="Andes" w:cs="Arial"/>
          <w:color w:val="000000"/>
          <w:sz w:val="22"/>
          <w:szCs w:val="22"/>
        </w:rPr>
        <w:t>C</w:t>
      </w:r>
      <w:r w:rsidRPr="00D124D9">
        <w:rPr>
          <w:rFonts w:ascii="Andes" w:eastAsiaTheme="minorHAnsi" w:hAnsi="Andes" w:cs="Arial"/>
          <w:color w:val="000000"/>
          <w:sz w:val="22"/>
          <w:szCs w:val="22"/>
        </w:rPr>
        <w:t>ritères d’</w:t>
      </w:r>
      <w:r w:rsidR="006D11C3">
        <w:rPr>
          <w:rFonts w:ascii="Andes" w:eastAsiaTheme="minorHAnsi" w:hAnsi="Andes" w:cs="Arial"/>
          <w:color w:val="000000"/>
          <w:sz w:val="22"/>
          <w:szCs w:val="22"/>
        </w:rPr>
        <w:t>E</w:t>
      </w:r>
      <w:r w:rsidRPr="00D124D9">
        <w:rPr>
          <w:rFonts w:ascii="Andes" w:eastAsiaTheme="minorHAnsi" w:hAnsi="Andes" w:cs="Arial"/>
          <w:color w:val="000000"/>
          <w:sz w:val="22"/>
          <w:szCs w:val="22"/>
        </w:rPr>
        <w:t xml:space="preserve">valuation </w:t>
      </w:r>
      <w:r w:rsidR="00EB4B01">
        <w:rPr>
          <w:rFonts w:ascii="Andes" w:eastAsiaTheme="minorHAnsi" w:hAnsi="Andes" w:cs="Arial"/>
          <w:color w:val="000000"/>
          <w:sz w:val="22"/>
          <w:szCs w:val="22"/>
        </w:rPr>
        <w:t xml:space="preserve">y </w:t>
      </w:r>
      <w:proofErr w:type="gramStart"/>
      <w:r w:rsidR="00EB4B01">
        <w:rPr>
          <w:rFonts w:ascii="Andes" w:eastAsiaTheme="minorHAnsi" w:hAnsi="Andes" w:cs="Arial"/>
          <w:color w:val="000000"/>
          <w:sz w:val="22"/>
          <w:szCs w:val="22"/>
        </w:rPr>
        <w:t xml:space="preserve">compris </w:t>
      </w:r>
      <w:r w:rsidR="00EB4B01" w:rsidRPr="00D124D9">
        <w:rPr>
          <w:rFonts w:ascii="Andes" w:eastAsiaTheme="minorHAnsi" w:hAnsi="Andes" w:cs="Arial"/>
          <w:color w:val="000000"/>
          <w:sz w:val="22"/>
          <w:szCs w:val="22"/>
        </w:rPr>
        <w:t xml:space="preserve"> </w:t>
      </w:r>
      <w:r w:rsidRPr="00D124D9">
        <w:rPr>
          <w:rFonts w:ascii="Andes" w:eastAsiaTheme="minorHAnsi" w:hAnsi="Andes" w:cs="Arial"/>
          <w:color w:val="000000"/>
          <w:sz w:val="22"/>
          <w:szCs w:val="22"/>
        </w:rPr>
        <w:t>la</w:t>
      </w:r>
      <w:proofErr w:type="gramEnd"/>
      <w:r w:rsidRPr="00D124D9">
        <w:rPr>
          <w:rFonts w:ascii="Andes" w:eastAsiaTheme="minorHAnsi" w:hAnsi="Andes" w:cs="Arial"/>
          <w:color w:val="000000"/>
          <w:sz w:val="22"/>
          <w:szCs w:val="22"/>
        </w:rPr>
        <w:t xml:space="preserve"> manière précise dont </w:t>
      </w:r>
      <w:r w:rsidR="000C065F">
        <w:rPr>
          <w:rFonts w:ascii="Andes" w:eastAsiaTheme="minorHAnsi" w:hAnsi="Andes" w:cs="Arial"/>
          <w:color w:val="000000"/>
          <w:sz w:val="22"/>
          <w:szCs w:val="22"/>
        </w:rPr>
        <w:t>les Critères notés et leurs sous-critères</w:t>
      </w:r>
      <w:r w:rsidR="000C065F" w:rsidRPr="00D124D9">
        <w:rPr>
          <w:rFonts w:ascii="Andes" w:eastAsiaTheme="minorHAnsi" w:hAnsi="Andes" w:cs="Arial"/>
          <w:color w:val="000000"/>
          <w:sz w:val="22"/>
          <w:szCs w:val="22"/>
        </w:rPr>
        <w:t xml:space="preserve"> </w:t>
      </w:r>
      <w:r w:rsidRPr="00D124D9">
        <w:rPr>
          <w:rFonts w:ascii="Andes" w:eastAsiaTheme="minorHAnsi" w:hAnsi="Andes" w:cs="Arial"/>
          <w:color w:val="000000"/>
          <w:sz w:val="22"/>
          <w:szCs w:val="22"/>
        </w:rPr>
        <w:t>doivent être appliqués</w:t>
      </w:r>
      <w:r w:rsidR="009F060A">
        <w:rPr>
          <w:rFonts w:ascii="Andes" w:eastAsiaTheme="minorHAnsi" w:hAnsi="Andes" w:cs="Arial"/>
          <w:color w:val="000000"/>
          <w:sz w:val="22"/>
          <w:szCs w:val="22"/>
        </w:rPr>
        <w:t xml:space="preserve">, </w:t>
      </w:r>
      <w:r w:rsidR="000C065F">
        <w:rPr>
          <w:rFonts w:ascii="Andes" w:eastAsiaTheme="minorHAnsi" w:hAnsi="Andes" w:cs="Arial"/>
          <w:color w:val="000000"/>
          <w:sz w:val="22"/>
          <w:szCs w:val="22"/>
        </w:rPr>
        <w:t>avec</w:t>
      </w:r>
      <w:r w:rsidR="009F060A">
        <w:rPr>
          <w:rFonts w:ascii="Andes" w:eastAsiaTheme="minorHAnsi" w:hAnsi="Andes" w:cs="Arial"/>
          <w:color w:val="000000"/>
          <w:sz w:val="22"/>
          <w:szCs w:val="22"/>
        </w:rPr>
        <w:t xml:space="preserve"> leur</w:t>
      </w:r>
      <w:r w:rsidR="00A10525">
        <w:rPr>
          <w:rFonts w:ascii="Andes" w:eastAsiaTheme="minorHAnsi" w:hAnsi="Andes" w:cs="Arial"/>
          <w:color w:val="000000"/>
          <w:sz w:val="22"/>
          <w:szCs w:val="22"/>
        </w:rPr>
        <w:t>s</w:t>
      </w:r>
      <w:r w:rsidR="009F060A">
        <w:rPr>
          <w:rFonts w:ascii="Andes" w:eastAsiaTheme="minorHAnsi" w:hAnsi="Andes" w:cs="Arial"/>
          <w:color w:val="000000"/>
          <w:sz w:val="22"/>
          <w:szCs w:val="22"/>
        </w:rPr>
        <w:t xml:space="preserve"> </w:t>
      </w:r>
      <w:r w:rsidR="00A10525">
        <w:rPr>
          <w:rFonts w:ascii="Andes" w:eastAsiaTheme="minorHAnsi" w:hAnsi="Andes" w:cs="Arial"/>
          <w:color w:val="000000"/>
          <w:sz w:val="22"/>
          <w:szCs w:val="22"/>
        </w:rPr>
        <w:t>hiérarchis</w:t>
      </w:r>
      <w:r w:rsidR="00A10525">
        <w:rPr>
          <w:rFonts w:ascii="Andes" w:eastAsiaTheme="minorHAnsi" w:hAnsi="Andes" w:cs="Arial"/>
          <w:color w:val="000000"/>
          <w:sz w:val="22"/>
          <w:szCs w:val="22"/>
        </w:rPr>
        <w:t xml:space="preserve">ation </w:t>
      </w:r>
      <w:r w:rsidR="009F060A">
        <w:rPr>
          <w:rFonts w:ascii="Andes" w:eastAsiaTheme="minorHAnsi" w:hAnsi="Andes" w:cs="Arial"/>
          <w:color w:val="000000"/>
          <w:sz w:val="22"/>
          <w:szCs w:val="22"/>
        </w:rPr>
        <w:t>et pondération</w:t>
      </w:r>
      <w:r w:rsidR="00A10525">
        <w:rPr>
          <w:rFonts w:ascii="Andes" w:eastAsiaTheme="minorHAnsi" w:hAnsi="Andes" w:cs="Arial"/>
          <w:color w:val="000000"/>
          <w:sz w:val="22"/>
          <w:szCs w:val="22"/>
        </w:rPr>
        <w:t>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xml:space="preserve">; </w:t>
      </w:r>
    </w:p>
    <w:p w14:paraId="52F5D4AF" w14:textId="675425E7" w:rsidR="00335BAE" w:rsidRPr="00D124D9" w:rsidRDefault="00335BAE" w:rsidP="00335BAE">
      <w:pPr>
        <w:pStyle w:val="Paragraphedeliste"/>
        <w:numPr>
          <w:ilvl w:val="0"/>
          <w:numId w:val="218"/>
        </w:numPr>
        <w:spacing w:before="0" w:line="240" w:lineRule="auto"/>
        <w:ind w:left="1354"/>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seuls les </w:t>
      </w:r>
      <w:r w:rsidR="00A52106">
        <w:rPr>
          <w:rFonts w:ascii="Andes" w:eastAsiaTheme="minorHAnsi" w:hAnsi="Andes" w:cs="Arial"/>
          <w:color w:val="000000"/>
          <w:sz w:val="22"/>
          <w:szCs w:val="22"/>
        </w:rPr>
        <w:t>C</w:t>
      </w:r>
      <w:r w:rsidRPr="00D124D9">
        <w:rPr>
          <w:rFonts w:ascii="Andes" w:eastAsiaTheme="minorHAnsi" w:hAnsi="Andes" w:cs="Arial"/>
          <w:color w:val="000000"/>
          <w:sz w:val="22"/>
          <w:szCs w:val="22"/>
        </w:rPr>
        <w:t>ritères d’</w:t>
      </w:r>
      <w:r w:rsidR="00A52106">
        <w:rPr>
          <w:rFonts w:ascii="Andes" w:eastAsiaTheme="minorHAnsi" w:hAnsi="Andes" w:cs="Arial"/>
          <w:color w:val="000000"/>
          <w:sz w:val="22"/>
          <w:szCs w:val="22"/>
        </w:rPr>
        <w:t>E</w:t>
      </w:r>
      <w:r w:rsidRPr="00D124D9">
        <w:rPr>
          <w:rFonts w:ascii="Andes" w:eastAsiaTheme="minorHAnsi" w:hAnsi="Andes" w:cs="Arial"/>
          <w:color w:val="000000"/>
          <w:sz w:val="22"/>
          <w:szCs w:val="22"/>
        </w:rPr>
        <w:t>valuation définis dans le do</w:t>
      </w:r>
      <w:r>
        <w:rPr>
          <w:rFonts w:ascii="Andes" w:eastAsiaTheme="minorHAnsi" w:hAnsi="Andes" w:cs="Arial"/>
          <w:color w:val="000000"/>
          <w:sz w:val="22"/>
          <w:szCs w:val="22"/>
        </w:rPr>
        <w:t>ssier</w:t>
      </w:r>
      <w:r w:rsidRPr="00D124D9">
        <w:rPr>
          <w:rFonts w:ascii="Andes" w:eastAsiaTheme="minorHAnsi" w:hAnsi="Andes" w:cs="Arial"/>
          <w:color w:val="000000"/>
          <w:sz w:val="22"/>
          <w:szCs w:val="22"/>
        </w:rPr>
        <w:t xml:space="preserve"> d</w:t>
      </w:r>
      <w:r>
        <w:rPr>
          <w:rFonts w:ascii="Andes" w:eastAsiaTheme="minorHAnsi" w:hAnsi="Andes" w:cs="Arial"/>
          <w:color w:val="000000"/>
          <w:sz w:val="22"/>
          <w:szCs w:val="22"/>
        </w:rPr>
        <w:t>’</w:t>
      </w:r>
      <w:r w:rsidRPr="00D124D9">
        <w:rPr>
          <w:rFonts w:ascii="Andes" w:eastAsiaTheme="minorHAnsi" w:hAnsi="Andes" w:cs="Arial"/>
          <w:color w:val="000000"/>
          <w:sz w:val="22"/>
          <w:szCs w:val="22"/>
        </w:rPr>
        <w:t>appel d’</w:t>
      </w:r>
      <w:r>
        <w:rPr>
          <w:rFonts w:ascii="Andes" w:eastAsiaTheme="minorHAnsi" w:hAnsi="Andes" w:cs="Arial"/>
          <w:color w:val="000000"/>
          <w:sz w:val="22"/>
          <w:szCs w:val="22"/>
        </w:rPr>
        <w:t>o</w:t>
      </w:r>
      <w:r w:rsidRPr="00D124D9">
        <w:rPr>
          <w:rFonts w:ascii="Andes" w:eastAsiaTheme="minorHAnsi" w:hAnsi="Andes" w:cs="Arial"/>
          <w:color w:val="000000"/>
          <w:sz w:val="22"/>
          <w:szCs w:val="22"/>
        </w:rPr>
        <w:t>ffres</w:t>
      </w:r>
      <w:r>
        <w:rPr>
          <w:rFonts w:ascii="Andes" w:eastAsiaTheme="minorHAnsi" w:hAnsi="Andes" w:cs="Arial"/>
          <w:color w:val="000000"/>
          <w:sz w:val="22"/>
          <w:szCs w:val="22"/>
        </w:rPr>
        <w:t>/</w:t>
      </w:r>
      <w:r w:rsidRPr="00D124D9">
        <w:rPr>
          <w:rFonts w:ascii="Andes" w:eastAsiaTheme="minorHAnsi" w:hAnsi="Andes" w:cs="Arial"/>
          <w:color w:val="000000"/>
          <w:sz w:val="22"/>
          <w:szCs w:val="22"/>
        </w:rPr>
        <w:t xml:space="preserve"> à propositions </w:t>
      </w:r>
      <w:r w:rsidR="005547C9">
        <w:rPr>
          <w:rFonts w:ascii="Andes" w:eastAsiaTheme="minorHAnsi" w:hAnsi="Andes" w:cs="Arial"/>
          <w:color w:val="000000"/>
          <w:sz w:val="22"/>
          <w:szCs w:val="22"/>
        </w:rPr>
        <w:t xml:space="preserve">doivent être </w:t>
      </w:r>
      <w:r w:rsidRPr="00D124D9">
        <w:rPr>
          <w:rFonts w:ascii="Andes" w:eastAsiaTheme="minorHAnsi" w:hAnsi="Andes" w:cs="Arial"/>
          <w:color w:val="000000"/>
          <w:sz w:val="22"/>
          <w:szCs w:val="22"/>
        </w:rPr>
        <w:t>appliqués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3BED1DC8" w14:textId="7F0389D2" w:rsidR="00335BAE" w:rsidRPr="00D124D9" w:rsidRDefault="00335BAE" w:rsidP="00335BAE">
      <w:pPr>
        <w:pStyle w:val="Paragraphedeliste"/>
        <w:numPr>
          <w:ilvl w:val="0"/>
          <w:numId w:val="218"/>
        </w:numPr>
        <w:spacing w:before="0" w:line="240" w:lineRule="auto"/>
        <w:ind w:left="1354"/>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toute modification des critères d’évaluation tels que définis dans le do</w:t>
      </w:r>
      <w:r>
        <w:rPr>
          <w:rFonts w:ascii="Andes" w:eastAsiaTheme="minorHAnsi" w:hAnsi="Andes" w:cs="Arial"/>
          <w:color w:val="000000"/>
          <w:sz w:val="22"/>
          <w:szCs w:val="22"/>
        </w:rPr>
        <w:t>ssier</w:t>
      </w:r>
      <w:r w:rsidRPr="00D124D9">
        <w:rPr>
          <w:rFonts w:ascii="Andes" w:eastAsiaTheme="minorHAnsi" w:hAnsi="Andes" w:cs="Arial"/>
          <w:color w:val="000000"/>
          <w:sz w:val="22"/>
          <w:szCs w:val="22"/>
        </w:rPr>
        <w:t xml:space="preserve"> d’</w:t>
      </w:r>
      <w:r w:rsidR="00C51DF5">
        <w:rPr>
          <w:rFonts w:ascii="Andes" w:eastAsiaTheme="minorHAnsi" w:hAnsi="Andes" w:cs="Arial"/>
          <w:color w:val="000000"/>
          <w:sz w:val="22"/>
          <w:szCs w:val="22"/>
        </w:rPr>
        <w:t>Appel d’Offres/ à Propositions</w:t>
      </w:r>
      <w:r w:rsidRPr="00D124D9">
        <w:rPr>
          <w:rFonts w:ascii="Andes" w:eastAsiaTheme="minorHAnsi" w:hAnsi="Andes" w:cs="Arial"/>
          <w:color w:val="000000"/>
          <w:sz w:val="22"/>
          <w:szCs w:val="22"/>
        </w:rPr>
        <w:t xml:space="preserve"> </w:t>
      </w:r>
      <w:r w:rsidR="00A94C0D">
        <w:rPr>
          <w:rFonts w:ascii="Andes" w:eastAsiaTheme="minorHAnsi" w:hAnsi="Andes" w:cs="Arial"/>
          <w:color w:val="000000"/>
          <w:sz w:val="22"/>
          <w:szCs w:val="22"/>
        </w:rPr>
        <w:t>doi</w:t>
      </w:r>
      <w:r w:rsidR="007C4C0E">
        <w:rPr>
          <w:rFonts w:ascii="Andes" w:eastAsiaTheme="minorHAnsi" w:hAnsi="Andes" w:cs="Arial"/>
          <w:color w:val="000000"/>
          <w:sz w:val="22"/>
          <w:szCs w:val="22"/>
        </w:rPr>
        <w:t xml:space="preserve">t </w:t>
      </w:r>
      <w:r w:rsidR="00EF5A1F">
        <w:rPr>
          <w:rFonts w:ascii="Andes" w:eastAsiaTheme="minorHAnsi" w:hAnsi="Andes" w:cs="Arial"/>
          <w:color w:val="000000"/>
          <w:sz w:val="22"/>
          <w:szCs w:val="22"/>
        </w:rPr>
        <w:t>faire l’objet d’un avenant</w:t>
      </w:r>
      <w:r w:rsidRPr="00D124D9">
        <w:rPr>
          <w:rFonts w:ascii="Andes" w:eastAsiaTheme="minorHAnsi" w:hAnsi="Andes" w:cs="Arial"/>
          <w:color w:val="000000"/>
          <w:sz w:val="22"/>
          <w:szCs w:val="22"/>
        </w:rPr>
        <w:t> </w:t>
      </w:r>
      <w:r w:rsidR="009860F0">
        <w:rPr>
          <w:rFonts w:ascii="Andes" w:eastAsiaTheme="minorHAnsi" w:hAnsi="Andes" w:cs="Arial"/>
          <w:color w:val="000000"/>
          <w:sz w:val="22"/>
          <w:szCs w:val="22"/>
        </w:rPr>
        <w:t>approuvé par la Banque</w:t>
      </w:r>
      <w:r w:rsidRPr="00D124D9">
        <w:rPr>
          <w:rFonts w:ascii="Andes" w:eastAsiaTheme="minorHAnsi" w:hAnsi="Andes" w:cs="Arial"/>
          <w:color w:val="000000"/>
          <w:sz w:val="22"/>
          <w:szCs w:val="22"/>
        </w:rPr>
        <w:t>; et</w:t>
      </w:r>
    </w:p>
    <w:p w14:paraId="129C6431" w14:textId="0DD5B362" w:rsidR="00335BAE" w:rsidRPr="00D124D9" w:rsidRDefault="00335BAE" w:rsidP="00335BAE">
      <w:pPr>
        <w:pStyle w:val="Paragraphedeliste"/>
        <w:numPr>
          <w:ilvl w:val="0"/>
          <w:numId w:val="218"/>
        </w:numPr>
        <w:spacing w:before="0" w:line="240" w:lineRule="auto"/>
        <w:ind w:left="1354"/>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les </w:t>
      </w:r>
      <w:r w:rsidR="00301E08">
        <w:rPr>
          <w:rFonts w:ascii="Andes" w:eastAsiaTheme="minorHAnsi" w:hAnsi="Andes" w:cs="Arial"/>
          <w:color w:val="000000"/>
          <w:sz w:val="22"/>
          <w:szCs w:val="22"/>
        </w:rPr>
        <w:t>C</w:t>
      </w:r>
      <w:r w:rsidRPr="00D124D9">
        <w:rPr>
          <w:rFonts w:ascii="Andes" w:eastAsiaTheme="minorHAnsi" w:hAnsi="Andes" w:cs="Arial"/>
          <w:color w:val="000000"/>
          <w:sz w:val="22"/>
          <w:szCs w:val="22"/>
        </w:rPr>
        <w:t>ritères d’</w:t>
      </w:r>
      <w:r w:rsidR="00301E08">
        <w:rPr>
          <w:rFonts w:ascii="Andes" w:eastAsiaTheme="minorHAnsi" w:hAnsi="Andes" w:cs="Arial"/>
          <w:color w:val="000000"/>
          <w:sz w:val="22"/>
          <w:szCs w:val="22"/>
        </w:rPr>
        <w:t>E</w:t>
      </w:r>
      <w:r w:rsidRPr="00D124D9">
        <w:rPr>
          <w:rFonts w:ascii="Andes" w:eastAsiaTheme="minorHAnsi" w:hAnsi="Andes" w:cs="Arial"/>
          <w:color w:val="000000"/>
          <w:sz w:val="22"/>
          <w:szCs w:val="22"/>
        </w:rPr>
        <w:t xml:space="preserve">valuation </w:t>
      </w:r>
      <w:r w:rsidR="00E56166">
        <w:rPr>
          <w:rFonts w:ascii="Andes" w:eastAsiaTheme="minorHAnsi" w:hAnsi="Andes" w:cs="Arial"/>
          <w:color w:val="000000"/>
          <w:sz w:val="22"/>
          <w:szCs w:val="22"/>
        </w:rPr>
        <w:t xml:space="preserve">doivent être </w:t>
      </w:r>
      <w:r w:rsidRPr="00D124D9">
        <w:rPr>
          <w:rFonts w:ascii="Andes" w:eastAsiaTheme="minorHAnsi" w:hAnsi="Andes" w:cs="Arial"/>
          <w:color w:val="000000"/>
          <w:sz w:val="22"/>
          <w:szCs w:val="22"/>
        </w:rPr>
        <w:t xml:space="preserve">appliqués systématiquement à toutes les </w:t>
      </w:r>
      <w:r>
        <w:rPr>
          <w:rFonts w:ascii="Andes" w:eastAsiaTheme="minorHAnsi" w:hAnsi="Andes" w:cs="Arial"/>
          <w:color w:val="000000"/>
          <w:sz w:val="22"/>
          <w:szCs w:val="22"/>
        </w:rPr>
        <w:t>O</w:t>
      </w:r>
      <w:r w:rsidRPr="00D124D9">
        <w:rPr>
          <w:rFonts w:ascii="Andes" w:eastAsiaTheme="minorHAnsi" w:hAnsi="Andes" w:cs="Arial"/>
          <w:color w:val="000000"/>
          <w:sz w:val="22"/>
          <w:szCs w:val="22"/>
        </w:rPr>
        <w:t>ffres</w:t>
      </w:r>
      <w:r>
        <w:rPr>
          <w:rFonts w:ascii="Andes" w:eastAsiaTheme="minorHAnsi" w:hAnsi="Andes" w:cs="Arial"/>
          <w:color w:val="000000"/>
          <w:sz w:val="22"/>
          <w:szCs w:val="22"/>
        </w:rPr>
        <w:t>/P</w:t>
      </w:r>
      <w:r w:rsidRPr="00D124D9">
        <w:rPr>
          <w:rFonts w:ascii="Andes" w:eastAsiaTheme="minorHAnsi" w:hAnsi="Andes" w:cs="Arial"/>
          <w:color w:val="000000"/>
          <w:sz w:val="22"/>
          <w:szCs w:val="22"/>
        </w:rPr>
        <w:t xml:space="preserve">ropositions </w:t>
      </w:r>
      <w:r>
        <w:rPr>
          <w:rFonts w:ascii="Andes" w:eastAsiaTheme="minorHAnsi" w:hAnsi="Andes" w:cs="Arial"/>
          <w:color w:val="000000"/>
          <w:sz w:val="22"/>
          <w:szCs w:val="22"/>
        </w:rPr>
        <w:t>re</w:t>
      </w:r>
      <w:r w:rsidRPr="00D124D9">
        <w:rPr>
          <w:rFonts w:ascii="Andes" w:eastAsiaTheme="minorHAnsi" w:hAnsi="Andes" w:cs="Arial"/>
          <w:color w:val="000000"/>
          <w:sz w:val="22"/>
          <w:szCs w:val="22"/>
        </w:rPr>
        <w:t>mises.</w:t>
      </w:r>
    </w:p>
    <w:p w14:paraId="14BC59CF" w14:textId="33C7D163" w:rsidR="00335BAE" w:rsidRPr="00D124D9" w:rsidRDefault="00335BAE" w:rsidP="00335BAE">
      <w:pPr>
        <w:pStyle w:val="Paragraphedeliste"/>
        <w:numPr>
          <w:ilvl w:val="1"/>
          <w:numId w:val="132"/>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Pour optimiser l’emploi des ressources, les </w:t>
      </w:r>
      <w:r w:rsidR="00CA0130">
        <w:rPr>
          <w:rFonts w:ascii="Andes" w:hAnsi="Andes" w:cs="Arial"/>
          <w:sz w:val="22"/>
          <w:szCs w:val="22"/>
        </w:rPr>
        <w:t>C</w:t>
      </w:r>
      <w:r w:rsidRPr="00D124D9">
        <w:rPr>
          <w:rFonts w:ascii="Andes" w:hAnsi="Andes" w:cs="Arial"/>
          <w:sz w:val="22"/>
          <w:szCs w:val="22"/>
        </w:rPr>
        <w:t>ritères d’</w:t>
      </w:r>
      <w:r w:rsidR="00CA0130">
        <w:rPr>
          <w:rFonts w:ascii="Andes" w:hAnsi="Andes" w:cs="Arial"/>
          <w:sz w:val="22"/>
          <w:szCs w:val="22"/>
        </w:rPr>
        <w:t>E</w:t>
      </w:r>
      <w:r w:rsidRPr="00D124D9">
        <w:rPr>
          <w:rFonts w:ascii="Andes" w:hAnsi="Andes" w:cs="Arial"/>
          <w:sz w:val="22"/>
          <w:szCs w:val="22"/>
        </w:rPr>
        <w:t>valuation</w:t>
      </w:r>
      <w:r w:rsidR="00214312">
        <w:rPr>
          <w:rFonts w:ascii="Andes" w:hAnsi="Andes" w:cs="Arial"/>
          <w:sz w:val="22"/>
          <w:szCs w:val="22"/>
        </w:rPr>
        <w:t xml:space="preserve">, incluant des Critères Notés </w:t>
      </w:r>
      <w:r w:rsidR="006F7867">
        <w:rPr>
          <w:rFonts w:ascii="Andes" w:hAnsi="Andes" w:cs="Arial"/>
          <w:sz w:val="22"/>
          <w:szCs w:val="22"/>
        </w:rPr>
        <w:t>lorsqu’applicable,</w:t>
      </w:r>
      <w:r w:rsidRPr="00D124D9">
        <w:rPr>
          <w:rFonts w:ascii="Andes" w:hAnsi="Andes" w:cs="Arial"/>
          <w:sz w:val="22"/>
          <w:szCs w:val="22"/>
        </w:rPr>
        <w:t xml:space="preserve"> peuvent prendre en compte les facteurs ci-après</w:t>
      </w:r>
      <w:r w:rsidRPr="00D124D9">
        <w:rPr>
          <w:rFonts w:ascii="Calibri" w:hAnsi="Calibri" w:cs="Arial"/>
          <w:sz w:val="22"/>
          <w:szCs w:val="22"/>
        </w:rPr>
        <w:t> </w:t>
      </w:r>
      <w:r w:rsidRPr="00D124D9">
        <w:rPr>
          <w:rFonts w:ascii="Andes" w:hAnsi="Andes" w:cs="Arial"/>
          <w:sz w:val="22"/>
          <w:szCs w:val="22"/>
        </w:rPr>
        <w:t xml:space="preserve">: </w:t>
      </w:r>
    </w:p>
    <w:p w14:paraId="18CE21E9" w14:textId="77777777" w:rsidR="00335BAE" w:rsidRPr="00D124D9" w:rsidRDefault="00335BAE" w:rsidP="00335BAE">
      <w:pPr>
        <w:pStyle w:val="Paragraphedeliste"/>
        <w:numPr>
          <w:ilvl w:val="0"/>
          <w:numId w:val="219"/>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Coût : </w:t>
      </w:r>
      <w:r>
        <w:rPr>
          <w:rFonts w:ascii="Andes" w:eastAsiaTheme="minorHAnsi" w:hAnsi="Andes" w:cs="Arial"/>
          <w:color w:val="000000"/>
          <w:sz w:val="22"/>
          <w:szCs w:val="22"/>
        </w:rPr>
        <w:t xml:space="preserve">il est </w:t>
      </w:r>
      <w:r w:rsidRPr="00D124D9">
        <w:rPr>
          <w:rFonts w:ascii="Andes" w:eastAsiaTheme="minorHAnsi" w:hAnsi="Andes" w:cs="Arial"/>
          <w:color w:val="000000"/>
          <w:sz w:val="22"/>
          <w:szCs w:val="22"/>
        </w:rPr>
        <w:t>évalu</w:t>
      </w:r>
      <w:r>
        <w:rPr>
          <w:rFonts w:ascii="Andes" w:eastAsiaTheme="minorHAnsi" w:hAnsi="Andes" w:cs="Arial"/>
          <w:color w:val="000000"/>
          <w:sz w:val="22"/>
          <w:szCs w:val="22"/>
        </w:rPr>
        <w:t>é</w:t>
      </w:r>
      <w:r w:rsidRPr="00D124D9">
        <w:rPr>
          <w:rFonts w:ascii="Andes" w:eastAsiaTheme="minorHAnsi" w:hAnsi="Andes" w:cs="Arial"/>
          <w:color w:val="000000"/>
          <w:sz w:val="22"/>
          <w:szCs w:val="22"/>
        </w:rPr>
        <w:t xml:space="preserve"> à l’aide d’une méthodologie adaptée à la nature du marché, notamment</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xml:space="preserve">: </w:t>
      </w:r>
    </w:p>
    <w:p w14:paraId="36F7949A" w14:textId="77777777" w:rsidR="00335BAE" w:rsidRPr="00D124D9" w:rsidRDefault="00335BAE" w:rsidP="00335BAE">
      <w:pPr>
        <w:pStyle w:val="Paragraphedeliste"/>
        <w:numPr>
          <w:ilvl w:val="0"/>
          <w:numId w:val="263"/>
        </w:numPr>
        <w:spacing w:before="0" w:line="240" w:lineRule="auto"/>
        <w:ind w:left="1890" w:hanging="180"/>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le prix de l’offre révisé ; ou </w:t>
      </w:r>
    </w:p>
    <w:p w14:paraId="530CB12F" w14:textId="77777777" w:rsidR="00335BAE" w:rsidRPr="00D124D9" w:rsidRDefault="00335BAE" w:rsidP="00335BAE">
      <w:pPr>
        <w:pStyle w:val="Paragraphedeliste"/>
        <w:numPr>
          <w:ilvl w:val="0"/>
          <w:numId w:val="263"/>
        </w:numPr>
        <w:spacing w:before="0" w:line="240" w:lineRule="auto"/>
        <w:ind w:left="1890" w:hanging="180"/>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le prix de l’offre révisé majoré des coûts d’exploitation sur la durée de vie utile de l’actif </w:t>
      </w:r>
      <w:r>
        <w:rPr>
          <w:rFonts w:ascii="Andes" w:eastAsiaTheme="minorHAnsi" w:hAnsi="Andes" w:cs="Arial"/>
          <w:color w:val="000000"/>
          <w:sz w:val="22"/>
          <w:szCs w:val="22"/>
        </w:rPr>
        <w:t>fondés sur le</w:t>
      </w:r>
      <w:r w:rsidRPr="00D124D9">
        <w:rPr>
          <w:rFonts w:ascii="Andes" w:eastAsiaTheme="minorHAnsi" w:hAnsi="Andes" w:cs="Arial"/>
          <w:color w:val="000000"/>
          <w:sz w:val="22"/>
          <w:szCs w:val="22"/>
        </w:rPr>
        <w:t xml:space="preserve"> coût actualisé net (coûts sur </w:t>
      </w:r>
      <w:r>
        <w:rPr>
          <w:rFonts w:ascii="Andes" w:eastAsiaTheme="minorHAnsi" w:hAnsi="Andes" w:cs="Arial"/>
          <w:color w:val="000000"/>
          <w:sz w:val="22"/>
          <w:szCs w:val="22"/>
        </w:rPr>
        <w:t xml:space="preserve">la durée </w:t>
      </w:r>
      <w:r w:rsidRPr="00D124D9">
        <w:rPr>
          <w:rFonts w:ascii="Andes" w:eastAsiaTheme="minorHAnsi" w:hAnsi="Andes" w:cs="Arial"/>
          <w:color w:val="000000"/>
          <w:sz w:val="22"/>
          <w:szCs w:val="22"/>
        </w:rPr>
        <w:t>de vie)</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xml:space="preserve">; </w:t>
      </w:r>
    </w:p>
    <w:p w14:paraId="28F63EBA" w14:textId="77777777" w:rsidR="00335BAE" w:rsidRPr="00D124D9" w:rsidRDefault="00335BAE" w:rsidP="00335BAE">
      <w:pPr>
        <w:pStyle w:val="Paragraphedeliste"/>
        <w:numPr>
          <w:ilvl w:val="0"/>
          <w:numId w:val="219"/>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Qualité : </w:t>
      </w:r>
      <w:r>
        <w:rPr>
          <w:rFonts w:ascii="Andes" w:eastAsiaTheme="minorHAnsi" w:hAnsi="Andes" w:cs="Arial"/>
          <w:color w:val="000000"/>
          <w:sz w:val="22"/>
          <w:szCs w:val="22"/>
        </w:rPr>
        <w:t xml:space="preserve">elle est </w:t>
      </w:r>
      <w:r w:rsidRPr="00D124D9">
        <w:rPr>
          <w:rFonts w:ascii="Andes" w:eastAsiaTheme="minorHAnsi" w:hAnsi="Andes" w:cs="Arial"/>
          <w:color w:val="000000"/>
          <w:sz w:val="22"/>
          <w:szCs w:val="22"/>
        </w:rPr>
        <w:t>é</w:t>
      </w:r>
      <w:r>
        <w:rPr>
          <w:rFonts w:ascii="Andes" w:eastAsiaTheme="minorHAnsi" w:hAnsi="Andes" w:cs="Arial"/>
          <w:color w:val="000000"/>
          <w:sz w:val="22"/>
          <w:szCs w:val="22"/>
        </w:rPr>
        <w:t>valuée</w:t>
      </w:r>
      <w:r w:rsidRPr="00D124D9">
        <w:rPr>
          <w:rFonts w:ascii="Andes" w:eastAsiaTheme="minorHAnsi" w:hAnsi="Andes" w:cs="Arial"/>
          <w:color w:val="000000"/>
          <w:sz w:val="22"/>
          <w:szCs w:val="22"/>
        </w:rPr>
        <w:t xml:space="preserve"> à l’aide d’une méthodologie permettant de détermin</w:t>
      </w:r>
      <w:r>
        <w:rPr>
          <w:rFonts w:ascii="Andes" w:eastAsiaTheme="minorHAnsi" w:hAnsi="Andes" w:cs="Arial"/>
          <w:color w:val="000000"/>
          <w:sz w:val="22"/>
          <w:szCs w:val="22"/>
        </w:rPr>
        <w:t>er la mesure dans laquelle les Fournitures, les Travaux, les S</w:t>
      </w:r>
      <w:r w:rsidRPr="00D124D9">
        <w:rPr>
          <w:rFonts w:ascii="Andes" w:eastAsiaTheme="minorHAnsi" w:hAnsi="Andes" w:cs="Arial"/>
          <w:color w:val="000000"/>
          <w:sz w:val="22"/>
          <w:szCs w:val="22"/>
        </w:rPr>
        <w:t xml:space="preserve">ervices </w:t>
      </w:r>
      <w:r>
        <w:rPr>
          <w:rFonts w:ascii="Andes" w:eastAsiaTheme="minorHAnsi" w:hAnsi="Andes" w:cs="Arial"/>
          <w:color w:val="000000"/>
          <w:sz w:val="22"/>
          <w:szCs w:val="22"/>
        </w:rPr>
        <w:t>Autres que des Services de Co</w:t>
      </w:r>
      <w:r w:rsidRPr="00D124D9">
        <w:rPr>
          <w:rFonts w:ascii="Andes" w:eastAsiaTheme="minorHAnsi" w:hAnsi="Andes" w:cs="Arial"/>
          <w:color w:val="000000"/>
          <w:sz w:val="22"/>
          <w:szCs w:val="22"/>
        </w:rPr>
        <w:t>nsultants</w:t>
      </w:r>
      <w:r>
        <w:rPr>
          <w:rFonts w:ascii="Andes" w:eastAsiaTheme="minorHAnsi" w:hAnsi="Andes" w:cs="Arial"/>
          <w:color w:val="000000"/>
          <w:sz w:val="22"/>
          <w:szCs w:val="22"/>
        </w:rPr>
        <w:t xml:space="preserve"> ou l</w:t>
      </w:r>
      <w:r w:rsidRPr="00D124D9">
        <w:rPr>
          <w:rFonts w:ascii="Andes" w:eastAsiaTheme="minorHAnsi" w:hAnsi="Andes" w:cs="Arial"/>
          <w:color w:val="000000"/>
          <w:sz w:val="22"/>
          <w:szCs w:val="22"/>
        </w:rPr>
        <w:t xml:space="preserve">es </w:t>
      </w:r>
      <w:r>
        <w:rPr>
          <w:rFonts w:ascii="Andes" w:eastAsiaTheme="minorHAnsi" w:hAnsi="Andes" w:cs="Arial"/>
          <w:color w:val="000000"/>
          <w:sz w:val="22"/>
          <w:szCs w:val="22"/>
        </w:rPr>
        <w:t>Services de C</w:t>
      </w:r>
      <w:r w:rsidRPr="00D124D9">
        <w:rPr>
          <w:rFonts w:ascii="Andes" w:eastAsiaTheme="minorHAnsi" w:hAnsi="Andes" w:cs="Arial"/>
          <w:color w:val="000000"/>
          <w:sz w:val="22"/>
          <w:szCs w:val="22"/>
        </w:rPr>
        <w:t xml:space="preserve">onsultants satisfont aux exigences </w:t>
      </w:r>
      <w:r>
        <w:rPr>
          <w:rFonts w:ascii="Andes" w:eastAsiaTheme="minorHAnsi" w:hAnsi="Andes" w:cs="Arial"/>
          <w:color w:val="000000"/>
          <w:sz w:val="22"/>
          <w:szCs w:val="22"/>
        </w:rPr>
        <w:t xml:space="preserve">du marché </w:t>
      </w:r>
      <w:r w:rsidRPr="00D124D9">
        <w:rPr>
          <w:rFonts w:ascii="Andes" w:eastAsiaTheme="minorHAnsi" w:hAnsi="Andes" w:cs="Arial"/>
          <w:color w:val="000000"/>
          <w:sz w:val="22"/>
          <w:szCs w:val="22"/>
        </w:rPr>
        <w:t>ou les dépassent</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xml:space="preserve">; </w:t>
      </w:r>
    </w:p>
    <w:p w14:paraId="09D13992" w14:textId="3B8ED743" w:rsidR="00335BAE" w:rsidRPr="00D124D9" w:rsidRDefault="00335BAE" w:rsidP="00335BAE">
      <w:pPr>
        <w:pStyle w:val="Paragraphedeliste"/>
        <w:numPr>
          <w:ilvl w:val="0"/>
          <w:numId w:val="219"/>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Risques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xml:space="preserve">: </w:t>
      </w:r>
      <w:r w:rsidR="00C01E42">
        <w:rPr>
          <w:rFonts w:ascii="Andes" w:eastAsiaTheme="minorHAnsi" w:hAnsi="Andes" w:cs="Arial"/>
          <w:color w:val="000000"/>
          <w:sz w:val="22"/>
          <w:szCs w:val="22"/>
        </w:rPr>
        <w:t xml:space="preserve">l’adéquation de la méthodologie du Soumissionnaire/Proposant </w:t>
      </w:r>
      <w:r w:rsidR="00B5043E">
        <w:rPr>
          <w:rFonts w:ascii="Andes" w:eastAsiaTheme="minorHAnsi" w:hAnsi="Andes" w:cs="Arial"/>
          <w:color w:val="000000"/>
          <w:sz w:val="22"/>
          <w:szCs w:val="22"/>
        </w:rPr>
        <w:t xml:space="preserve">pour identifier et atténuer les </w:t>
      </w:r>
      <w:r w:rsidR="00E332BF">
        <w:rPr>
          <w:rFonts w:ascii="Andes" w:eastAsiaTheme="minorHAnsi" w:hAnsi="Andes" w:cs="Arial"/>
          <w:color w:val="000000"/>
          <w:sz w:val="22"/>
          <w:szCs w:val="22"/>
        </w:rPr>
        <w:t>risques</w:t>
      </w:r>
      <w:r w:rsidR="00B5043E">
        <w:rPr>
          <w:rFonts w:ascii="Andes" w:eastAsiaTheme="minorHAnsi" w:hAnsi="Andes" w:cs="Arial"/>
          <w:color w:val="000000"/>
          <w:sz w:val="22"/>
          <w:szCs w:val="22"/>
        </w:rPr>
        <w:t xml:space="preserve"> </w:t>
      </w:r>
      <w:r w:rsidR="007D3BB6">
        <w:rPr>
          <w:rFonts w:ascii="Andes" w:eastAsiaTheme="minorHAnsi" w:hAnsi="Andes" w:cs="Arial"/>
          <w:color w:val="000000"/>
          <w:sz w:val="22"/>
          <w:szCs w:val="22"/>
        </w:rPr>
        <w:t xml:space="preserve">pertinents, tels que ceux liés </w:t>
      </w:r>
      <w:r w:rsidR="00E332BF">
        <w:rPr>
          <w:rFonts w:ascii="Andes" w:eastAsiaTheme="minorHAnsi" w:hAnsi="Andes" w:cs="Arial"/>
          <w:color w:val="000000"/>
          <w:sz w:val="22"/>
          <w:szCs w:val="22"/>
        </w:rPr>
        <w:t>aux aspects environnementaux, sociaux, économiques</w:t>
      </w:r>
      <w:r w:rsidR="001D0B91">
        <w:rPr>
          <w:rFonts w:ascii="Andes" w:eastAsiaTheme="minorHAnsi" w:hAnsi="Andes" w:cs="Arial"/>
          <w:color w:val="000000"/>
          <w:sz w:val="22"/>
          <w:szCs w:val="22"/>
        </w:rPr>
        <w:t xml:space="preserve">, de mise en œuvre </w:t>
      </w:r>
      <w:r w:rsidR="007859BB">
        <w:rPr>
          <w:rFonts w:ascii="Andes" w:eastAsiaTheme="minorHAnsi" w:hAnsi="Andes" w:cs="Arial"/>
          <w:color w:val="000000"/>
          <w:sz w:val="22"/>
          <w:szCs w:val="22"/>
        </w:rPr>
        <w:t>etc.</w:t>
      </w:r>
      <w:r w:rsidR="00811F45">
        <w:rPr>
          <w:rFonts w:ascii="Andes" w:eastAsiaTheme="minorHAnsi" w:hAnsi="Andes" w:cs="Arial"/>
          <w:color w:val="000000"/>
          <w:sz w:val="22"/>
          <w:szCs w:val="22"/>
        </w:rPr>
        <w:t xml:space="preserve"> </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3A9A3AE8" w14:textId="2CCC2094" w:rsidR="00335BAE" w:rsidRPr="00D124D9" w:rsidRDefault="00335BAE" w:rsidP="00335BAE">
      <w:pPr>
        <w:pStyle w:val="Paragraphedeliste"/>
        <w:numPr>
          <w:ilvl w:val="0"/>
          <w:numId w:val="219"/>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lastRenderedPageBreak/>
        <w:t xml:space="preserve">Durabilité : </w:t>
      </w:r>
      <w:r w:rsidR="00C94599">
        <w:rPr>
          <w:rFonts w:ascii="Andes" w:eastAsiaTheme="minorHAnsi" w:hAnsi="Andes" w:cs="Arial"/>
          <w:color w:val="000000"/>
          <w:sz w:val="22"/>
          <w:szCs w:val="22"/>
        </w:rPr>
        <w:t xml:space="preserve">crédibilité </w:t>
      </w:r>
      <w:r w:rsidR="00113026">
        <w:rPr>
          <w:rFonts w:ascii="Andes" w:eastAsiaTheme="minorHAnsi" w:hAnsi="Andes" w:cs="Arial"/>
          <w:color w:val="000000"/>
          <w:sz w:val="22"/>
          <w:szCs w:val="22"/>
        </w:rPr>
        <w:t xml:space="preserve">de la méthodologie du Soumissionnaire/Proposant </w:t>
      </w:r>
      <w:r w:rsidR="00A96E79">
        <w:rPr>
          <w:rFonts w:ascii="Andes" w:eastAsiaTheme="minorHAnsi" w:hAnsi="Andes" w:cs="Arial"/>
          <w:color w:val="000000"/>
          <w:sz w:val="22"/>
          <w:szCs w:val="22"/>
        </w:rPr>
        <w:t xml:space="preserve">pour adresser les </w:t>
      </w:r>
      <w:r w:rsidR="001451C9">
        <w:rPr>
          <w:rFonts w:ascii="Andes" w:eastAsiaTheme="minorHAnsi" w:hAnsi="Andes" w:cs="Arial"/>
          <w:color w:val="000000"/>
          <w:sz w:val="22"/>
          <w:szCs w:val="22"/>
        </w:rPr>
        <w:t>points économiques</w:t>
      </w:r>
      <w:r w:rsidR="005E3577">
        <w:rPr>
          <w:rFonts w:ascii="Andes" w:eastAsiaTheme="minorHAnsi" w:hAnsi="Andes" w:cs="Arial"/>
          <w:color w:val="000000"/>
          <w:sz w:val="22"/>
          <w:szCs w:val="22"/>
        </w:rPr>
        <w:t>, environnementaux et/ou sociaux, et/ou</w:t>
      </w:r>
      <w:r w:rsidR="00671F2D">
        <w:rPr>
          <w:rFonts w:ascii="Andes" w:eastAsiaTheme="minorHAnsi" w:hAnsi="Andes" w:cs="Arial"/>
          <w:color w:val="000000"/>
          <w:sz w:val="22"/>
          <w:szCs w:val="22"/>
        </w:rPr>
        <w:t xml:space="preserve"> </w:t>
      </w:r>
      <w:r w:rsidR="005D46DD">
        <w:rPr>
          <w:rFonts w:ascii="Andes" w:eastAsiaTheme="minorHAnsi" w:hAnsi="Andes" w:cs="Arial"/>
          <w:color w:val="000000"/>
          <w:sz w:val="22"/>
          <w:szCs w:val="22"/>
        </w:rPr>
        <w:t>les opportunités de durabilité identifiées</w:t>
      </w:r>
      <w:r w:rsidRPr="00D124D9">
        <w:rPr>
          <w:rFonts w:ascii="Andes" w:eastAsiaTheme="minorHAnsi" w:hAnsi="Andes" w:cs="Arial"/>
          <w:color w:val="000000"/>
          <w:sz w:val="22"/>
          <w:szCs w:val="22"/>
        </w:rPr>
        <w:t xml:space="preserve">, et qui peuvent </w:t>
      </w:r>
      <w:r>
        <w:rPr>
          <w:rFonts w:ascii="Andes" w:eastAsiaTheme="minorHAnsi" w:hAnsi="Andes" w:cs="Arial"/>
          <w:color w:val="000000"/>
          <w:sz w:val="22"/>
          <w:szCs w:val="22"/>
        </w:rPr>
        <w:t>être notamment</w:t>
      </w:r>
      <w:r w:rsidRPr="00D124D9">
        <w:rPr>
          <w:rFonts w:ascii="Andes" w:eastAsiaTheme="minorHAnsi" w:hAnsi="Andes" w:cs="Arial"/>
          <w:color w:val="000000"/>
          <w:sz w:val="22"/>
          <w:szCs w:val="22"/>
        </w:rPr>
        <w:t xml:space="preserve"> la </w:t>
      </w:r>
      <w:r>
        <w:rPr>
          <w:rFonts w:ascii="Andes" w:eastAsiaTheme="minorHAnsi" w:hAnsi="Andes" w:cs="Arial"/>
          <w:color w:val="000000"/>
          <w:sz w:val="22"/>
          <w:szCs w:val="22"/>
        </w:rPr>
        <w:t xml:space="preserve">capacité </w:t>
      </w:r>
      <w:r w:rsidR="007C1F0E">
        <w:rPr>
          <w:rFonts w:ascii="Andes" w:eastAsiaTheme="minorHAnsi" w:hAnsi="Andes" w:cs="Arial"/>
          <w:color w:val="000000"/>
          <w:sz w:val="22"/>
          <w:szCs w:val="22"/>
        </w:rPr>
        <w:t xml:space="preserve">de l’Offre/Proposition </w:t>
      </w:r>
      <w:r>
        <w:rPr>
          <w:rFonts w:ascii="Andes" w:eastAsiaTheme="minorHAnsi" w:hAnsi="Andes" w:cs="Arial"/>
          <w:color w:val="000000"/>
          <w:sz w:val="22"/>
          <w:szCs w:val="22"/>
        </w:rPr>
        <w:t>à</w:t>
      </w:r>
      <w:r w:rsidRPr="00D124D9">
        <w:rPr>
          <w:rFonts w:ascii="Andes" w:eastAsiaTheme="minorHAnsi" w:hAnsi="Andes" w:cs="Arial"/>
          <w:color w:val="000000"/>
          <w:sz w:val="22"/>
          <w:szCs w:val="22"/>
        </w:rPr>
        <w:t xml:space="preserve"> s’adapter aux changements susceptibles d’intervenir pendant le cycle de vie</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et/ou</w:t>
      </w:r>
    </w:p>
    <w:p w14:paraId="49D297D8" w14:textId="32EA05D7" w:rsidR="00335BAE" w:rsidRPr="00D124D9" w:rsidRDefault="00335BAE" w:rsidP="00335BAE">
      <w:pPr>
        <w:pStyle w:val="Paragraphedeliste"/>
        <w:numPr>
          <w:ilvl w:val="0"/>
          <w:numId w:val="219"/>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Innovation</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xml:space="preserve">: </w:t>
      </w:r>
      <w:r w:rsidR="00AA00BE">
        <w:rPr>
          <w:rFonts w:ascii="Andes" w:eastAsiaTheme="minorHAnsi" w:hAnsi="Andes" w:cs="Arial"/>
          <w:color w:val="000000"/>
          <w:sz w:val="22"/>
          <w:szCs w:val="22"/>
        </w:rPr>
        <w:t>les aspects</w:t>
      </w:r>
      <w:r w:rsidRPr="00D124D9">
        <w:rPr>
          <w:rFonts w:ascii="Andes" w:eastAsiaTheme="minorHAnsi" w:hAnsi="Andes" w:cs="Arial"/>
          <w:color w:val="000000"/>
          <w:sz w:val="22"/>
          <w:szCs w:val="22"/>
        </w:rPr>
        <w:t xml:space="preserve"> d’innovation </w:t>
      </w:r>
      <w:r w:rsidR="00FD70C6">
        <w:rPr>
          <w:rFonts w:ascii="Andes" w:eastAsiaTheme="minorHAnsi" w:hAnsi="Andes" w:cs="Arial"/>
          <w:color w:val="000000"/>
          <w:sz w:val="22"/>
          <w:szCs w:val="22"/>
        </w:rPr>
        <w:t>entre autres</w:t>
      </w:r>
      <w:r w:rsidR="00FB1BFF">
        <w:rPr>
          <w:rFonts w:ascii="Andes" w:eastAsiaTheme="minorHAnsi" w:hAnsi="Andes" w:cs="Arial"/>
          <w:color w:val="000000"/>
          <w:sz w:val="22"/>
          <w:szCs w:val="22"/>
        </w:rPr>
        <w:t xml:space="preserve">, </w:t>
      </w:r>
      <w:r w:rsidRPr="00D124D9">
        <w:rPr>
          <w:rFonts w:ascii="Andes" w:eastAsiaTheme="minorHAnsi" w:hAnsi="Andes" w:cs="Arial"/>
          <w:color w:val="000000"/>
          <w:sz w:val="22"/>
          <w:szCs w:val="22"/>
        </w:rPr>
        <w:t xml:space="preserve">dans la conception et/ou la </w:t>
      </w:r>
      <w:r>
        <w:rPr>
          <w:rFonts w:ascii="Andes" w:eastAsiaTheme="minorHAnsi" w:hAnsi="Andes" w:cs="Arial"/>
          <w:color w:val="000000"/>
          <w:sz w:val="22"/>
          <w:szCs w:val="22"/>
        </w:rPr>
        <w:t>livraison des</w:t>
      </w:r>
      <w:r w:rsidRPr="00D124D9">
        <w:rPr>
          <w:rFonts w:ascii="Andes" w:eastAsiaTheme="minorHAnsi" w:hAnsi="Andes" w:cs="Arial"/>
          <w:color w:val="000000"/>
          <w:sz w:val="22"/>
          <w:szCs w:val="22"/>
        </w:rPr>
        <w:t xml:space="preserve"> </w:t>
      </w:r>
      <w:r>
        <w:rPr>
          <w:rFonts w:ascii="Andes" w:eastAsiaTheme="minorHAnsi" w:hAnsi="Andes" w:cs="Arial"/>
          <w:color w:val="000000"/>
          <w:sz w:val="22"/>
          <w:szCs w:val="22"/>
        </w:rPr>
        <w:t>F</w:t>
      </w:r>
      <w:r w:rsidRPr="00D124D9">
        <w:rPr>
          <w:rFonts w:ascii="Andes" w:eastAsiaTheme="minorHAnsi" w:hAnsi="Andes" w:cs="Arial"/>
          <w:color w:val="000000"/>
          <w:sz w:val="22"/>
          <w:szCs w:val="22"/>
        </w:rPr>
        <w:t xml:space="preserve">ournitures, </w:t>
      </w:r>
      <w:r>
        <w:rPr>
          <w:rFonts w:ascii="Andes" w:eastAsiaTheme="minorHAnsi" w:hAnsi="Andes" w:cs="Arial"/>
          <w:color w:val="000000"/>
          <w:sz w:val="22"/>
          <w:szCs w:val="22"/>
        </w:rPr>
        <w:t>l’exécution des T</w:t>
      </w:r>
      <w:r w:rsidRPr="00D124D9">
        <w:rPr>
          <w:rFonts w:ascii="Andes" w:eastAsiaTheme="minorHAnsi" w:hAnsi="Andes" w:cs="Arial"/>
          <w:color w:val="000000"/>
          <w:sz w:val="22"/>
          <w:szCs w:val="22"/>
        </w:rPr>
        <w:t xml:space="preserve">ravaux, </w:t>
      </w:r>
      <w:r>
        <w:rPr>
          <w:rFonts w:ascii="Andes" w:eastAsiaTheme="minorHAnsi" w:hAnsi="Andes" w:cs="Arial"/>
          <w:color w:val="000000"/>
          <w:sz w:val="22"/>
          <w:szCs w:val="22"/>
        </w:rPr>
        <w:t xml:space="preserve">la prestation </w:t>
      </w:r>
      <w:r w:rsidRPr="00D124D9">
        <w:rPr>
          <w:rFonts w:ascii="Andes" w:eastAsiaTheme="minorHAnsi" w:hAnsi="Andes" w:cs="Arial"/>
          <w:color w:val="000000"/>
          <w:sz w:val="22"/>
          <w:szCs w:val="22"/>
        </w:rPr>
        <w:t xml:space="preserve">des </w:t>
      </w:r>
      <w:r>
        <w:rPr>
          <w:rFonts w:ascii="Andes" w:eastAsiaTheme="minorHAnsi" w:hAnsi="Andes" w:cs="Arial"/>
          <w:color w:val="000000"/>
          <w:sz w:val="22"/>
          <w:szCs w:val="22"/>
        </w:rPr>
        <w:t>S</w:t>
      </w:r>
      <w:r w:rsidRPr="00D124D9">
        <w:rPr>
          <w:rFonts w:ascii="Andes" w:eastAsiaTheme="minorHAnsi" w:hAnsi="Andes" w:cs="Arial"/>
          <w:color w:val="000000"/>
          <w:sz w:val="22"/>
          <w:szCs w:val="22"/>
        </w:rPr>
        <w:t xml:space="preserve">ervices </w:t>
      </w:r>
      <w:r>
        <w:rPr>
          <w:rFonts w:ascii="Andes" w:eastAsiaTheme="minorHAnsi" w:hAnsi="Andes" w:cs="Arial"/>
          <w:color w:val="000000"/>
          <w:sz w:val="22"/>
          <w:szCs w:val="22"/>
        </w:rPr>
        <w:t xml:space="preserve">Autres que des Services de Consultants </w:t>
      </w:r>
      <w:r w:rsidRPr="00D124D9">
        <w:rPr>
          <w:rFonts w:ascii="Andes" w:eastAsiaTheme="minorHAnsi" w:hAnsi="Andes" w:cs="Arial"/>
          <w:color w:val="000000"/>
          <w:sz w:val="22"/>
          <w:szCs w:val="22"/>
        </w:rPr>
        <w:t xml:space="preserve">ou des </w:t>
      </w:r>
      <w:r>
        <w:rPr>
          <w:rFonts w:ascii="Andes" w:eastAsiaTheme="minorHAnsi" w:hAnsi="Andes" w:cs="Arial"/>
          <w:color w:val="000000"/>
          <w:sz w:val="22"/>
          <w:szCs w:val="22"/>
        </w:rPr>
        <w:t>S</w:t>
      </w:r>
      <w:r w:rsidRPr="00D124D9">
        <w:rPr>
          <w:rFonts w:ascii="Andes" w:eastAsiaTheme="minorHAnsi" w:hAnsi="Andes" w:cs="Arial"/>
          <w:color w:val="000000"/>
          <w:sz w:val="22"/>
          <w:szCs w:val="22"/>
        </w:rPr>
        <w:t>ervices de cons</w:t>
      </w:r>
      <w:r>
        <w:rPr>
          <w:rFonts w:ascii="Andes" w:eastAsiaTheme="minorHAnsi" w:hAnsi="Andes" w:cs="Arial"/>
          <w:color w:val="000000"/>
          <w:sz w:val="22"/>
          <w:szCs w:val="22"/>
        </w:rPr>
        <w:t>ultants</w:t>
      </w:r>
      <w:r w:rsidR="00451434">
        <w:rPr>
          <w:rFonts w:ascii="Andes" w:eastAsiaTheme="minorHAnsi" w:hAnsi="Andes" w:cs="Arial"/>
          <w:color w:val="000000"/>
          <w:sz w:val="22"/>
          <w:szCs w:val="22"/>
        </w:rPr>
        <w:t xml:space="preserve">. </w:t>
      </w:r>
    </w:p>
    <w:p w14:paraId="2F1810D6" w14:textId="77777777" w:rsidR="00335BAE" w:rsidRPr="00D124D9" w:rsidRDefault="00335BAE" w:rsidP="00335BAE">
      <w:pPr>
        <w:pStyle w:val="Paragraphedeliste"/>
        <w:numPr>
          <w:ilvl w:val="0"/>
          <w:numId w:val="132"/>
        </w:numPr>
        <w:spacing w:before="240" w:line="240" w:lineRule="auto"/>
        <w:ind w:left="634" w:hanging="634"/>
        <w:contextualSpacing w:val="0"/>
        <w:rPr>
          <w:rFonts w:ascii="Andes" w:eastAsiaTheme="majorEastAsia" w:hAnsi="Andes"/>
          <w:b/>
          <w:color w:val="C45911"/>
          <w:sz w:val="32"/>
          <w:szCs w:val="32"/>
        </w:rPr>
      </w:pPr>
      <w:bookmarkStart w:id="3571" w:name="_Toc453170998"/>
      <w:r>
        <w:rPr>
          <w:rFonts w:ascii="Andes" w:eastAsiaTheme="majorEastAsia" w:hAnsi="Andes"/>
          <w:b/>
          <w:color w:val="C45911"/>
          <w:sz w:val="32"/>
          <w:szCs w:val="32"/>
        </w:rPr>
        <w:t>Fournitures, Travaux et S</w:t>
      </w:r>
      <w:r w:rsidRPr="00D124D9">
        <w:rPr>
          <w:rFonts w:ascii="Andes" w:eastAsiaTheme="majorEastAsia" w:hAnsi="Andes"/>
          <w:b/>
          <w:color w:val="C45911"/>
          <w:sz w:val="32"/>
          <w:szCs w:val="32"/>
        </w:rPr>
        <w:t xml:space="preserve">ervices </w:t>
      </w:r>
      <w:r>
        <w:rPr>
          <w:rFonts w:ascii="Andes" w:eastAsiaTheme="majorEastAsia" w:hAnsi="Andes"/>
          <w:b/>
          <w:color w:val="C45911"/>
          <w:sz w:val="32"/>
          <w:szCs w:val="32"/>
        </w:rPr>
        <w:t>Autres que des Services de Consultants</w:t>
      </w:r>
      <w:bookmarkEnd w:id="3571"/>
    </w:p>
    <w:p w14:paraId="494AB3A3" w14:textId="3448B235" w:rsidR="00335BAE" w:rsidRPr="00D124D9" w:rsidRDefault="00335BAE" w:rsidP="00335BAE">
      <w:pPr>
        <w:pStyle w:val="Paragraphedeliste"/>
        <w:spacing w:before="240"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Critères</w:t>
      </w:r>
      <w:r>
        <w:rPr>
          <w:rFonts w:ascii="Andes" w:hAnsi="Andes" w:cs="Arial"/>
          <w:b/>
          <w:color w:val="000000" w:themeColor="text1"/>
          <w:sz w:val="28"/>
          <w:szCs w:val="28"/>
        </w:rPr>
        <w:t xml:space="preserve"> de </w:t>
      </w:r>
      <w:r w:rsidR="00DD0015">
        <w:rPr>
          <w:rFonts w:ascii="Andes" w:hAnsi="Andes" w:cs="Arial"/>
          <w:b/>
          <w:color w:val="000000" w:themeColor="text1"/>
          <w:sz w:val="28"/>
          <w:szCs w:val="28"/>
        </w:rPr>
        <w:t>Q</w:t>
      </w:r>
      <w:r>
        <w:rPr>
          <w:rFonts w:ascii="Andes" w:hAnsi="Andes" w:cs="Arial"/>
          <w:b/>
          <w:color w:val="000000" w:themeColor="text1"/>
          <w:sz w:val="28"/>
          <w:szCs w:val="28"/>
        </w:rPr>
        <w:t>ualification</w:t>
      </w:r>
    </w:p>
    <w:p w14:paraId="51DA6282" w14:textId="4CDE2D87" w:rsidR="00335BAE" w:rsidRPr="00D124D9" w:rsidRDefault="00DD0015" w:rsidP="00335BAE">
      <w:pPr>
        <w:pStyle w:val="Paragraphedeliste"/>
        <w:numPr>
          <w:ilvl w:val="1"/>
          <w:numId w:val="132"/>
        </w:numPr>
        <w:spacing w:before="0" w:line="240" w:lineRule="auto"/>
        <w:ind w:left="630" w:hanging="630"/>
        <w:contextualSpacing w:val="0"/>
        <w:rPr>
          <w:rFonts w:ascii="Andes" w:hAnsi="Andes" w:cs="Arial"/>
          <w:sz w:val="22"/>
          <w:szCs w:val="22"/>
        </w:rPr>
      </w:pPr>
      <w:r>
        <w:rPr>
          <w:rFonts w:ascii="Andes" w:hAnsi="Andes" w:cs="Arial"/>
          <w:sz w:val="22"/>
          <w:szCs w:val="22"/>
        </w:rPr>
        <w:t xml:space="preserve">Les Critères de Qualification </w:t>
      </w:r>
      <w:r w:rsidR="001B6D4E">
        <w:rPr>
          <w:rFonts w:ascii="Andes" w:hAnsi="Andes" w:cs="Arial"/>
          <w:sz w:val="22"/>
          <w:szCs w:val="22"/>
        </w:rPr>
        <w:t>sont l</w:t>
      </w:r>
      <w:r w:rsidR="00335BAE" w:rsidRPr="00D124D9">
        <w:rPr>
          <w:rFonts w:ascii="Andes" w:hAnsi="Andes" w:cs="Arial"/>
          <w:sz w:val="22"/>
          <w:szCs w:val="22"/>
        </w:rPr>
        <w:t xml:space="preserve">es </w:t>
      </w:r>
      <w:r w:rsidR="00335BAE">
        <w:rPr>
          <w:rFonts w:ascii="Andes" w:hAnsi="Andes" w:cs="Arial"/>
          <w:sz w:val="22"/>
          <w:szCs w:val="22"/>
        </w:rPr>
        <w:t>exigences</w:t>
      </w:r>
      <w:r w:rsidR="00335BAE" w:rsidRPr="00D124D9">
        <w:rPr>
          <w:rFonts w:ascii="Andes" w:hAnsi="Andes" w:cs="Arial"/>
          <w:sz w:val="22"/>
          <w:szCs w:val="22"/>
        </w:rPr>
        <w:t xml:space="preserve"> minimales décrites dans le dossier d’</w:t>
      </w:r>
      <w:r w:rsidR="00C51DF5">
        <w:rPr>
          <w:rFonts w:ascii="Andes" w:hAnsi="Andes" w:cs="Arial"/>
          <w:sz w:val="22"/>
          <w:szCs w:val="22"/>
        </w:rPr>
        <w:t>Appel d’Offres/ à Propositions</w:t>
      </w:r>
      <w:r w:rsidR="00335BAE" w:rsidRPr="00D124D9">
        <w:rPr>
          <w:rFonts w:ascii="Andes" w:hAnsi="Andes" w:cs="Arial"/>
          <w:sz w:val="22"/>
          <w:szCs w:val="22"/>
        </w:rPr>
        <w:t xml:space="preserve"> et qui, lorsqu’elles sont évaluées, permettent </w:t>
      </w:r>
      <w:r w:rsidR="00335BAE">
        <w:rPr>
          <w:rFonts w:ascii="Andes" w:hAnsi="Andes" w:cs="Arial"/>
          <w:sz w:val="22"/>
          <w:szCs w:val="22"/>
        </w:rPr>
        <w:t>généralement</w:t>
      </w:r>
      <w:r w:rsidR="00335BAE" w:rsidRPr="00D124D9">
        <w:rPr>
          <w:rFonts w:ascii="Andes" w:hAnsi="Andes" w:cs="Arial"/>
          <w:sz w:val="22"/>
          <w:szCs w:val="22"/>
        </w:rPr>
        <w:t xml:space="preserve"> soit de retenir, soit de rejeter une </w:t>
      </w:r>
      <w:r w:rsidR="00335BAE">
        <w:rPr>
          <w:rFonts w:ascii="Andes" w:hAnsi="Andes" w:cs="Arial"/>
          <w:sz w:val="22"/>
          <w:szCs w:val="22"/>
        </w:rPr>
        <w:t>O</w:t>
      </w:r>
      <w:r w:rsidR="00335BAE" w:rsidRPr="00D124D9">
        <w:rPr>
          <w:rFonts w:ascii="Andes" w:hAnsi="Andes" w:cs="Arial"/>
          <w:sz w:val="22"/>
          <w:szCs w:val="22"/>
        </w:rPr>
        <w:t>ffre</w:t>
      </w:r>
      <w:r w:rsidR="00335BAE">
        <w:rPr>
          <w:rFonts w:ascii="Andes" w:hAnsi="Andes" w:cs="Arial"/>
          <w:sz w:val="22"/>
          <w:szCs w:val="22"/>
        </w:rPr>
        <w:t>/P</w:t>
      </w:r>
      <w:r w:rsidR="00335BAE" w:rsidRPr="00D124D9">
        <w:rPr>
          <w:rFonts w:ascii="Andes" w:hAnsi="Andes" w:cs="Arial"/>
          <w:sz w:val="22"/>
          <w:szCs w:val="22"/>
        </w:rPr>
        <w:t>roposition</w:t>
      </w:r>
      <w:r w:rsidR="00527FC9">
        <w:rPr>
          <w:rFonts w:ascii="Andes" w:hAnsi="Andes" w:cs="Arial"/>
          <w:sz w:val="22"/>
          <w:szCs w:val="22"/>
        </w:rPr>
        <w:t xml:space="preserve"> </w:t>
      </w:r>
      <w:r w:rsidR="007C1CE2">
        <w:rPr>
          <w:rFonts w:ascii="Andes" w:hAnsi="Andes" w:cs="Arial"/>
          <w:sz w:val="22"/>
          <w:szCs w:val="22"/>
        </w:rPr>
        <w:t>ou évalué</w:t>
      </w:r>
      <w:r w:rsidR="000D7498">
        <w:rPr>
          <w:rFonts w:ascii="Andes" w:hAnsi="Andes" w:cs="Arial"/>
          <w:sz w:val="22"/>
          <w:szCs w:val="22"/>
        </w:rPr>
        <w:t>es en utilisant des Critères Notés</w:t>
      </w:r>
      <w:r w:rsidR="00335BAE" w:rsidRPr="00D124D9">
        <w:rPr>
          <w:rFonts w:ascii="Andes" w:hAnsi="Andes" w:cs="Arial"/>
          <w:sz w:val="22"/>
          <w:szCs w:val="22"/>
        </w:rPr>
        <w:t>.</w:t>
      </w:r>
    </w:p>
    <w:p w14:paraId="4201FD74" w14:textId="36F2BB29" w:rsidR="00335BAE" w:rsidRPr="00D124D9" w:rsidRDefault="00335BAE" w:rsidP="00335BAE">
      <w:pPr>
        <w:pStyle w:val="Paragraphedeliste"/>
        <w:spacing w:before="240" w:line="240" w:lineRule="auto"/>
        <w:contextualSpacing w:val="0"/>
        <w:rPr>
          <w:rFonts w:ascii="Andes" w:hAnsi="Andes" w:cs="Arial"/>
          <w:b/>
          <w:color w:val="000000" w:themeColor="text1"/>
          <w:sz w:val="28"/>
          <w:szCs w:val="28"/>
        </w:rPr>
      </w:pPr>
      <w:r>
        <w:rPr>
          <w:rFonts w:ascii="Andes" w:hAnsi="Andes" w:cs="Arial"/>
          <w:b/>
          <w:color w:val="000000" w:themeColor="text1"/>
          <w:sz w:val="28"/>
          <w:szCs w:val="28"/>
        </w:rPr>
        <w:t>Critères n</w:t>
      </w:r>
      <w:r w:rsidRPr="00D124D9">
        <w:rPr>
          <w:rFonts w:ascii="Andes" w:hAnsi="Andes" w:cs="Arial"/>
          <w:b/>
          <w:color w:val="000000" w:themeColor="text1"/>
          <w:sz w:val="28"/>
          <w:szCs w:val="28"/>
        </w:rPr>
        <w:t>otés</w:t>
      </w:r>
    </w:p>
    <w:p w14:paraId="7E57393A" w14:textId="611A517E" w:rsidR="00335BAE" w:rsidRDefault="00335BAE" w:rsidP="00335BAE">
      <w:pPr>
        <w:pStyle w:val="Paragraphedeliste"/>
        <w:numPr>
          <w:ilvl w:val="1"/>
          <w:numId w:val="132"/>
        </w:numPr>
        <w:spacing w:before="0" w:line="240" w:lineRule="auto"/>
        <w:ind w:left="630" w:hanging="630"/>
        <w:contextualSpacing w:val="0"/>
        <w:rPr>
          <w:rFonts w:ascii="Andes" w:hAnsi="Andes" w:cs="Arial"/>
          <w:sz w:val="22"/>
          <w:szCs w:val="22"/>
        </w:rPr>
      </w:pPr>
      <w:r>
        <w:rPr>
          <w:rFonts w:ascii="Andes" w:hAnsi="Andes" w:cs="Arial"/>
          <w:sz w:val="22"/>
          <w:szCs w:val="22"/>
        </w:rPr>
        <w:t xml:space="preserve">Les </w:t>
      </w:r>
      <w:r w:rsidR="0013637B">
        <w:rPr>
          <w:rFonts w:ascii="Andes" w:hAnsi="Andes" w:cs="Arial"/>
          <w:sz w:val="22"/>
          <w:szCs w:val="22"/>
        </w:rPr>
        <w:t>C</w:t>
      </w:r>
      <w:r>
        <w:rPr>
          <w:rFonts w:ascii="Andes" w:hAnsi="Andes" w:cs="Arial"/>
          <w:sz w:val="22"/>
          <w:szCs w:val="22"/>
        </w:rPr>
        <w:t>ritères n</w:t>
      </w:r>
      <w:r w:rsidRPr="00D124D9">
        <w:rPr>
          <w:rFonts w:ascii="Andes" w:hAnsi="Andes" w:cs="Arial"/>
          <w:sz w:val="22"/>
          <w:szCs w:val="22"/>
        </w:rPr>
        <w:t xml:space="preserve">otés, et les sous-critères s’il en est, classés selon un ordre de priorité, se voient attribuer des points de mérite et sont </w:t>
      </w:r>
      <w:r w:rsidR="00E2426D">
        <w:rPr>
          <w:rFonts w:ascii="Andes" w:hAnsi="Andes" w:cs="Arial"/>
          <w:sz w:val="22"/>
          <w:szCs w:val="22"/>
        </w:rPr>
        <w:t>notés</w:t>
      </w:r>
      <w:r w:rsidRPr="00D124D9">
        <w:rPr>
          <w:rFonts w:ascii="Andes" w:hAnsi="Andes" w:cs="Arial"/>
          <w:sz w:val="22"/>
          <w:szCs w:val="22"/>
        </w:rPr>
        <w:t xml:space="preserve"> en fonction de leur importance relative</w:t>
      </w:r>
      <w:r w:rsidR="00D2263E">
        <w:rPr>
          <w:rFonts w:ascii="Andes" w:hAnsi="Andes" w:cs="Arial"/>
          <w:sz w:val="22"/>
          <w:szCs w:val="22"/>
        </w:rPr>
        <w:t>.</w:t>
      </w:r>
      <w:r w:rsidR="00454DC7">
        <w:rPr>
          <w:rFonts w:ascii="Andes" w:hAnsi="Andes" w:cs="Arial"/>
          <w:sz w:val="22"/>
          <w:szCs w:val="22"/>
        </w:rPr>
        <w:t xml:space="preserve"> Le nombre de Critères Notés </w:t>
      </w:r>
      <w:r w:rsidR="00511C1E">
        <w:rPr>
          <w:rFonts w:ascii="Andes" w:hAnsi="Andes" w:cs="Arial"/>
          <w:sz w:val="22"/>
          <w:szCs w:val="22"/>
        </w:rPr>
        <w:t>doit être limité au minimum.</w:t>
      </w:r>
    </w:p>
    <w:p w14:paraId="4CBA9CD9" w14:textId="0E523183" w:rsidR="00CA05AF" w:rsidRPr="00565984" w:rsidRDefault="00CA05AF" w:rsidP="00B95482">
      <w:pPr>
        <w:pStyle w:val="Paragraphedeliste"/>
        <w:numPr>
          <w:ilvl w:val="1"/>
          <w:numId w:val="132"/>
        </w:numPr>
        <w:spacing w:before="0" w:line="240" w:lineRule="auto"/>
        <w:ind w:left="630" w:hanging="630"/>
        <w:contextualSpacing w:val="0"/>
        <w:rPr>
          <w:rFonts w:ascii="Andes" w:hAnsi="Andes" w:cs="Arial"/>
          <w:sz w:val="22"/>
          <w:szCs w:val="22"/>
        </w:rPr>
      </w:pPr>
      <w:r w:rsidRPr="00882278">
        <w:rPr>
          <w:rFonts w:ascii="Andes" w:hAnsi="Andes" w:cs="Arial"/>
          <w:sz w:val="22"/>
          <w:szCs w:val="22"/>
        </w:rPr>
        <w:t xml:space="preserve">Pour </w:t>
      </w:r>
      <w:r w:rsidR="00B95482">
        <w:rPr>
          <w:rFonts w:ascii="Andes" w:hAnsi="Andes" w:cs="Arial"/>
          <w:sz w:val="22"/>
          <w:szCs w:val="22"/>
        </w:rPr>
        <w:t>tout contrat avec</w:t>
      </w:r>
      <w:r w:rsidRPr="00882278">
        <w:rPr>
          <w:rFonts w:ascii="Andes" w:hAnsi="Andes" w:cs="Arial"/>
          <w:sz w:val="22"/>
          <w:szCs w:val="22"/>
        </w:rPr>
        <w:t xml:space="preserve"> mise en concurrence</w:t>
      </w:r>
      <w:r w:rsidR="0061341A">
        <w:rPr>
          <w:rFonts w:ascii="Andes" w:hAnsi="Andes" w:cs="Arial"/>
          <w:sz w:val="22"/>
          <w:szCs w:val="22"/>
        </w:rPr>
        <w:t xml:space="preserve"> internationale</w:t>
      </w:r>
      <w:r w:rsidRPr="00882278">
        <w:rPr>
          <w:rFonts w:ascii="Andes" w:hAnsi="Andes" w:cs="Arial"/>
          <w:sz w:val="22"/>
          <w:szCs w:val="22"/>
        </w:rPr>
        <w:t xml:space="preserve"> et lorsqu'il est nécessaire d'utiliser des </w:t>
      </w:r>
      <w:r w:rsidR="0061341A">
        <w:rPr>
          <w:rFonts w:ascii="Andes" w:hAnsi="Andes" w:cs="Arial"/>
          <w:sz w:val="22"/>
          <w:szCs w:val="22"/>
        </w:rPr>
        <w:t>DTPM</w:t>
      </w:r>
      <w:r w:rsidRPr="00882278">
        <w:rPr>
          <w:rFonts w:ascii="Andes" w:hAnsi="Andes" w:cs="Arial"/>
          <w:sz w:val="22"/>
          <w:szCs w:val="22"/>
        </w:rPr>
        <w:t xml:space="preserve">, la pondération des </w:t>
      </w:r>
      <w:r w:rsidR="0061341A">
        <w:rPr>
          <w:rFonts w:ascii="Andes" w:hAnsi="Andes" w:cs="Arial"/>
          <w:sz w:val="22"/>
          <w:szCs w:val="22"/>
        </w:rPr>
        <w:t>C</w:t>
      </w:r>
      <w:r w:rsidRPr="00882278">
        <w:rPr>
          <w:rFonts w:ascii="Andes" w:hAnsi="Andes" w:cs="Arial"/>
          <w:sz w:val="22"/>
          <w:szCs w:val="22"/>
        </w:rPr>
        <w:t xml:space="preserve">ritères notés s'applique comme indiqué dans la matrice de la Figure 1 ci-dessous. L'Emprunteur détermine les pondérations spécifiques des </w:t>
      </w:r>
      <w:r w:rsidR="00A97EE2">
        <w:rPr>
          <w:rFonts w:ascii="Andes" w:hAnsi="Andes" w:cs="Arial"/>
          <w:sz w:val="22"/>
          <w:szCs w:val="22"/>
        </w:rPr>
        <w:t>C</w:t>
      </w:r>
      <w:r w:rsidRPr="00882278">
        <w:rPr>
          <w:rFonts w:ascii="Andes" w:hAnsi="Andes" w:cs="Arial"/>
          <w:sz w:val="22"/>
          <w:szCs w:val="22"/>
        </w:rPr>
        <w:t xml:space="preserve">ritères notés pour chaque </w:t>
      </w:r>
      <w:r w:rsidR="00EA6773">
        <w:rPr>
          <w:rFonts w:ascii="Andes" w:hAnsi="Andes" w:cs="Arial"/>
          <w:sz w:val="22"/>
          <w:szCs w:val="22"/>
        </w:rPr>
        <w:t>contrat</w:t>
      </w:r>
      <w:r w:rsidRPr="00882278">
        <w:rPr>
          <w:rFonts w:ascii="Andes" w:hAnsi="Andes" w:cs="Arial"/>
          <w:sz w:val="22"/>
          <w:szCs w:val="22"/>
        </w:rPr>
        <w:t xml:space="preserve"> en fonction de sa position dans la matrice et in</w:t>
      </w:r>
      <w:r w:rsidR="00EA6773">
        <w:rPr>
          <w:rFonts w:ascii="Andes" w:hAnsi="Andes" w:cs="Arial"/>
          <w:sz w:val="22"/>
          <w:szCs w:val="22"/>
        </w:rPr>
        <w:t>diquera</w:t>
      </w:r>
      <w:r w:rsidRPr="00882278">
        <w:rPr>
          <w:rFonts w:ascii="Andes" w:hAnsi="Andes" w:cs="Arial"/>
          <w:sz w:val="22"/>
          <w:szCs w:val="22"/>
        </w:rPr>
        <w:t xml:space="preserve"> l'explication dans </w:t>
      </w:r>
      <w:r w:rsidR="00EA6773">
        <w:rPr>
          <w:rFonts w:ascii="Andes" w:hAnsi="Andes" w:cs="Arial"/>
          <w:sz w:val="22"/>
          <w:szCs w:val="22"/>
        </w:rPr>
        <w:t xml:space="preserve">la </w:t>
      </w:r>
      <w:r w:rsidR="00F126D2">
        <w:rPr>
          <w:rFonts w:ascii="Andes" w:hAnsi="Andes" w:cs="Arial"/>
          <w:sz w:val="22"/>
          <w:szCs w:val="22"/>
        </w:rPr>
        <w:t>SMPDP</w:t>
      </w:r>
      <w:r w:rsidRPr="00882278">
        <w:rPr>
          <w:rFonts w:ascii="Andes" w:hAnsi="Andes" w:cs="Arial"/>
          <w:sz w:val="22"/>
          <w:szCs w:val="22"/>
        </w:rPr>
        <w:t xml:space="preserve"> pour examen et approbation par </w:t>
      </w:r>
      <w:r w:rsidR="00F126D2">
        <w:rPr>
          <w:rFonts w:ascii="Andes" w:hAnsi="Andes" w:cs="Arial"/>
          <w:sz w:val="22"/>
          <w:szCs w:val="22"/>
        </w:rPr>
        <w:t>la Banque</w:t>
      </w:r>
      <w:r w:rsidRPr="00882278">
        <w:rPr>
          <w:rFonts w:ascii="Andes" w:hAnsi="Andes" w:cs="Arial"/>
          <w:sz w:val="22"/>
          <w:szCs w:val="22"/>
        </w:rPr>
        <w:t>. (Voir</w:t>
      </w:r>
      <w:hyperlink r:id="rId38" w:history="1">
        <w:r w:rsidRPr="00565984">
          <w:rPr>
            <w:rFonts w:ascii="Andes" w:hAnsi="Andes" w:cs="Arial"/>
            <w:sz w:val="22"/>
            <w:szCs w:val="22"/>
          </w:rPr>
          <w:t xml:space="preserve"> Guide</w:t>
        </w:r>
        <w:r w:rsidR="00F126D2" w:rsidRPr="00565984">
          <w:rPr>
            <w:rFonts w:ascii="Andes" w:hAnsi="Andes" w:cs="Arial"/>
            <w:sz w:val="22"/>
            <w:szCs w:val="22"/>
          </w:rPr>
          <w:t xml:space="preserve"> de Passation des Marchés</w:t>
        </w:r>
        <w:r w:rsidRPr="00565984">
          <w:rPr>
            <w:rFonts w:ascii="Andes" w:hAnsi="Andes" w:cs="Arial"/>
            <w:sz w:val="22"/>
            <w:szCs w:val="22"/>
          </w:rPr>
          <w:t>, Evaluat</w:t>
        </w:r>
        <w:r w:rsidR="00F126D2" w:rsidRPr="00565984">
          <w:rPr>
            <w:rFonts w:ascii="Andes" w:hAnsi="Andes" w:cs="Arial"/>
            <w:sz w:val="22"/>
            <w:szCs w:val="22"/>
          </w:rPr>
          <w:t>ion des Offres et Propositions</w:t>
        </w:r>
      </w:hyperlink>
      <w:r w:rsidRPr="00565984">
        <w:rPr>
          <w:rFonts w:ascii="Andes" w:hAnsi="Andes" w:cs="Arial"/>
          <w:sz w:val="22"/>
          <w:szCs w:val="22"/>
        </w:rPr>
        <w:t xml:space="preserve"> ).</w:t>
      </w:r>
    </w:p>
    <w:p w14:paraId="490E0C31" w14:textId="6175BEA5" w:rsidR="00032A3B" w:rsidRDefault="00032A3B">
      <w:pPr>
        <w:spacing w:before="0" w:after="200"/>
        <w:contextualSpacing w:val="0"/>
        <w:jc w:val="left"/>
        <w:rPr>
          <w:rFonts w:ascii="Andes" w:hAnsi="Andes" w:cs="Arial"/>
          <w:color w:val="FF0000"/>
          <w:sz w:val="22"/>
          <w:szCs w:val="22"/>
        </w:rPr>
      </w:pPr>
      <w:r>
        <w:rPr>
          <w:rFonts w:ascii="Andes" w:hAnsi="Andes" w:cs="Arial"/>
          <w:color w:val="FF0000"/>
          <w:sz w:val="22"/>
          <w:szCs w:val="22"/>
        </w:rPr>
        <w:br w:type="page"/>
      </w:r>
    </w:p>
    <w:p w14:paraId="7D1FA29F" w14:textId="77777777" w:rsidR="00032A3B" w:rsidRPr="00882278" w:rsidRDefault="00032A3B" w:rsidP="00882278">
      <w:pPr>
        <w:pStyle w:val="Paragraphedeliste"/>
        <w:spacing w:before="0" w:line="240" w:lineRule="auto"/>
        <w:ind w:left="630"/>
        <w:contextualSpacing w:val="0"/>
        <w:rPr>
          <w:rFonts w:ascii="Andes" w:hAnsi="Andes" w:cs="Arial"/>
          <w:color w:val="FF0000"/>
          <w:sz w:val="22"/>
          <w:szCs w:val="22"/>
        </w:rPr>
      </w:pPr>
    </w:p>
    <w:p w14:paraId="2E200C79" w14:textId="77777777" w:rsidR="00CA05AF" w:rsidRDefault="00CA05AF" w:rsidP="00CA05AF">
      <w:pPr>
        <w:pStyle w:val="Paragraphedeliste"/>
        <w:tabs>
          <w:tab w:val="left" w:pos="2038"/>
          <w:tab w:val="left" w:pos="2040"/>
        </w:tabs>
        <w:spacing w:before="124" w:line="237" w:lineRule="auto"/>
        <w:ind w:right="1431"/>
        <w:rPr>
          <w:sz w:val="20"/>
        </w:rPr>
      </w:pPr>
    </w:p>
    <w:p w14:paraId="1E8B370E" w14:textId="494D345D" w:rsidR="00CA05AF" w:rsidRPr="00CD457D" w:rsidRDefault="00CA05AF" w:rsidP="00CA05AF">
      <w:pPr>
        <w:pStyle w:val="Paragraphedeliste"/>
        <w:tabs>
          <w:tab w:val="left" w:pos="2038"/>
          <w:tab w:val="left" w:pos="2040"/>
        </w:tabs>
        <w:spacing w:before="124" w:line="237" w:lineRule="auto"/>
        <w:ind w:right="1431"/>
        <w:rPr>
          <w:b/>
          <w:bCs/>
        </w:rPr>
      </w:pPr>
      <w:r w:rsidRPr="00CD457D">
        <w:rPr>
          <w:b/>
          <w:bCs/>
        </w:rPr>
        <w:t xml:space="preserve">Figure 1 - Matrice des pondérations des </w:t>
      </w:r>
      <w:r w:rsidR="00032A3B">
        <w:rPr>
          <w:b/>
          <w:bCs/>
        </w:rPr>
        <w:t>C</w:t>
      </w:r>
      <w:r w:rsidRPr="00CD457D">
        <w:rPr>
          <w:b/>
          <w:bCs/>
        </w:rPr>
        <w:t>ritères notés (par exemple les aspects non tarifaires, qualitatifs et techniques) en fonction du risque et du coût</w:t>
      </w:r>
    </w:p>
    <w:p w14:paraId="175C69FA" w14:textId="696664D4" w:rsidR="00CA05AF" w:rsidRDefault="00CA05AF" w:rsidP="00CA05AF">
      <w:pPr>
        <w:pStyle w:val="Titre2"/>
        <w:spacing w:before="242"/>
        <w:ind w:firstLine="569"/>
        <w:rPr>
          <w:b w:val="0"/>
          <w:bCs/>
          <w:sz w:val="22"/>
          <w:szCs w:val="22"/>
        </w:rPr>
      </w:pPr>
    </w:p>
    <w:p w14:paraId="24FF1A7D" w14:textId="77777777" w:rsidR="00565984" w:rsidRDefault="00565984" w:rsidP="00565984"/>
    <w:p w14:paraId="37145E69" w14:textId="56B4EB33" w:rsidR="00565984" w:rsidRDefault="00565984" w:rsidP="00565984">
      <w:r w:rsidRPr="006E3FE2">
        <w:rPr>
          <w:b/>
          <w:bCs/>
          <w:noProof/>
          <w:sz w:val="22"/>
          <w:szCs w:val="22"/>
        </w:rPr>
        <w:drawing>
          <wp:inline distT="0" distB="0" distL="0" distR="0" wp14:anchorId="75AFE48E" wp14:editId="77E02467">
            <wp:extent cx="3962400" cy="3468452"/>
            <wp:effectExtent l="0" t="0" r="0" b="0"/>
            <wp:docPr id="1679891979" name="Picture 1" descr="A diagram of a busi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29973" name="Picture 1" descr="A diagram of a business&#10;&#10;Description automatically generated"/>
                    <pic:cNvPicPr/>
                  </pic:nvPicPr>
                  <pic:blipFill>
                    <a:blip r:embed="rId39"/>
                    <a:stretch>
                      <a:fillRect/>
                    </a:stretch>
                  </pic:blipFill>
                  <pic:spPr>
                    <a:xfrm>
                      <a:off x="0" y="0"/>
                      <a:ext cx="3970951" cy="3475937"/>
                    </a:xfrm>
                    <a:prstGeom prst="rect">
                      <a:avLst/>
                    </a:prstGeom>
                  </pic:spPr>
                </pic:pic>
              </a:graphicData>
            </a:graphic>
          </wp:inline>
        </w:drawing>
      </w:r>
    </w:p>
    <w:p w14:paraId="5C0CD82F" w14:textId="77777777" w:rsidR="00565984" w:rsidRDefault="00565984" w:rsidP="00565984"/>
    <w:p w14:paraId="57695D67" w14:textId="77777777" w:rsidR="00565984" w:rsidRDefault="00565984" w:rsidP="00565984"/>
    <w:p w14:paraId="6B0C8422" w14:textId="6CE17754" w:rsidR="00565984" w:rsidRDefault="00565984" w:rsidP="00565984"/>
    <w:p w14:paraId="4C2687D9" w14:textId="77777777" w:rsidR="00565984" w:rsidRDefault="00565984" w:rsidP="00565984"/>
    <w:p w14:paraId="799CE8C6" w14:textId="77777777" w:rsidR="00565984" w:rsidRDefault="00565984" w:rsidP="00565984"/>
    <w:p w14:paraId="214E62F9" w14:textId="77777777" w:rsidR="00565984" w:rsidRDefault="00565984" w:rsidP="00565984"/>
    <w:p w14:paraId="0F6A20B1" w14:textId="77777777" w:rsidR="00565984" w:rsidRDefault="00565984" w:rsidP="00565984"/>
    <w:p w14:paraId="34287D3C" w14:textId="77777777" w:rsidR="00565984" w:rsidRPr="00565984" w:rsidRDefault="00565984" w:rsidP="00565984"/>
    <w:p w14:paraId="7F51E6C8" w14:textId="1D29E3FE" w:rsidR="00CA05AF" w:rsidRPr="006D7BDF" w:rsidRDefault="00CA05AF" w:rsidP="006D7BDF">
      <w:pPr>
        <w:pStyle w:val="Paragraphedeliste"/>
        <w:numPr>
          <w:ilvl w:val="1"/>
          <w:numId w:val="132"/>
        </w:numPr>
        <w:spacing w:before="0" w:line="240" w:lineRule="auto"/>
        <w:ind w:left="630" w:hanging="630"/>
        <w:contextualSpacing w:val="0"/>
        <w:rPr>
          <w:rFonts w:ascii="Andes" w:hAnsi="Andes" w:cs="Arial"/>
          <w:sz w:val="22"/>
          <w:szCs w:val="22"/>
        </w:rPr>
      </w:pPr>
      <w:r w:rsidRPr="00882278">
        <w:rPr>
          <w:rFonts w:ascii="Andes" w:hAnsi="Andes" w:cs="Arial"/>
          <w:sz w:val="22"/>
          <w:szCs w:val="22"/>
        </w:rPr>
        <w:t xml:space="preserve">La Banque examine et approuve la pondération des </w:t>
      </w:r>
      <w:r w:rsidR="00712CB8" w:rsidRPr="006D7BDF">
        <w:rPr>
          <w:rFonts w:ascii="Andes" w:hAnsi="Andes" w:cs="Arial"/>
          <w:sz w:val="22"/>
          <w:szCs w:val="22"/>
        </w:rPr>
        <w:t>C</w:t>
      </w:r>
      <w:r w:rsidRPr="00882278">
        <w:rPr>
          <w:rFonts w:ascii="Andes" w:hAnsi="Andes" w:cs="Arial"/>
          <w:sz w:val="22"/>
          <w:szCs w:val="22"/>
        </w:rPr>
        <w:t xml:space="preserve">ritères de notation pour chaque contrat soumis à </w:t>
      </w:r>
      <w:r w:rsidR="00712CB8" w:rsidRPr="006D7BDF">
        <w:rPr>
          <w:rFonts w:ascii="Andes" w:hAnsi="Andes" w:cs="Arial"/>
          <w:sz w:val="22"/>
          <w:szCs w:val="22"/>
        </w:rPr>
        <w:t>l’</w:t>
      </w:r>
      <w:r w:rsidRPr="00882278">
        <w:rPr>
          <w:rFonts w:ascii="Andes" w:hAnsi="Andes" w:cs="Arial"/>
          <w:sz w:val="22"/>
          <w:szCs w:val="22"/>
        </w:rPr>
        <w:t>examen préalable. Pour les marchés soumis à un examen a posteriori, la Banque vérifie que l'</w:t>
      </w:r>
      <w:r w:rsidR="00403D3B" w:rsidRPr="006D7BDF">
        <w:rPr>
          <w:rFonts w:ascii="Andes" w:hAnsi="Andes" w:cs="Arial"/>
          <w:sz w:val="22"/>
          <w:szCs w:val="22"/>
        </w:rPr>
        <w:t>E</w:t>
      </w:r>
      <w:r w:rsidRPr="00882278">
        <w:rPr>
          <w:rFonts w:ascii="Andes" w:hAnsi="Andes" w:cs="Arial"/>
          <w:sz w:val="22"/>
          <w:szCs w:val="22"/>
        </w:rPr>
        <w:t xml:space="preserve">mprunteur se conforme à la matrice de pondération des </w:t>
      </w:r>
      <w:r w:rsidR="00403D3B" w:rsidRPr="006D7BDF">
        <w:rPr>
          <w:rFonts w:ascii="Andes" w:hAnsi="Andes" w:cs="Arial"/>
          <w:sz w:val="22"/>
          <w:szCs w:val="22"/>
        </w:rPr>
        <w:t>C</w:t>
      </w:r>
      <w:r w:rsidRPr="00882278">
        <w:rPr>
          <w:rFonts w:ascii="Andes" w:hAnsi="Andes" w:cs="Arial"/>
          <w:sz w:val="22"/>
          <w:szCs w:val="22"/>
        </w:rPr>
        <w:t>ritères not</w:t>
      </w:r>
      <w:r w:rsidR="00D9697C" w:rsidRPr="006D7BDF">
        <w:rPr>
          <w:rFonts w:ascii="Andes" w:hAnsi="Andes" w:cs="Arial"/>
          <w:sz w:val="22"/>
          <w:szCs w:val="22"/>
        </w:rPr>
        <w:t>és</w:t>
      </w:r>
      <w:r w:rsidRPr="00882278">
        <w:rPr>
          <w:rFonts w:ascii="Andes" w:hAnsi="Andes" w:cs="Arial"/>
          <w:sz w:val="22"/>
          <w:szCs w:val="22"/>
        </w:rPr>
        <w:t xml:space="preserve">. Une mauvaise application des pondérations des </w:t>
      </w:r>
      <w:r w:rsidR="006D7BDF" w:rsidRPr="006D7BDF">
        <w:rPr>
          <w:rFonts w:ascii="Andes" w:hAnsi="Andes" w:cs="Arial"/>
          <w:sz w:val="22"/>
          <w:szCs w:val="22"/>
        </w:rPr>
        <w:t>C</w:t>
      </w:r>
      <w:r w:rsidRPr="00882278">
        <w:rPr>
          <w:rFonts w:ascii="Andes" w:hAnsi="Andes" w:cs="Arial"/>
          <w:sz w:val="22"/>
          <w:szCs w:val="22"/>
        </w:rPr>
        <w:t>ritères de notation figurant dans cette matrice peut conduire à une passation des marchés</w:t>
      </w:r>
      <w:r w:rsidR="006D7BDF" w:rsidRPr="006D7BDF">
        <w:rPr>
          <w:rFonts w:ascii="Andes" w:hAnsi="Andes" w:cs="Arial"/>
          <w:sz w:val="22"/>
          <w:szCs w:val="22"/>
        </w:rPr>
        <w:t xml:space="preserve"> non conforme.</w:t>
      </w:r>
    </w:p>
    <w:p w14:paraId="58672413" w14:textId="77777777" w:rsidR="00335BAE" w:rsidRPr="00D124D9" w:rsidRDefault="00335BAE" w:rsidP="00335BAE">
      <w:pPr>
        <w:pStyle w:val="Paragraphedeliste"/>
        <w:spacing w:before="240"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Évaluation des coûts</w:t>
      </w:r>
    </w:p>
    <w:p w14:paraId="07DFDF3F" w14:textId="7E957569" w:rsidR="00335BAE" w:rsidRPr="00D124D9" w:rsidRDefault="00335BAE" w:rsidP="00335BAE">
      <w:pPr>
        <w:pStyle w:val="Paragraphedeliste"/>
        <w:numPr>
          <w:ilvl w:val="1"/>
          <w:numId w:val="132"/>
        </w:numPr>
        <w:spacing w:before="0" w:line="240" w:lineRule="auto"/>
        <w:ind w:left="630" w:hanging="630"/>
        <w:contextualSpacing w:val="0"/>
        <w:rPr>
          <w:rFonts w:ascii="Andes" w:hAnsi="Andes" w:cs="Arial"/>
          <w:sz w:val="22"/>
          <w:szCs w:val="22"/>
        </w:rPr>
      </w:pPr>
      <w:r w:rsidRPr="00D124D9">
        <w:rPr>
          <w:rFonts w:ascii="Andes" w:hAnsi="Andes" w:cs="Arial"/>
          <w:sz w:val="22"/>
          <w:szCs w:val="22"/>
        </w:rPr>
        <w:t>Le dossier d’</w:t>
      </w:r>
      <w:r w:rsidR="00C51DF5">
        <w:rPr>
          <w:rFonts w:ascii="Andes" w:hAnsi="Andes" w:cs="Arial"/>
          <w:sz w:val="22"/>
          <w:szCs w:val="22"/>
        </w:rPr>
        <w:t>Appel d’Offres/ à Propositions</w:t>
      </w:r>
      <w:r w:rsidRPr="00D124D9">
        <w:rPr>
          <w:rFonts w:ascii="Andes" w:hAnsi="Andes" w:cs="Arial"/>
          <w:sz w:val="22"/>
          <w:szCs w:val="22"/>
        </w:rPr>
        <w:t xml:space="preserve"> précise si les coûts sont évalués sur la base du</w:t>
      </w:r>
    </w:p>
    <w:p w14:paraId="32842E68" w14:textId="77777777" w:rsidR="00335BAE" w:rsidRPr="00D124D9" w:rsidRDefault="00335BAE" w:rsidP="00335BAE">
      <w:pPr>
        <w:pStyle w:val="Paragraphedeliste"/>
        <w:numPr>
          <w:ilvl w:val="0"/>
          <w:numId w:val="249"/>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prix de l’offre révisé, ou </w:t>
      </w:r>
    </w:p>
    <w:p w14:paraId="13F5204E" w14:textId="77777777" w:rsidR="00335BAE" w:rsidRPr="00D124D9" w:rsidRDefault="00335BAE" w:rsidP="00335BAE">
      <w:pPr>
        <w:pStyle w:val="Paragraphedeliste"/>
        <w:numPr>
          <w:ilvl w:val="0"/>
          <w:numId w:val="249"/>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coût </w:t>
      </w:r>
      <w:r>
        <w:rPr>
          <w:rFonts w:ascii="Andes" w:eastAsiaTheme="minorHAnsi" w:hAnsi="Andes" w:cs="Arial"/>
          <w:color w:val="000000"/>
          <w:sz w:val="22"/>
          <w:szCs w:val="22"/>
        </w:rPr>
        <w:t>sur la durée</w:t>
      </w:r>
      <w:r w:rsidRPr="00D124D9">
        <w:rPr>
          <w:rFonts w:ascii="Andes" w:eastAsiaTheme="minorHAnsi" w:hAnsi="Andes" w:cs="Arial"/>
          <w:color w:val="000000"/>
          <w:sz w:val="22"/>
          <w:szCs w:val="22"/>
        </w:rPr>
        <w:t xml:space="preserve"> de vie.  </w:t>
      </w:r>
    </w:p>
    <w:p w14:paraId="3DE4FF9E" w14:textId="4348688F" w:rsidR="00335BAE" w:rsidRPr="00D124D9" w:rsidRDefault="00335BAE" w:rsidP="00335BAE">
      <w:pPr>
        <w:pStyle w:val="Paragraphedeliste"/>
        <w:numPr>
          <w:ilvl w:val="1"/>
          <w:numId w:val="132"/>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Le prix de l’offre est révisé par </w:t>
      </w:r>
      <w:r>
        <w:rPr>
          <w:rFonts w:ascii="Andes" w:hAnsi="Andes" w:cs="Arial"/>
          <w:sz w:val="22"/>
          <w:szCs w:val="22"/>
        </w:rPr>
        <w:t xml:space="preserve">la </w:t>
      </w:r>
      <w:r w:rsidRPr="00D124D9">
        <w:rPr>
          <w:rFonts w:ascii="Andes" w:hAnsi="Andes" w:cs="Arial"/>
          <w:sz w:val="22"/>
          <w:szCs w:val="22"/>
        </w:rPr>
        <w:t xml:space="preserve">correction des erreurs mathématiques ou </w:t>
      </w:r>
      <w:r>
        <w:rPr>
          <w:rFonts w:ascii="Andes" w:hAnsi="Andes" w:cs="Arial"/>
          <w:sz w:val="22"/>
          <w:szCs w:val="22"/>
        </w:rPr>
        <w:t xml:space="preserve">l’application </w:t>
      </w:r>
      <w:r w:rsidRPr="00D124D9">
        <w:rPr>
          <w:rFonts w:ascii="Andes" w:hAnsi="Andes" w:cs="Arial"/>
          <w:sz w:val="22"/>
          <w:szCs w:val="22"/>
        </w:rPr>
        <w:t xml:space="preserve">de rabais, ou encore par toute autre méthode </w:t>
      </w:r>
      <w:r>
        <w:rPr>
          <w:rFonts w:ascii="Andes" w:hAnsi="Andes" w:cs="Arial"/>
          <w:sz w:val="22"/>
          <w:szCs w:val="22"/>
        </w:rPr>
        <w:t>spécifiée</w:t>
      </w:r>
      <w:r w:rsidRPr="00D124D9">
        <w:rPr>
          <w:rFonts w:ascii="Andes" w:hAnsi="Andes" w:cs="Arial"/>
          <w:sz w:val="22"/>
          <w:szCs w:val="22"/>
        </w:rPr>
        <w:t xml:space="preserve"> dans le dossier d’</w:t>
      </w:r>
      <w:r w:rsidR="00C51DF5">
        <w:rPr>
          <w:rFonts w:ascii="Andes" w:hAnsi="Andes" w:cs="Arial"/>
          <w:sz w:val="22"/>
          <w:szCs w:val="22"/>
        </w:rPr>
        <w:t>Appel d’Offres/ à Propositions</w:t>
      </w:r>
      <w:r w:rsidRPr="00D124D9">
        <w:rPr>
          <w:rFonts w:ascii="Andes" w:hAnsi="Andes" w:cs="Arial"/>
          <w:sz w:val="22"/>
          <w:szCs w:val="22"/>
        </w:rPr>
        <w:t xml:space="preserve"> aux fins d’évaluation, notamment l’ajustement des divergences dans le calendrier de livraison ou de mise en œuvre et/ou des modes de paiement, et la correction des divergences ou des omissions mineures.</w:t>
      </w:r>
    </w:p>
    <w:p w14:paraId="152F1B7B" w14:textId="77777777" w:rsidR="00335BAE" w:rsidRPr="00D124D9" w:rsidRDefault="00335BAE" w:rsidP="00335BAE">
      <w:pPr>
        <w:pStyle w:val="Paragraphedeliste"/>
        <w:numPr>
          <w:ilvl w:val="1"/>
          <w:numId w:val="132"/>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On aura </w:t>
      </w:r>
      <w:r w:rsidRPr="004F5E46">
        <w:rPr>
          <w:rFonts w:ascii="Andes" w:hAnsi="Andes" w:cs="Arial"/>
          <w:sz w:val="22"/>
          <w:szCs w:val="22"/>
        </w:rPr>
        <w:t>recours à l’é</w:t>
      </w:r>
      <w:r w:rsidRPr="004F5E46">
        <w:rPr>
          <w:rFonts w:ascii="Andes" w:hAnsi="Andes" w:cs="Calibri"/>
          <w:sz w:val="22"/>
          <w:szCs w:val="22"/>
        </w:rPr>
        <w:t>valuation par le</w:t>
      </w:r>
      <w:r w:rsidRPr="004F5E46">
        <w:rPr>
          <w:rFonts w:ascii="Andes" w:hAnsi="Andes" w:cs="Arial"/>
          <w:sz w:val="22"/>
          <w:szCs w:val="22"/>
        </w:rPr>
        <w:t xml:space="preserve"> coût </w:t>
      </w:r>
      <w:r>
        <w:rPr>
          <w:rFonts w:ascii="Andes" w:hAnsi="Andes" w:cs="Arial"/>
          <w:sz w:val="22"/>
          <w:szCs w:val="22"/>
        </w:rPr>
        <w:t>sur la durée</w:t>
      </w:r>
      <w:r w:rsidRPr="00D124D9">
        <w:rPr>
          <w:rFonts w:ascii="Andes" w:hAnsi="Andes" w:cs="Arial"/>
          <w:sz w:val="22"/>
          <w:szCs w:val="22"/>
        </w:rPr>
        <w:t xml:space="preserve"> de vie chaque fois que ce sera possible, plus particulièrement lorsque les coûts d’utilisation et/ou de maintenance pendant la durée de vie calculée des fournitures ou des ouvrages sont jugés importants par rapport au coût initial et peuvent varier en fonction des </w:t>
      </w:r>
      <w:r>
        <w:rPr>
          <w:rFonts w:ascii="Andes" w:hAnsi="Andes" w:cs="Arial"/>
          <w:sz w:val="22"/>
          <w:szCs w:val="22"/>
        </w:rPr>
        <w:t>O</w:t>
      </w:r>
      <w:r w:rsidRPr="00D124D9">
        <w:rPr>
          <w:rFonts w:ascii="Andes" w:hAnsi="Andes" w:cs="Arial"/>
          <w:sz w:val="22"/>
          <w:szCs w:val="22"/>
        </w:rPr>
        <w:t>ffres</w:t>
      </w:r>
      <w:r>
        <w:rPr>
          <w:rFonts w:ascii="Andes" w:hAnsi="Andes" w:cs="Arial"/>
          <w:sz w:val="22"/>
          <w:szCs w:val="22"/>
        </w:rPr>
        <w:t>/P</w:t>
      </w:r>
      <w:r w:rsidRPr="00D124D9">
        <w:rPr>
          <w:rFonts w:ascii="Andes" w:hAnsi="Andes" w:cs="Arial"/>
          <w:sz w:val="22"/>
          <w:szCs w:val="22"/>
        </w:rPr>
        <w:t xml:space="preserve">ropositions. </w:t>
      </w:r>
      <w:r>
        <w:rPr>
          <w:rFonts w:ascii="Andes" w:hAnsi="Andes" w:cs="Arial"/>
          <w:sz w:val="22"/>
          <w:szCs w:val="22"/>
        </w:rPr>
        <w:t>Le coût sur la durée de vie</w:t>
      </w:r>
      <w:r w:rsidRPr="00D124D9">
        <w:rPr>
          <w:rFonts w:ascii="Andes" w:hAnsi="Andes" w:cs="Arial"/>
          <w:sz w:val="22"/>
          <w:szCs w:val="22"/>
        </w:rPr>
        <w:t xml:space="preserve"> est évalué sur la base du coût actualisé net.  </w:t>
      </w:r>
    </w:p>
    <w:p w14:paraId="4B3DF14F" w14:textId="1BAD8B24" w:rsidR="00335BAE" w:rsidRPr="00D124D9" w:rsidRDefault="00335BAE" w:rsidP="00335BAE">
      <w:pPr>
        <w:pStyle w:val="Paragraphedeliste"/>
        <w:numPr>
          <w:ilvl w:val="1"/>
          <w:numId w:val="132"/>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Dans le cas </w:t>
      </w:r>
      <w:r>
        <w:rPr>
          <w:rFonts w:ascii="Andes" w:hAnsi="Andes" w:cs="Arial"/>
          <w:sz w:val="22"/>
          <w:szCs w:val="22"/>
        </w:rPr>
        <w:t>d’une évaluation fondée</w:t>
      </w:r>
      <w:r w:rsidRPr="00D124D9">
        <w:rPr>
          <w:rFonts w:ascii="Andes" w:hAnsi="Andes" w:cs="Arial"/>
          <w:sz w:val="22"/>
          <w:szCs w:val="22"/>
        </w:rPr>
        <w:t xml:space="preserve"> sur le coût </w:t>
      </w:r>
      <w:r>
        <w:rPr>
          <w:rFonts w:ascii="Andes" w:hAnsi="Andes" w:cs="Arial"/>
          <w:sz w:val="22"/>
          <w:szCs w:val="22"/>
        </w:rPr>
        <w:t>sur la durée de vie, l’E</w:t>
      </w:r>
      <w:r w:rsidRPr="00D124D9">
        <w:rPr>
          <w:rFonts w:ascii="Andes" w:hAnsi="Andes" w:cs="Arial"/>
          <w:sz w:val="22"/>
          <w:szCs w:val="22"/>
        </w:rPr>
        <w:t>mprunteur précise les informations suivantes dans le dossier d’</w:t>
      </w:r>
      <w:r w:rsidR="00C51DF5">
        <w:rPr>
          <w:rFonts w:ascii="Andes" w:hAnsi="Andes" w:cs="Arial"/>
          <w:sz w:val="22"/>
          <w:szCs w:val="22"/>
        </w:rPr>
        <w:t>Appel d’Offres/ à Propositions</w:t>
      </w:r>
      <w:r w:rsidRPr="00D124D9">
        <w:rPr>
          <w:rFonts w:ascii="Calibri" w:hAnsi="Calibri" w:cs="Arial"/>
          <w:sz w:val="22"/>
          <w:szCs w:val="22"/>
        </w:rPr>
        <w:t> </w:t>
      </w:r>
      <w:r w:rsidRPr="00D124D9">
        <w:rPr>
          <w:rFonts w:ascii="Andes" w:hAnsi="Andes" w:cs="Arial"/>
          <w:sz w:val="22"/>
          <w:szCs w:val="22"/>
        </w:rPr>
        <w:t>:</w:t>
      </w:r>
    </w:p>
    <w:p w14:paraId="225F434F" w14:textId="77777777" w:rsidR="00335BAE" w:rsidRPr="00D124D9" w:rsidRDefault="00335BAE" w:rsidP="00335BAE">
      <w:pPr>
        <w:pStyle w:val="Paragraphedeliste"/>
        <w:numPr>
          <w:ilvl w:val="0"/>
          <w:numId w:val="221"/>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le nombre d’années retenues pour le calcul du coût </w:t>
      </w:r>
      <w:r>
        <w:rPr>
          <w:rFonts w:ascii="Andes" w:eastAsiaTheme="minorHAnsi" w:hAnsi="Andes" w:cs="Arial"/>
          <w:color w:val="000000"/>
          <w:sz w:val="22"/>
          <w:szCs w:val="22"/>
        </w:rPr>
        <w:t>sur la durée</w:t>
      </w:r>
      <w:r w:rsidRPr="00D124D9">
        <w:rPr>
          <w:rFonts w:ascii="Andes" w:eastAsiaTheme="minorHAnsi" w:hAnsi="Andes" w:cs="Arial"/>
          <w:color w:val="000000"/>
          <w:sz w:val="22"/>
          <w:szCs w:val="22"/>
        </w:rPr>
        <w:t xml:space="preserve"> de vie</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3BA5FED9" w14:textId="77777777" w:rsidR="00335BAE" w:rsidRPr="00D124D9" w:rsidRDefault="00335BAE" w:rsidP="00335BAE">
      <w:pPr>
        <w:pStyle w:val="Paragraphedeliste"/>
        <w:numPr>
          <w:ilvl w:val="0"/>
          <w:numId w:val="221"/>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le taux de rabais (exprimé en pourcentage) qui doit être utilisé pour calculer le coût actualisé net des coûts futurs pendant la durée de vie indiquée conformément au point 3.8 a</w:t>
      </w:r>
      <w:r>
        <w:rPr>
          <w:rFonts w:ascii="Andes" w:eastAsiaTheme="minorHAnsi" w:hAnsi="Andes" w:cs="Arial"/>
          <w:color w:val="000000"/>
          <w:sz w:val="22"/>
          <w:szCs w:val="22"/>
        </w:rPr>
        <w:t>)</w:t>
      </w:r>
      <w:r w:rsidRPr="00D124D9">
        <w:rPr>
          <w:rFonts w:ascii="Andes" w:eastAsiaTheme="minorHAnsi" w:hAnsi="Andes" w:cs="Arial"/>
          <w:color w:val="000000"/>
          <w:sz w:val="22"/>
          <w:szCs w:val="22"/>
        </w:rPr>
        <w:t xml:space="preserve"> ci-dessus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et</w:t>
      </w:r>
    </w:p>
    <w:p w14:paraId="6A2E99CE" w14:textId="77777777" w:rsidR="00335BAE" w:rsidRPr="00D124D9" w:rsidRDefault="00335BAE" w:rsidP="00335BAE">
      <w:pPr>
        <w:pStyle w:val="Paragraphedeliste"/>
        <w:numPr>
          <w:ilvl w:val="0"/>
          <w:numId w:val="221"/>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les facteurs et la méthodologie qui doivent être utilisés pour le calcul des coûts d’exploitation, de maintenance et la valeur résiduelle, y compris les informations qui doivent être fournies dans l’</w:t>
      </w:r>
      <w:r>
        <w:rPr>
          <w:rFonts w:ascii="Andes" w:eastAsiaTheme="minorHAnsi" w:hAnsi="Andes" w:cs="Arial"/>
          <w:color w:val="000000"/>
          <w:sz w:val="22"/>
          <w:szCs w:val="22"/>
        </w:rPr>
        <w:t>O</w:t>
      </w:r>
      <w:r w:rsidRPr="00D124D9">
        <w:rPr>
          <w:rFonts w:ascii="Andes" w:eastAsiaTheme="minorHAnsi" w:hAnsi="Andes" w:cs="Arial"/>
          <w:color w:val="000000"/>
          <w:sz w:val="22"/>
          <w:szCs w:val="22"/>
        </w:rPr>
        <w:t>ffre</w:t>
      </w:r>
      <w:r>
        <w:rPr>
          <w:rFonts w:ascii="Andes" w:eastAsiaTheme="minorHAnsi" w:hAnsi="Andes" w:cs="Arial"/>
          <w:color w:val="000000"/>
          <w:sz w:val="22"/>
          <w:szCs w:val="22"/>
        </w:rPr>
        <w:t>/</w:t>
      </w:r>
      <w:r w:rsidRPr="00D124D9">
        <w:rPr>
          <w:rFonts w:ascii="Andes" w:eastAsiaTheme="minorHAnsi" w:hAnsi="Andes" w:cs="Arial"/>
          <w:color w:val="000000"/>
          <w:sz w:val="22"/>
          <w:szCs w:val="22"/>
        </w:rPr>
        <w:t>la proposition.</w:t>
      </w:r>
    </w:p>
    <w:p w14:paraId="18CF5EE9" w14:textId="4F3DCF07" w:rsidR="00335BAE" w:rsidRPr="00D124D9" w:rsidRDefault="00335BAE" w:rsidP="00335BAE">
      <w:pPr>
        <w:pStyle w:val="Paragraphedeliste"/>
        <w:spacing w:before="240"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Méthod</w:t>
      </w:r>
      <w:r>
        <w:rPr>
          <w:rFonts w:ascii="Andes" w:hAnsi="Andes" w:cs="Arial"/>
          <w:b/>
          <w:color w:val="000000" w:themeColor="text1"/>
          <w:sz w:val="28"/>
          <w:szCs w:val="28"/>
        </w:rPr>
        <w:t>e combinée (critères n</w:t>
      </w:r>
      <w:r w:rsidRPr="00D124D9">
        <w:rPr>
          <w:rFonts w:ascii="Andes" w:hAnsi="Andes" w:cs="Arial"/>
          <w:b/>
          <w:color w:val="000000" w:themeColor="text1"/>
          <w:sz w:val="28"/>
          <w:szCs w:val="28"/>
        </w:rPr>
        <w:t xml:space="preserve">otés et coût </w:t>
      </w:r>
      <w:r>
        <w:rPr>
          <w:rFonts w:ascii="Andes" w:hAnsi="Andes" w:cs="Arial"/>
          <w:b/>
          <w:color w:val="000000" w:themeColor="text1"/>
          <w:sz w:val="28"/>
          <w:szCs w:val="28"/>
        </w:rPr>
        <w:t>sur la durée d</w:t>
      </w:r>
      <w:r w:rsidRPr="00D124D9">
        <w:rPr>
          <w:rFonts w:ascii="Andes" w:hAnsi="Andes" w:cs="Arial"/>
          <w:b/>
          <w:color w:val="000000" w:themeColor="text1"/>
          <w:sz w:val="28"/>
          <w:szCs w:val="28"/>
        </w:rPr>
        <w:t xml:space="preserve">e vie) </w:t>
      </w:r>
    </w:p>
    <w:p w14:paraId="6678D9C6" w14:textId="418015FF" w:rsidR="00335BAE" w:rsidRPr="00D124D9" w:rsidRDefault="00335BAE" w:rsidP="00335BAE">
      <w:pPr>
        <w:pStyle w:val="Paragraphedeliste"/>
        <w:numPr>
          <w:ilvl w:val="1"/>
          <w:numId w:val="132"/>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Les </w:t>
      </w:r>
      <w:r>
        <w:rPr>
          <w:rFonts w:ascii="Andes" w:hAnsi="Andes" w:cs="Arial"/>
          <w:sz w:val="22"/>
          <w:szCs w:val="22"/>
        </w:rPr>
        <w:t>Offres/P</w:t>
      </w:r>
      <w:r w:rsidRPr="00D124D9">
        <w:rPr>
          <w:rFonts w:ascii="Andes" w:hAnsi="Andes" w:cs="Arial"/>
          <w:sz w:val="22"/>
          <w:szCs w:val="22"/>
        </w:rPr>
        <w:t>ropositions se voient attribuer des notes financières qui sont inversement proportionnelles à leurs prix. L</w:t>
      </w:r>
      <w:r w:rsidR="008C21BB">
        <w:rPr>
          <w:rFonts w:ascii="Andes" w:hAnsi="Andes" w:cs="Arial"/>
          <w:sz w:val="22"/>
          <w:szCs w:val="22"/>
        </w:rPr>
        <w:t xml:space="preserve">a </w:t>
      </w:r>
      <w:r w:rsidRPr="00D124D9">
        <w:rPr>
          <w:rFonts w:ascii="Andes" w:hAnsi="Andes" w:cs="Arial"/>
          <w:sz w:val="22"/>
          <w:szCs w:val="22"/>
        </w:rPr>
        <w:t>pondération</w:t>
      </w:r>
      <w:r>
        <w:rPr>
          <w:rFonts w:ascii="Andes" w:hAnsi="Andes" w:cs="Arial"/>
          <w:sz w:val="22"/>
          <w:szCs w:val="22"/>
        </w:rPr>
        <w:t xml:space="preserve"> </w:t>
      </w:r>
      <w:r w:rsidR="00457A1B">
        <w:rPr>
          <w:rFonts w:ascii="Andes" w:hAnsi="Andes" w:cs="Arial"/>
          <w:sz w:val="22"/>
          <w:szCs w:val="22"/>
        </w:rPr>
        <w:t xml:space="preserve">à </w:t>
      </w:r>
      <w:r>
        <w:rPr>
          <w:rFonts w:ascii="Andes" w:hAnsi="Andes" w:cs="Arial"/>
          <w:sz w:val="22"/>
          <w:szCs w:val="22"/>
        </w:rPr>
        <w:t>utilis</w:t>
      </w:r>
      <w:r w:rsidR="00457A1B">
        <w:rPr>
          <w:rFonts w:ascii="Andes" w:hAnsi="Andes" w:cs="Arial"/>
          <w:sz w:val="22"/>
          <w:szCs w:val="22"/>
        </w:rPr>
        <w:t>er</w:t>
      </w:r>
      <w:r>
        <w:rPr>
          <w:rFonts w:ascii="Andes" w:hAnsi="Andes" w:cs="Arial"/>
          <w:sz w:val="22"/>
          <w:szCs w:val="22"/>
        </w:rPr>
        <w:t xml:space="preserve"> pour </w:t>
      </w:r>
      <w:r w:rsidR="00457A1B">
        <w:rPr>
          <w:rFonts w:ascii="Andes" w:hAnsi="Andes" w:cs="Arial"/>
          <w:sz w:val="22"/>
          <w:szCs w:val="22"/>
        </w:rPr>
        <w:t>l</w:t>
      </w:r>
      <w:r w:rsidRPr="00D124D9">
        <w:rPr>
          <w:rFonts w:ascii="Andes" w:hAnsi="Andes" w:cs="Arial"/>
          <w:sz w:val="22"/>
          <w:szCs w:val="22"/>
        </w:rPr>
        <w:t>es critè</w:t>
      </w:r>
      <w:r>
        <w:rPr>
          <w:rFonts w:ascii="Andes" w:hAnsi="Andes" w:cs="Arial"/>
          <w:sz w:val="22"/>
          <w:szCs w:val="22"/>
        </w:rPr>
        <w:t>res n</w:t>
      </w:r>
      <w:r w:rsidRPr="00D124D9">
        <w:rPr>
          <w:rFonts w:ascii="Andes" w:hAnsi="Andes" w:cs="Arial"/>
          <w:sz w:val="22"/>
          <w:szCs w:val="22"/>
        </w:rPr>
        <w:t xml:space="preserve">otés et la note financière </w:t>
      </w:r>
      <w:r>
        <w:rPr>
          <w:rFonts w:ascii="Andes" w:hAnsi="Andes" w:cs="Arial"/>
          <w:sz w:val="22"/>
          <w:szCs w:val="22"/>
        </w:rPr>
        <w:lastRenderedPageBreak/>
        <w:t>afin d’</w:t>
      </w:r>
      <w:r w:rsidRPr="00D124D9">
        <w:rPr>
          <w:rFonts w:ascii="Andes" w:hAnsi="Andes" w:cs="Arial"/>
          <w:sz w:val="22"/>
          <w:szCs w:val="22"/>
        </w:rPr>
        <w:t>obtenir l’</w:t>
      </w:r>
      <w:r>
        <w:rPr>
          <w:rFonts w:ascii="Andes" w:hAnsi="Andes" w:cs="Arial"/>
          <w:sz w:val="22"/>
          <w:szCs w:val="22"/>
        </w:rPr>
        <w:t>O</w:t>
      </w:r>
      <w:r w:rsidRPr="00D124D9">
        <w:rPr>
          <w:rFonts w:ascii="Andes" w:hAnsi="Andes" w:cs="Arial"/>
          <w:sz w:val="22"/>
          <w:szCs w:val="22"/>
        </w:rPr>
        <w:t>ffre</w:t>
      </w:r>
      <w:r>
        <w:rPr>
          <w:rFonts w:ascii="Andes" w:hAnsi="Andes" w:cs="Arial"/>
          <w:sz w:val="22"/>
          <w:szCs w:val="22"/>
        </w:rPr>
        <w:t>/</w:t>
      </w:r>
      <w:r w:rsidRPr="00D124D9">
        <w:rPr>
          <w:rFonts w:ascii="Andes" w:hAnsi="Andes" w:cs="Arial"/>
          <w:sz w:val="22"/>
          <w:szCs w:val="22"/>
        </w:rPr>
        <w:t xml:space="preserve">la </w:t>
      </w:r>
      <w:r>
        <w:rPr>
          <w:rFonts w:ascii="Andes" w:hAnsi="Andes" w:cs="Arial"/>
          <w:sz w:val="22"/>
          <w:szCs w:val="22"/>
        </w:rPr>
        <w:t>Proposition la Plus A</w:t>
      </w:r>
      <w:r w:rsidRPr="00D124D9">
        <w:rPr>
          <w:rFonts w:ascii="Andes" w:hAnsi="Andes" w:cs="Arial"/>
          <w:sz w:val="22"/>
          <w:szCs w:val="22"/>
        </w:rPr>
        <w:t xml:space="preserve">vantageuse </w:t>
      </w:r>
      <w:r w:rsidR="0079316E">
        <w:rPr>
          <w:rFonts w:ascii="Andes" w:hAnsi="Andes" w:cs="Arial"/>
          <w:sz w:val="22"/>
          <w:szCs w:val="22"/>
        </w:rPr>
        <w:t xml:space="preserve">doit être </w:t>
      </w:r>
      <w:r w:rsidRPr="00D124D9">
        <w:rPr>
          <w:rFonts w:ascii="Andes" w:hAnsi="Andes" w:cs="Arial"/>
          <w:sz w:val="22"/>
          <w:szCs w:val="22"/>
        </w:rPr>
        <w:t>indiqué</w:t>
      </w:r>
      <w:r w:rsidR="0079316E">
        <w:rPr>
          <w:rFonts w:ascii="Andes" w:hAnsi="Andes" w:cs="Arial"/>
          <w:sz w:val="22"/>
          <w:szCs w:val="22"/>
        </w:rPr>
        <w:t>e</w:t>
      </w:r>
      <w:r w:rsidRPr="00D124D9">
        <w:rPr>
          <w:rFonts w:ascii="Andes" w:hAnsi="Andes" w:cs="Arial"/>
          <w:sz w:val="22"/>
          <w:szCs w:val="22"/>
        </w:rPr>
        <w:t xml:space="preserve"> dans le dossier d’</w:t>
      </w:r>
      <w:r w:rsidR="00C51DF5">
        <w:rPr>
          <w:rFonts w:ascii="Andes" w:hAnsi="Andes" w:cs="Arial"/>
          <w:sz w:val="22"/>
          <w:szCs w:val="22"/>
        </w:rPr>
        <w:t>Appel d’Offres/ à Propositions</w:t>
      </w:r>
      <w:r w:rsidR="0044282A">
        <w:rPr>
          <w:rFonts w:ascii="Andes" w:hAnsi="Andes" w:cs="Arial"/>
          <w:sz w:val="22"/>
          <w:szCs w:val="22"/>
        </w:rPr>
        <w:t>, en conformité avec le Paragraphe 5.51 et la présente Annexe</w:t>
      </w:r>
      <w:r w:rsidRPr="00D124D9">
        <w:rPr>
          <w:rFonts w:ascii="Andes" w:hAnsi="Andes" w:cs="Arial"/>
          <w:sz w:val="22"/>
          <w:szCs w:val="22"/>
        </w:rPr>
        <w:t xml:space="preserve">. </w:t>
      </w:r>
    </w:p>
    <w:p w14:paraId="4547658F" w14:textId="77777777" w:rsidR="00335BAE" w:rsidRPr="00D124D9" w:rsidRDefault="00335BAE" w:rsidP="00335BAE">
      <w:pPr>
        <w:pStyle w:val="Paragraphedeliste"/>
        <w:numPr>
          <w:ilvl w:val="0"/>
          <w:numId w:val="132"/>
        </w:numPr>
        <w:spacing w:before="240" w:line="240" w:lineRule="auto"/>
        <w:ind w:left="634" w:hanging="634"/>
        <w:contextualSpacing w:val="0"/>
        <w:rPr>
          <w:rFonts w:ascii="Andes" w:eastAsiaTheme="majorEastAsia" w:hAnsi="Andes"/>
          <w:b/>
          <w:color w:val="C45911"/>
          <w:sz w:val="32"/>
          <w:szCs w:val="32"/>
        </w:rPr>
      </w:pPr>
      <w:bookmarkStart w:id="3572" w:name="_Toc453170999"/>
      <w:r w:rsidRPr="00D124D9">
        <w:rPr>
          <w:rFonts w:ascii="Andes" w:eastAsiaTheme="majorEastAsia" w:hAnsi="Andes"/>
          <w:b/>
          <w:color w:val="C45911"/>
          <w:sz w:val="32"/>
          <w:szCs w:val="32"/>
        </w:rPr>
        <w:t>Services</w:t>
      </w:r>
      <w:bookmarkEnd w:id="3572"/>
      <w:r>
        <w:rPr>
          <w:rFonts w:ascii="Andes" w:eastAsiaTheme="majorEastAsia" w:hAnsi="Andes"/>
          <w:b/>
          <w:color w:val="C45911"/>
          <w:sz w:val="32"/>
          <w:szCs w:val="32"/>
        </w:rPr>
        <w:t xml:space="preserve"> de C</w:t>
      </w:r>
      <w:r w:rsidRPr="00D124D9">
        <w:rPr>
          <w:rFonts w:ascii="Andes" w:eastAsiaTheme="majorEastAsia" w:hAnsi="Andes"/>
          <w:b/>
          <w:color w:val="C45911"/>
          <w:sz w:val="32"/>
          <w:szCs w:val="32"/>
        </w:rPr>
        <w:t>onsultants</w:t>
      </w:r>
    </w:p>
    <w:p w14:paraId="5F0FF69D" w14:textId="77777777" w:rsidR="00335BAE" w:rsidRPr="00D124D9" w:rsidRDefault="00335BAE" w:rsidP="00335BAE">
      <w:pPr>
        <w:pStyle w:val="Paragraphedeliste"/>
        <w:spacing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Évaluation technique</w:t>
      </w:r>
    </w:p>
    <w:p w14:paraId="0274D2CF" w14:textId="77777777" w:rsidR="00335BAE" w:rsidRPr="00D124D9" w:rsidRDefault="00335BAE" w:rsidP="00335BAE">
      <w:pPr>
        <w:pStyle w:val="Paragraphedeliste"/>
        <w:numPr>
          <w:ilvl w:val="1"/>
          <w:numId w:val="132"/>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Les propositions techniques </w:t>
      </w:r>
      <w:r>
        <w:rPr>
          <w:rFonts w:ascii="Andes" w:hAnsi="Andes" w:cs="Arial"/>
          <w:sz w:val="22"/>
          <w:szCs w:val="22"/>
        </w:rPr>
        <w:t xml:space="preserve">pour la prestation </w:t>
      </w:r>
      <w:r w:rsidRPr="00D124D9">
        <w:rPr>
          <w:rFonts w:ascii="Andes" w:hAnsi="Andes" w:cs="Arial"/>
          <w:sz w:val="22"/>
          <w:szCs w:val="22"/>
        </w:rPr>
        <w:t xml:space="preserve">des </w:t>
      </w:r>
      <w:r>
        <w:rPr>
          <w:rFonts w:ascii="Andes" w:hAnsi="Andes" w:cs="Arial"/>
          <w:sz w:val="22"/>
          <w:szCs w:val="22"/>
        </w:rPr>
        <w:t>Services de C</w:t>
      </w:r>
      <w:r w:rsidRPr="00D124D9">
        <w:rPr>
          <w:rFonts w:ascii="Andes" w:hAnsi="Andes" w:cs="Arial"/>
          <w:sz w:val="22"/>
          <w:szCs w:val="22"/>
        </w:rPr>
        <w:t>ons</w:t>
      </w:r>
      <w:r>
        <w:rPr>
          <w:rFonts w:ascii="Andes" w:hAnsi="Andes" w:cs="Arial"/>
          <w:sz w:val="22"/>
          <w:szCs w:val="22"/>
        </w:rPr>
        <w:t>ultants</w:t>
      </w:r>
      <w:r w:rsidRPr="00D124D9">
        <w:rPr>
          <w:rFonts w:ascii="Andes" w:hAnsi="Andes" w:cs="Arial"/>
          <w:sz w:val="22"/>
          <w:szCs w:val="22"/>
        </w:rPr>
        <w:t xml:space="preserve"> sont évaluées au moyen d’un système de notation fondé sur les critères suivants</w:t>
      </w:r>
      <w:r w:rsidRPr="00D124D9">
        <w:rPr>
          <w:rFonts w:ascii="Calibri" w:hAnsi="Calibri" w:cs="Arial"/>
          <w:sz w:val="22"/>
          <w:szCs w:val="22"/>
        </w:rPr>
        <w:t> </w:t>
      </w:r>
      <w:r w:rsidRPr="00D124D9">
        <w:rPr>
          <w:rFonts w:ascii="Andes" w:hAnsi="Andes" w:cs="Arial"/>
          <w:sz w:val="22"/>
          <w:szCs w:val="22"/>
        </w:rPr>
        <w:t>:</w:t>
      </w:r>
    </w:p>
    <w:p w14:paraId="56C806A5" w14:textId="55AB8623" w:rsidR="00335BAE" w:rsidRPr="00D124D9" w:rsidRDefault="00D56701" w:rsidP="00335BAE">
      <w:pPr>
        <w:pStyle w:val="Paragraphedeliste"/>
        <w:numPr>
          <w:ilvl w:val="0"/>
          <w:numId w:val="222"/>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 xml:space="preserve"> adéquation</w:t>
      </w:r>
      <w:r w:rsidRPr="00D124D9">
        <w:rPr>
          <w:rFonts w:ascii="Andes" w:eastAsiaTheme="minorHAnsi" w:hAnsi="Andes" w:cs="Arial"/>
          <w:color w:val="000000"/>
          <w:sz w:val="22"/>
          <w:szCs w:val="22"/>
        </w:rPr>
        <w:t xml:space="preserve"> </w:t>
      </w:r>
      <w:r w:rsidR="00335BAE" w:rsidRPr="00D124D9">
        <w:rPr>
          <w:rFonts w:ascii="Andes" w:eastAsiaTheme="minorHAnsi" w:hAnsi="Andes" w:cs="Arial"/>
          <w:color w:val="000000"/>
          <w:sz w:val="22"/>
          <w:szCs w:val="22"/>
        </w:rPr>
        <w:t>de la méthodologie et du plan de travail</w:t>
      </w:r>
      <w:r w:rsidR="00335BAE" w:rsidRPr="00D124D9">
        <w:rPr>
          <w:rFonts w:ascii="Calibri" w:eastAsiaTheme="minorHAnsi" w:hAnsi="Calibri" w:cs="Arial"/>
          <w:color w:val="000000"/>
          <w:sz w:val="22"/>
          <w:szCs w:val="22"/>
        </w:rPr>
        <w:t> </w:t>
      </w:r>
      <w:r w:rsidR="00335BAE" w:rsidRPr="00D124D9">
        <w:rPr>
          <w:rFonts w:ascii="Andes" w:eastAsiaTheme="minorHAnsi" w:hAnsi="Andes" w:cs="Arial"/>
          <w:color w:val="000000"/>
          <w:sz w:val="22"/>
          <w:szCs w:val="22"/>
        </w:rPr>
        <w:t>;</w:t>
      </w:r>
    </w:p>
    <w:p w14:paraId="52B3D1AB" w14:textId="77777777" w:rsidR="00335BAE" w:rsidRPr="00D124D9" w:rsidRDefault="00335BAE" w:rsidP="00335BAE">
      <w:pPr>
        <w:pStyle w:val="Paragraphedeliste"/>
        <w:numPr>
          <w:ilvl w:val="0"/>
          <w:numId w:val="222"/>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expérience et qualifications </w:t>
      </w:r>
      <w:r>
        <w:rPr>
          <w:rFonts w:ascii="Andes" w:eastAsiaTheme="minorHAnsi" w:hAnsi="Andes" w:cs="Arial"/>
          <w:color w:val="000000"/>
          <w:sz w:val="22"/>
          <w:szCs w:val="22"/>
        </w:rPr>
        <w:t xml:space="preserve">pertinentes </w:t>
      </w:r>
      <w:r w:rsidRPr="00D124D9">
        <w:rPr>
          <w:rFonts w:ascii="Andes" w:eastAsiaTheme="minorHAnsi" w:hAnsi="Andes" w:cs="Arial"/>
          <w:color w:val="000000"/>
          <w:sz w:val="22"/>
          <w:szCs w:val="22"/>
        </w:rPr>
        <w:t>du personnel clé</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et</w:t>
      </w:r>
    </w:p>
    <w:p w14:paraId="577F62EA" w14:textId="53D1BCBC" w:rsidR="00335BAE" w:rsidRPr="00D124D9" w:rsidRDefault="00335BAE" w:rsidP="00335BAE">
      <w:pPr>
        <w:pStyle w:val="Paragraphedeliste"/>
        <w:numPr>
          <w:ilvl w:val="0"/>
          <w:numId w:val="222"/>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expérience </w:t>
      </w:r>
      <w:r w:rsidR="00D56701">
        <w:rPr>
          <w:rFonts w:ascii="Andes" w:eastAsiaTheme="minorHAnsi" w:hAnsi="Andes" w:cs="Arial"/>
          <w:color w:val="000000"/>
          <w:sz w:val="22"/>
          <w:szCs w:val="22"/>
        </w:rPr>
        <w:t xml:space="preserve"> pertinentes</w:t>
      </w:r>
      <w:r w:rsidRPr="00D124D9">
        <w:rPr>
          <w:rFonts w:ascii="Andes" w:eastAsiaTheme="minorHAnsi" w:hAnsi="Andes" w:cs="Arial"/>
          <w:color w:val="000000"/>
          <w:sz w:val="22"/>
          <w:szCs w:val="22"/>
        </w:rPr>
        <w:t>de l’entreprise.</w:t>
      </w:r>
    </w:p>
    <w:p w14:paraId="4D028406" w14:textId="77777777" w:rsidR="00335BAE" w:rsidRPr="00D124D9" w:rsidRDefault="00335BAE" w:rsidP="00335BAE">
      <w:pPr>
        <w:pStyle w:val="Paragraphedeliste"/>
        <w:numPr>
          <w:ilvl w:val="1"/>
          <w:numId w:val="132"/>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De surcroît, le transfert des connaissances et la présence de </w:t>
      </w:r>
      <w:r>
        <w:rPr>
          <w:rFonts w:ascii="Andes" w:hAnsi="Andes" w:cs="Arial"/>
          <w:sz w:val="22"/>
          <w:szCs w:val="22"/>
        </w:rPr>
        <w:t>ressortissants du pays de l’Emprunteur</w:t>
      </w:r>
      <w:r w:rsidRPr="00D124D9">
        <w:rPr>
          <w:rFonts w:ascii="Andes" w:hAnsi="Andes" w:cs="Arial"/>
          <w:sz w:val="22"/>
          <w:szCs w:val="22"/>
        </w:rPr>
        <w:t xml:space="preserve"> parmi le personnel clé peuvent constituer des critères, en fonction de la nature et des besoins d</w:t>
      </w:r>
      <w:r>
        <w:rPr>
          <w:rFonts w:ascii="Andes" w:hAnsi="Andes" w:cs="Arial"/>
          <w:sz w:val="22"/>
          <w:szCs w:val="22"/>
        </w:rPr>
        <w:t>e la mission</w:t>
      </w:r>
      <w:r w:rsidRPr="00D124D9">
        <w:rPr>
          <w:rFonts w:ascii="Andes" w:hAnsi="Andes" w:cs="Arial"/>
          <w:sz w:val="22"/>
          <w:szCs w:val="22"/>
        </w:rPr>
        <w:t xml:space="preserve">.  </w:t>
      </w:r>
    </w:p>
    <w:p w14:paraId="748FABEC" w14:textId="484C45AE" w:rsidR="00335BAE" w:rsidRPr="00D124D9" w:rsidRDefault="00335BAE" w:rsidP="00335BAE">
      <w:pPr>
        <w:pStyle w:val="Paragraphedeliste"/>
        <w:numPr>
          <w:ilvl w:val="1"/>
          <w:numId w:val="132"/>
        </w:numPr>
        <w:spacing w:before="0" w:line="240" w:lineRule="auto"/>
        <w:ind w:left="630" w:hanging="630"/>
        <w:contextualSpacing w:val="0"/>
        <w:rPr>
          <w:rFonts w:ascii="Andes" w:hAnsi="Andes" w:cs="Arial"/>
          <w:sz w:val="22"/>
          <w:szCs w:val="22"/>
        </w:rPr>
      </w:pPr>
      <w:r>
        <w:rPr>
          <w:rFonts w:ascii="Andes" w:hAnsi="Andes" w:cs="Arial"/>
          <w:sz w:val="22"/>
          <w:szCs w:val="22"/>
        </w:rPr>
        <w:t xml:space="preserve">Les critères sont notés </w:t>
      </w:r>
      <w:r w:rsidRPr="00D124D9">
        <w:rPr>
          <w:rFonts w:ascii="Andes" w:hAnsi="Andes" w:cs="Arial"/>
          <w:sz w:val="22"/>
          <w:szCs w:val="22"/>
        </w:rPr>
        <w:t xml:space="preserve">selon </w:t>
      </w:r>
      <w:r>
        <w:rPr>
          <w:rFonts w:ascii="Andes" w:hAnsi="Andes" w:cs="Arial"/>
          <w:sz w:val="22"/>
          <w:szCs w:val="22"/>
        </w:rPr>
        <w:t>la grille</w:t>
      </w:r>
      <w:r w:rsidRPr="00D124D9">
        <w:rPr>
          <w:rFonts w:ascii="Andes" w:hAnsi="Andes" w:cs="Arial"/>
          <w:sz w:val="22"/>
          <w:szCs w:val="22"/>
        </w:rPr>
        <w:t xml:space="preserve"> indicative présentée au tableau 1.  </w:t>
      </w:r>
      <w:r>
        <w:rPr>
          <w:rFonts w:ascii="Andes" w:hAnsi="Andes" w:cs="Arial"/>
          <w:sz w:val="22"/>
          <w:szCs w:val="22"/>
        </w:rPr>
        <w:t>La grille</w:t>
      </w:r>
      <w:r w:rsidRPr="00D124D9">
        <w:rPr>
          <w:rFonts w:ascii="Andes" w:hAnsi="Andes" w:cs="Arial"/>
          <w:sz w:val="22"/>
          <w:szCs w:val="22"/>
        </w:rPr>
        <w:t xml:space="preserve"> peut être ajustée pour des raisons valables et après l’examen préalable de la Banque. Ainsi, </w:t>
      </w:r>
      <w:r>
        <w:rPr>
          <w:rFonts w:ascii="Andes" w:hAnsi="Andes" w:cs="Arial"/>
          <w:sz w:val="22"/>
          <w:szCs w:val="22"/>
        </w:rPr>
        <w:t>dans le cas où</w:t>
      </w:r>
      <w:r w:rsidRPr="00D124D9">
        <w:rPr>
          <w:rFonts w:ascii="Andes" w:hAnsi="Andes" w:cs="Arial"/>
          <w:sz w:val="22"/>
          <w:szCs w:val="22"/>
        </w:rPr>
        <w:t xml:space="preserve"> le transfert des connaissances est le principal objectif d’un marché, lui accorder un poids plus significatif en fera ressortir l’importance. Dans </w:t>
      </w:r>
      <w:r>
        <w:rPr>
          <w:rFonts w:ascii="Andes" w:hAnsi="Andes" w:cs="Arial"/>
          <w:sz w:val="22"/>
          <w:szCs w:val="22"/>
        </w:rPr>
        <w:t>la grille considérée</w:t>
      </w:r>
      <w:r w:rsidRPr="00D124D9">
        <w:rPr>
          <w:rFonts w:ascii="Andes" w:hAnsi="Andes" w:cs="Arial"/>
          <w:sz w:val="22"/>
          <w:szCs w:val="22"/>
        </w:rPr>
        <w:t xml:space="preserve">, </w:t>
      </w:r>
      <w:r>
        <w:rPr>
          <w:rFonts w:ascii="Andes" w:hAnsi="Andes" w:cs="Arial"/>
          <w:sz w:val="22"/>
          <w:szCs w:val="22"/>
        </w:rPr>
        <w:t>le nombre de points</w:t>
      </w:r>
      <w:r w:rsidRPr="00D124D9">
        <w:rPr>
          <w:rFonts w:ascii="Andes" w:hAnsi="Andes" w:cs="Arial"/>
          <w:sz w:val="22"/>
          <w:szCs w:val="22"/>
        </w:rPr>
        <w:t xml:space="preserve"> </w:t>
      </w:r>
      <w:r>
        <w:rPr>
          <w:rFonts w:ascii="Andes" w:hAnsi="Andes" w:cs="Arial"/>
          <w:sz w:val="22"/>
          <w:szCs w:val="22"/>
        </w:rPr>
        <w:t xml:space="preserve">accordé </w:t>
      </w:r>
      <w:r w:rsidRPr="00D124D9">
        <w:rPr>
          <w:rFonts w:ascii="Andes" w:hAnsi="Andes" w:cs="Arial"/>
          <w:sz w:val="22"/>
          <w:szCs w:val="22"/>
        </w:rPr>
        <w:t>à un critère dépendra de la nature et de la complexité d</w:t>
      </w:r>
      <w:r>
        <w:rPr>
          <w:rFonts w:ascii="Andes" w:hAnsi="Andes" w:cs="Arial"/>
          <w:sz w:val="22"/>
          <w:szCs w:val="22"/>
        </w:rPr>
        <w:t>e la mission</w:t>
      </w:r>
      <w:r w:rsidRPr="00D124D9">
        <w:rPr>
          <w:rFonts w:ascii="Andes" w:hAnsi="Andes" w:cs="Arial"/>
          <w:sz w:val="22"/>
          <w:szCs w:val="22"/>
        </w:rPr>
        <w:t xml:space="preserve">. Lorsque, par exemple, </w:t>
      </w:r>
      <w:r>
        <w:rPr>
          <w:rFonts w:ascii="Andes" w:hAnsi="Andes" w:cs="Arial"/>
          <w:sz w:val="22"/>
          <w:szCs w:val="22"/>
        </w:rPr>
        <w:t>des</w:t>
      </w:r>
      <w:r w:rsidRPr="00D124D9">
        <w:rPr>
          <w:rFonts w:ascii="Andes" w:hAnsi="Andes" w:cs="Arial"/>
          <w:sz w:val="22"/>
          <w:szCs w:val="22"/>
        </w:rPr>
        <w:t xml:space="preserve"> proposition</w:t>
      </w:r>
      <w:r>
        <w:rPr>
          <w:rFonts w:ascii="Andes" w:hAnsi="Andes" w:cs="Arial"/>
          <w:sz w:val="22"/>
          <w:szCs w:val="22"/>
        </w:rPr>
        <w:t>s</w:t>
      </w:r>
      <w:r w:rsidRPr="00D124D9">
        <w:rPr>
          <w:rFonts w:ascii="Andes" w:hAnsi="Andes" w:cs="Arial"/>
          <w:sz w:val="22"/>
          <w:szCs w:val="22"/>
        </w:rPr>
        <w:t xml:space="preserve"> innovante</w:t>
      </w:r>
      <w:r>
        <w:rPr>
          <w:rFonts w:ascii="Andes" w:hAnsi="Andes" w:cs="Arial"/>
          <w:sz w:val="22"/>
          <w:szCs w:val="22"/>
        </w:rPr>
        <w:t>s doivent permettre d</w:t>
      </w:r>
      <w:r w:rsidRPr="00D124D9">
        <w:rPr>
          <w:rFonts w:ascii="Andes" w:hAnsi="Andes" w:cs="Arial"/>
          <w:sz w:val="22"/>
          <w:szCs w:val="22"/>
        </w:rPr>
        <w:t>’optimis</w:t>
      </w:r>
      <w:r>
        <w:rPr>
          <w:rFonts w:ascii="Andes" w:hAnsi="Andes" w:cs="Arial"/>
          <w:sz w:val="22"/>
          <w:szCs w:val="22"/>
        </w:rPr>
        <w:t>er</w:t>
      </w:r>
      <w:r w:rsidRPr="00D124D9">
        <w:rPr>
          <w:rFonts w:ascii="Andes" w:hAnsi="Andes" w:cs="Arial"/>
          <w:sz w:val="22"/>
          <w:szCs w:val="22"/>
        </w:rPr>
        <w:t xml:space="preserve"> </w:t>
      </w:r>
      <w:r>
        <w:rPr>
          <w:rFonts w:ascii="Andes" w:hAnsi="Andes" w:cs="Arial"/>
          <w:sz w:val="22"/>
          <w:szCs w:val="22"/>
        </w:rPr>
        <w:t>l</w:t>
      </w:r>
      <w:r w:rsidRPr="00D124D9">
        <w:rPr>
          <w:rFonts w:ascii="Andes" w:hAnsi="Andes" w:cs="Arial"/>
          <w:sz w:val="22"/>
          <w:szCs w:val="22"/>
        </w:rPr>
        <w:t xml:space="preserve">es ressources, </w:t>
      </w:r>
      <w:r>
        <w:rPr>
          <w:rFonts w:ascii="Andes" w:hAnsi="Andes" w:cs="Arial"/>
          <w:sz w:val="22"/>
          <w:szCs w:val="22"/>
        </w:rPr>
        <w:t>le nombre de points attribué au</w:t>
      </w:r>
      <w:r w:rsidRPr="00D124D9">
        <w:rPr>
          <w:rFonts w:ascii="Andes" w:hAnsi="Andes" w:cs="Arial"/>
          <w:sz w:val="22"/>
          <w:szCs w:val="22"/>
        </w:rPr>
        <w:t xml:space="preserve"> critère </w:t>
      </w:r>
      <w:r w:rsidR="00FD70C6">
        <w:rPr>
          <w:rFonts w:ascii="Andes" w:hAnsi="Andes" w:cs="Arial"/>
          <w:sz w:val="22"/>
          <w:szCs w:val="22"/>
        </w:rPr>
        <w:t>«</w:t>
      </w:r>
      <w:r w:rsidR="00FD70C6">
        <w:rPr>
          <w:rFonts w:ascii="Calibri" w:hAnsi="Calibri" w:cs="Calibri"/>
          <w:sz w:val="22"/>
          <w:szCs w:val="22"/>
        </w:rPr>
        <w:t xml:space="preserve"> méthodologie</w:t>
      </w:r>
      <w:r>
        <w:rPr>
          <w:rFonts w:ascii="Calibri" w:hAnsi="Calibri" w:cs="Calibri"/>
          <w:sz w:val="22"/>
          <w:szCs w:val="22"/>
        </w:rPr>
        <w:t> </w:t>
      </w:r>
      <w:r>
        <w:rPr>
          <w:rFonts w:ascii="Andes" w:hAnsi="Andes" w:cs="Andes"/>
          <w:sz w:val="22"/>
          <w:szCs w:val="22"/>
        </w:rPr>
        <w:t>»</w:t>
      </w:r>
      <w:r w:rsidRPr="00D124D9">
        <w:rPr>
          <w:rFonts w:ascii="Andes" w:hAnsi="Andes" w:cs="Arial"/>
          <w:sz w:val="22"/>
          <w:szCs w:val="22"/>
        </w:rPr>
        <w:t xml:space="preserve"> </w:t>
      </w:r>
      <w:r>
        <w:rPr>
          <w:rFonts w:ascii="Andes" w:hAnsi="Andes" w:cs="Arial"/>
          <w:sz w:val="22"/>
          <w:szCs w:val="22"/>
        </w:rPr>
        <w:t>peut se situer vers le haut de la fourchette</w:t>
      </w:r>
      <w:r w:rsidRPr="00D124D9">
        <w:rPr>
          <w:rFonts w:ascii="Andes" w:hAnsi="Andes" w:cs="Arial"/>
          <w:sz w:val="22"/>
          <w:szCs w:val="22"/>
        </w:rPr>
        <w:t>.</w:t>
      </w:r>
    </w:p>
    <w:p w14:paraId="46C38375" w14:textId="77777777" w:rsidR="00335BAE" w:rsidRPr="00D124D9" w:rsidRDefault="00335BAE" w:rsidP="0056338A">
      <w:pPr>
        <w:pStyle w:val="Paragraphedeliste"/>
        <w:numPr>
          <w:ilvl w:val="1"/>
          <w:numId w:val="132"/>
        </w:numPr>
        <w:spacing w:before="0" w:after="240" w:line="240" w:lineRule="auto"/>
        <w:ind w:left="634" w:hanging="634"/>
        <w:contextualSpacing w:val="0"/>
        <w:rPr>
          <w:rFonts w:ascii="Andes" w:hAnsi="Andes" w:cs="Arial"/>
          <w:sz w:val="22"/>
          <w:szCs w:val="22"/>
        </w:rPr>
      </w:pPr>
      <w:r>
        <w:rPr>
          <w:rFonts w:ascii="Andes" w:hAnsi="Andes" w:cs="Arial"/>
          <w:sz w:val="22"/>
          <w:szCs w:val="22"/>
        </w:rPr>
        <w:t>En principe, l’E</w:t>
      </w:r>
      <w:r w:rsidRPr="00D124D9">
        <w:rPr>
          <w:rFonts w:ascii="Andes" w:hAnsi="Andes" w:cs="Arial"/>
          <w:sz w:val="22"/>
          <w:szCs w:val="22"/>
        </w:rPr>
        <w:t xml:space="preserve">mprunteur </w:t>
      </w:r>
      <w:r>
        <w:rPr>
          <w:rFonts w:ascii="Andes" w:hAnsi="Andes" w:cs="Arial"/>
          <w:sz w:val="22"/>
          <w:szCs w:val="22"/>
        </w:rPr>
        <w:t>sub</w:t>
      </w:r>
      <w:r w:rsidRPr="00D124D9">
        <w:rPr>
          <w:rFonts w:ascii="Andes" w:hAnsi="Andes" w:cs="Arial"/>
          <w:sz w:val="22"/>
          <w:szCs w:val="22"/>
        </w:rPr>
        <w:t>divise ces critères en sous-critères</w:t>
      </w:r>
      <w:r>
        <w:rPr>
          <w:rFonts w:ascii="Andes" w:hAnsi="Andes" w:cs="Arial"/>
          <w:sz w:val="22"/>
          <w:szCs w:val="22"/>
        </w:rPr>
        <w:t xml:space="preserve">. La note obtenue par chaque critère correspond au total des points attribués aux sous-critères qui le composent. </w:t>
      </w:r>
      <w:r w:rsidRPr="00D124D9">
        <w:rPr>
          <w:rFonts w:ascii="Andes" w:hAnsi="Andes" w:cs="Arial"/>
          <w:sz w:val="22"/>
          <w:szCs w:val="22"/>
        </w:rPr>
        <w:t xml:space="preserve">Le nombre de sous-critères doit être limité </w:t>
      </w:r>
      <w:r>
        <w:rPr>
          <w:rFonts w:ascii="Andes" w:hAnsi="Andes" w:cs="Arial"/>
          <w:sz w:val="22"/>
          <w:szCs w:val="22"/>
        </w:rPr>
        <w:t>à l’essentiel</w:t>
      </w:r>
      <w:r w:rsidRPr="00D124D9">
        <w:rPr>
          <w:rFonts w:ascii="Andes" w:hAnsi="Andes" w:cs="Arial"/>
          <w:sz w:val="22"/>
          <w:szCs w:val="22"/>
        </w:rPr>
        <w:t xml:space="preserve">.  </w:t>
      </w:r>
    </w:p>
    <w:p w14:paraId="1992918B" w14:textId="77777777" w:rsidR="00335BAE" w:rsidRPr="00D124D9" w:rsidRDefault="00335BAE" w:rsidP="00335BAE">
      <w:pPr>
        <w:spacing w:before="0" w:line="240" w:lineRule="auto"/>
        <w:ind w:left="630"/>
        <w:contextualSpacing w:val="0"/>
        <w:jc w:val="left"/>
        <w:rPr>
          <w:rFonts w:ascii="Andes" w:hAnsi="Andes" w:cs="Arial"/>
          <w:b/>
          <w:sz w:val="22"/>
          <w:szCs w:val="22"/>
        </w:rPr>
      </w:pPr>
      <w:r w:rsidRPr="00D124D9">
        <w:rPr>
          <w:rFonts w:ascii="Andes" w:hAnsi="Andes" w:cs="Arial"/>
          <w:b/>
          <w:sz w:val="22"/>
          <w:szCs w:val="22"/>
        </w:rPr>
        <w:t xml:space="preserve">Tableau 1.  </w:t>
      </w:r>
      <w:r>
        <w:rPr>
          <w:rFonts w:ascii="Andes" w:hAnsi="Andes" w:cs="Arial"/>
          <w:b/>
          <w:sz w:val="22"/>
          <w:szCs w:val="22"/>
        </w:rPr>
        <w:t>Grille de notation de la qualité technique des P</w:t>
      </w:r>
      <w:r w:rsidRPr="00D124D9">
        <w:rPr>
          <w:rFonts w:ascii="Andes" w:hAnsi="Andes" w:cs="Arial"/>
          <w:b/>
          <w:sz w:val="22"/>
          <w:szCs w:val="22"/>
        </w:rPr>
        <w:t>ropositions (</w:t>
      </w:r>
      <w:r>
        <w:rPr>
          <w:rFonts w:ascii="Andes" w:hAnsi="Andes" w:cs="Arial"/>
          <w:b/>
          <w:sz w:val="22"/>
          <w:szCs w:val="22"/>
        </w:rPr>
        <w:t>S</w:t>
      </w:r>
      <w:r w:rsidRPr="00D124D9">
        <w:rPr>
          <w:rFonts w:ascii="Andes" w:hAnsi="Andes" w:cs="Arial"/>
          <w:b/>
          <w:sz w:val="22"/>
          <w:szCs w:val="22"/>
        </w:rPr>
        <w:t>ervices</w:t>
      </w:r>
      <w:r>
        <w:rPr>
          <w:rFonts w:ascii="Andes" w:hAnsi="Andes" w:cs="Arial"/>
          <w:b/>
          <w:sz w:val="22"/>
          <w:szCs w:val="22"/>
        </w:rPr>
        <w:t xml:space="preserve"> de C</w:t>
      </w:r>
      <w:r w:rsidRPr="00D124D9">
        <w:rPr>
          <w:rFonts w:ascii="Andes" w:hAnsi="Andes" w:cs="Arial"/>
          <w:b/>
          <w:sz w:val="22"/>
          <w:szCs w:val="22"/>
        </w:rPr>
        <w:t>ons</w:t>
      </w:r>
      <w:r>
        <w:rPr>
          <w:rFonts w:ascii="Andes" w:hAnsi="Andes" w:cs="Arial"/>
          <w:b/>
          <w:sz w:val="22"/>
          <w:szCs w:val="22"/>
        </w:rPr>
        <w:t>ultants</w:t>
      </w:r>
      <w:r w:rsidRPr="00D124D9">
        <w:rPr>
          <w:rFonts w:ascii="Andes" w:hAnsi="Andes" w:cs="Arial"/>
          <w:b/>
          <w:sz w:val="22"/>
          <w:szCs w:val="22"/>
        </w:rPr>
        <w:t>)</w:t>
      </w:r>
    </w:p>
    <w:tbl>
      <w:tblPr>
        <w:tblStyle w:val="Grilledutableau"/>
        <w:tblW w:w="0" w:type="auto"/>
        <w:jc w:val="center"/>
        <w:tblLook w:val="04A0" w:firstRow="1" w:lastRow="0" w:firstColumn="1" w:lastColumn="0" w:noHBand="0" w:noVBand="1"/>
      </w:tblPr>
      <w:tblGrid>
        <w:gridCol w:w="6210"/>
        <w:gridCol w:w="2049"/>
      </w:tblGrid>
      <w:tr w:rsidR="00335BAE" w:rsidRPr="00644F56" w14:paraId="73394ACA" w14:textId="77777777" w:rsidTr="006D600B">
        <w:trPr>
          <w:cantSplit/>
          <w:jc w:val="center"/>
        </w:trPr>
        <w:tc>
          <w:tcPr>
            <w:tcW w:w="6210" w:type="dxa"/>
            <w:shd w:val="clear" w:color="auto" w:fill="002060"/>
          </w:tcPr>
          <w:p w14:paraId="26E641B6" w14:textId="0EDB9039" w:rsidR="00335BAE" w:rsidRPr="00D124D9" w:rsidRDefault="00335BAE" w:rsidP="00E35EEE">
            <w:pPr>
              <w:spacing w:before="80" w:after="80"/>
              <w:contextualSpacing w:val="0"/>
              <w:jc w:val="left"/>
              <w:rPr>
                <w:rFonts w:ascii="Andes" w:hAnsi="Andes" w:cs="Arial"/>
                <w:b/>
                <w:color w:val="FFFFFF" w:themeColor="background1"/>
                <w:sz w:val="22"/>
                <w:szCs w:val="22"/>
              </w:rPr>
            </w:pPr>
            <w:r>
              <w:rPr>
                <w:rFonts w:ascii="Andes" w:eastAsiaTheme="minorEastAsia" w:hAnsi="Andes" w:cs="Arial"/>
                <w:b/>
                <w:color w:val="FFFFFF" w:themeColor="background1"/>
                <w:sz w:val="22"/>
                <w:szCs w:val="22"/>
              </w:rPr>
              <w:t>Critères n</w:t>
            </w:r>
            <w:r w:rsidRPr="00D124D9">
              <w:rPr>
                <w:rFonts w:ascii="Andes" w:eastAsiaTheme="minorEastAsia" w:hAnsi="Andes" w:cs="Arial"/>
                <w:b/>
                <w:color w:val="FFFFFF" w:themeColor="background1"/>
                <w:sz w:val="22"/>
                <w:szCs w:val="22"/>
              </w:rPr>
              <w:t>otés</w:t>
            </w:r>
          </w:p>
        </w:tc>
        <w:tc>
          <w:tcPr>
            <w:tcW w:w="2049" w:type="dxa"/>
            <w:shd w:val="clear" w:color="auto" w:fill="002060"/>
          </w:tcPr>
          <w:p w14:paraId="6A73B024" w14:textId="77777777" w:rsidR="00335BAE" w:rsidRPr="00D124D9" w:rsidRDefault="00335BAE" w:rsidP="006D600B">
            <w:pPr>
              <w:spacing w:before="80" w:after="80"/>
              <w:contextualSpacing w:val="0"/>
              <w:jc w:val="center"/>
              <w:rPr>
                <w:rFonts w:ascii="Andes" w:hAnsi="Andes" w:cs="Arial"/>
                <w:b/>
                <w:color w:val="FFFFFF" w:themeColor="background1"/>
                <w:sz w:val="22"/>
                <w:szCs w:val="22"/>
              </w:rPr>
            </w:pPr>
            <w:r>
              <w:rPr>
                <w:rFonts w:ascii="Andes" w:eastAsiaTheme="minorEastAsia" w:hAnsi="Andes" w:cs="Arial"/>
                <w:b/>
                <w:color w:val="FFFFFF" w:themeColor="background1"/>
                <w:sz w:val="22"/>
                <w:szCs w:val="22"/>
              </w:rPr>
              <w:t>Fourchette</w:t>
            </w:r>
            <w:r w:rsidRPr="00D124D9">
              <w:rPr>
                <w:rFonts w:ascii="Andes" w:eastAsiaTheme="minorEastAsia" w:hAnsi="Andes" w:cs="Arial"/>
                <w:b/>
                <w:color w:val="FFFFFF" w:themeColor="background1"/>
                <w:sz w:val="22"/>
                <w:szCs w:val="22"/>
              </w:rPr>
              <w:t xml:space="preserve"> de points </w:t>
            </w:r>
          </w:p>
        </w:tc>
      </w:tr>
      <w:tr w:rsidR="00335BAE" w:rsidRPr="00D124D9" w14:paraId="3D8E0970" w14:textId="77777777" w:rsidTr="006D600B">
        <w:trPr>
          <w:cantSplit/>
          <w:jc w:val="center"/>
        </w:trPr>
        <w:tc>
          <w:tcPr>
            <w:tcW w:w="6210" w:type="dxa"/>
          </w:tcPr>
          <w:p w14:paraId="77F70EEE" w14:textId="77777777" w:rsidR="00335BAE" w:rsidRPr="00D124D9" w:rsidRDefault="00335BAE" w:rsidP="006D600B">
            <w:pPr>
              <w:spacing w:before="80" w:after="80"/>
              <w:contextualSpacing w:val="0"/>
              <w:jc w:val="left"/>
              <w:rPr>
                <w:rFonts w:ascii="Andes" w:hAnsi="Andes" w:cs="Arial"/>
                <w:sz w:val="22"/>
                <w:szCs w:val="22"/>
              </w:rPr>
            </w:pPr>
            <w:r w:rsidRPr="00D124D9">
              <w:rPr>
                <w:rFonts w:ascii="Andes" w:hAnsi="Andes" w:cs="Arial"/>
                <w:sz w:val="22"/>
                <w:szCs w:val="22"/>
              </w:rPr>
              <w:t>Méthodologie</w:t>
            </w:r>
          </w:p>
        </w:tc>
        <w:tc>
          <w:tcPr>
            <w:tcW w:w="2049" w:type="dxa"/>
            <w:vAlign w:val="center"/>
          </w:tcPr>
          <w:p w14:paraId="5C04C1DC" w14:textId="77777777" w:rsidR="00335BAE" w:rsidRPr="00D124D9" w:rsidRDefault="00335BAE" w:rsidP="006D600B">
            <w:pPr>
              <w:spacing w:before="80" w:after="80"/>
              <w:contextualSpacing w:val="0"/>
              <w:jc w:val="center"/>
              <w:rPr>
                <w:rFonts w:ascii="Andes" w:hAnsi="Andes" w:cs="Arial"/>
                <w:sz w:val="22"/>
                <w:szCs w:val="22"/>
              </w:rPr>
            </w:pPr>
            <w:r w:rsidRPr="00D124D9">
              <w:rPr>
                <w:rFonts w:ascii="Andes" w:hAnsi="Andes" w:cs="Arial"/>
                <w:sz w:val="22"/>
                <w:szCs w:val="22"/>
              </w:rPr>
              <w:t>20 – 50</w:t>
            </w:r>
            <w:r w:rsidRPr="00D124D9">
              <w:rPr>
                <w:rFonts w:ascii="Calibri" w:hAnsi="Calibri" w:cs="Arial"/>
                <w:sz w:val="22"/>
                <w:szCs w:val="22"/>
              </w:rPr>
              <w:t> </w:t>
            </w:r>
            <w:r w:rsidRPr="00D124D9">
              <w:rPr>
                <w:rFonts w:ascii="Andes" w:hAnsi="Andes" w:cs="Arial"/>
                <w:sz w:val="22"/>
                <w:szCs w:val="22"/>
              </w:rPr>
              <w:t>%</w:t>
            </w:r>
          </w:p>
        </w:tc>
      </w:tr>
      <w:tr w:rsidR="00335BAE" w:rsidRPr="00D124D9" w14:paraId="7153C597" w14:textId="77777777" w:rsidTr="006D600B">
        <w:trPr>
          <w:cantSplit/>
          <w:jc w:val="center"/>
        </w:trPr>
        <w:tc>
          <w:tcPr>
            <w:tcW w:w="6210" w:type="dxa"/>
          </w:tcPr>
          <w:p w14:paraId="0D0CD27A" w14:textId="77777777" w:rsidR="00335BAE" w:rsidRPr="00D124D9" w:rsidRDefault="00335BAE" w:rsidP="006D600B">
            <w:pPr>
              <w:spacing w:before="80" w:after="80"/>
              <w:contextualSpacing w:val="0"/>
              <w:jc w:val="left"/>
              <w:rPr>
                <w:rFonts w:ascii="Andes" w:eastAsiaTheme="minorEastAsia" w:hAnsi="Andes" w:cs="Arial"/>
                <w:sz w:val="22"/>
                <w:szCs w:val="22"/>
              </w:rPr>
            </w:pPr>
            <w:r>
              <w:rPr>
                <w:rFonts w:ascii="Andes" w:eastAsiaTheme="minorEastAsia" w:hAnsi="Andes" w:cs="Arial"/>
                <w:sz w:val="22"/>
                <w:szCs w:val="22"/>
              </w:rPr>
              <w:t xml:space="preserve">Expérience </w:t>
            </w:r>
            <w:r w:rsidRPr="00D124D9">
              <w:rPr>
                <w:rFonts w:ascii="Andes" w:eastAsiaTheme="minorEastAsia" w:hAnsi="Andes" w:cs="Arial"/>
                <w:sz w:val="22"/>
                <w:szCs w:val="22"/>
              </w:rPr>
              <w:t xml:space="preserve">et qualifications </w:t>
            </w:r>
            <w:r>
              <w:rPr>
                <w:rFonts w:ascii="Andes" w:eastAsiaTheme="minorEastAsia" w:hAnsi="Andes" w:cs="Arial"/>
                <w:sz w:val="22"/>
                <w:szCs w:val="22"/>
              </w:rPr>
              <w:t xml:space="preserve">pertinentes </w:t>
            </w:r>
            <w:r w:rsidRPr="00D124D9">
              <w:rPr>
                <w:rFonts w:ascii="Andes" w:eastAsiaTheme="minorEastAsia" w:hAnsi="Andes" w:cs="Arial"/>
                <w:sz w:val="22"/>
                <w:szCs w:val="22"/>
              </w:rPr>
              <w:t>du personnel clé</w:t>
            </w:r>
          </w:p>
        </w:tc>
        <w:tc>
          <w:tcPr>
            <w:tcW w:w="2049" w:type="dxa"/>
            <w:vAlign w:val="center"/>
          </w:tcPr>
          <w:p w14:paraId="3FF33C0E" w14:textId="77777777" w:rsidR="00335BAE" w:rsidRPr="00D124D9" w:rsidRDefault="00335BAE" w:rsidP="006D600B">
            <w:pPr>
              <w:spacing w:before="80" w:after="80"/>
              <w:contextualSpacing w:val="0"/>
              <w:jc w:val="center"/>
              <w:rPr>
                <w:rFonts w:ascii="Andes" w:hAnsi="Andes" w:cs="Arial"/>
                <w:sz w:val="22"/>
                <w:szCs w:val="22"/>
              </w:rPr>
            </w:pPr>
            <w:r w:rsidRPr="00D124D9">
              <w:rPr>
                <w:rFonts w:ascii="Andes" w:hAnsi="Andes" w:cs="Arial"/>
                <w:sz w:val="22"/>
                <w:szCs w:val="22"/>
              </w:rPr>
              <w:t>30 – 60</w:t>
            </w:r>
            <w:r w:rsidRPr="00D124D9">
              <w:rPr>
                <w:rFonts w:ascii="Calibri" w:hAnsi="Calibri" w:cs="Arial"/>
                <w:sz w:val="22"/>
                <w:szCs w:val="22"/>
              </w:rPr>
              <w:t> </w:t>
            </w:r>
            <w:r w:rsidRPr="00D124D9">
              <w:rPr>
                <w:rFonts w:ascii="Andes" w:hAnsi="Andes" w:cs="Arial"/>
                <w:sz w:val="22"/>
                <w:szCs w:val="22"/>
              </w:rPr>
              <w:t>%</w:t>
            </w:r>
          </w:p>
        </w:tc>
      </w:tr>
      <w:tr w:rsidR="00335BAE" w:rsidRPr="00D124D9" w14:paraId="18DAE026" w14:textId="77777777" w:rsidTr="006D600B">
        <w:trPr>
          <w:cantSplit/>
          <w:jc w:val="center"/>
        </w:trPr>
        <w:tc>
          <w:tcPr>
            <w:tcW w:w="6210" w:type="dxa"/>
          </w:tcPr>
          <w:p w14:paraId="35D03043" w14:textId="77777777" w:rsidR="00335BAE" w:rsidRPr="00D124D9" w:rsidRDefault="00335BAE" w:rsidP="006D600B">
            <w:pPr>
              <w:spacing w:before="80" w:after="80"/>
              <w:contextualSpacing w:val="0"/>
              <w:jc w:val="left"/>
              <w:rPr>
                <w:rFonts w:ascii="Andes" w:eastAsiaTheme="minorEastAsia" w:hAnsi="Andes" w:cs="Arial"/>
                <w:sz w:val="22"/>
                <w:szCs w:val="22"/>
              </w:rPr>
            </w:pPr>
            <w:r w:rsidRPr="00D124D9">
              <w:rPr>
                <w:rFonts w:ascii="Andes" w:eastAsiaTheme="minorEastAsia" w:hAnsi="Andes" w:cs="Arial"/>
                <w:sz w:val="22"/>
                <w:szCs w:val="22"/>
              </w:rPr>
              <w:t xml:space="preserve">Expérience voulue de l’entreprise </w:t>
            </w:r>
          </w:p>
        </w:tc>
        <w:tc>
          <w:tcPr>
            <w:tcW w:w="2049" w:type="dxa"/>
            <w:vAlign w:val="center"/>
          </w:tcPr>
          <w:p w14:paraId="0ED83E4E" w14:textId="77777777" w:rsidR="00335BAE" w:rsidRPr="00D124D9" w:rsidRDefault="00335BAE" w:rsidP="006D600B">
            <w:pPr>
              <w:spacing w:before="80" w:after="80"/>
              <w:contextualSpacing w:val="0"/>
              <w:jc w:val="center"/>
              <w:rPr>
                <w:rFonts w:ascii="Andes" w:hAnsi="Andes" w:cs="Arial"/>
                <w:sz w:val="22"/>
                <w:szCs w:val="22"/>
              </w:rPr>
            </w:pPr>
            <w:r w:rsidRPr="00D124D9">
              <w:rPr>
                <w:rFonts w:ascii="Andes" w:hAnsi="Andes" w:cs="Arial"/>
                <w:sz w:val="22"/>
                <w:szCs w:val="22"/>
              </w:rPr>
              <w:t>0 – 10</w:t>
            </w:r>
            <w:r w:rsidRPr="00D124D9">
              <w:rPr>
                <w:rFonts w:ascii="Calibri" w:hAnsi="Calibri" w:cs="Arial"/>
                <w:sz w:val="22"/>
                <w:szCs w:val="22"/>
              </w:rPr>
              <w:t> </w:t>
            </w:r>
            <w:r w:rsidRPr="00D124D9">
              <w:rPr>
                <w:rFonts w:ascii="Andes" w:hAnsi="Andes" w:cs="Arial"/>
                <w:sz w:val="22"/>
                <w:szCs w:val="22"/>
              </w:rPr>
              <w:t>%</w:t>
            </w:r>
          </w:p>
        </w:tc>
      </w:tr>
      <w:tr w:rsidR="00335BAE" w:rsidRPr="00D124D9" w14:paraId="2619E282" w14:textId="77777777" w:rsidTr="006D600B">
        <w:trPr>
          <w:cantSplit/>
          <w:jc w:val="center"/>
        </w:trPr>
        <w:tc>
          <w:tcPr>
            <w:tcW w:w="6210" w:type="dxa"/>
          </w:tcPr>
          <w:p w14:paraId="1FD5D2EB" w14:textId="77777777" w:rsidR="00335BAE" w:rsidRPr="00D124D9" w:rsidRDefault="00335BAE" w:rsidP="006D600B">
            <w:pPr>
              <w:spacing w:before="80" w:after="80"/>
              <w:contextualSpacing w:val="0"/>
              <w:jc w:val="left"/>
              <w:rPr>
                <w:rFonts w:ascii="Andes" w:eastAsiaTheme="minorEastAsia" w:hAnsi="Andes" w:cs="Arial"/>
                <w:sz w:val="22"/>
                <w:szCs w:val="22"/>
              </w:rPr>
            </w:pPr>
            <w:r w:rsidRPr="00D124D9">
              <w:rPr>
                <w:rFonts w:ascii="Andes" w:hAnsi="Andes" w:cs="Arial"/>
                <w:sz w:val="22"/>
                <w:szCs w:val="22"/>
              </w:rPr>
              <w:t>Transfert des connaissances</w:t>
            </w:r>
          </w:p>
        </w:tc>
        <w:tc>
          <w:tcPr>
            <w:tcW w:w="2049" w:type="dxa"/>
            <w:vAlign w:val="center"/>
          </w:tcPr>
          <w:p w14:paraId="6909554A" w14:textId="77777777" w:rsidR="00335BAE" w:rsidRPr="00D124D9" w:rsidRDefault="00335BAE" w:rsidP="006D600B">
            <w:pPr>
              <w:spacing w:before="80" w:after="80"/>
              <w:contextualSpacing w:val="0"/>
              <w:jc w:val="center"/>
              <w:rPr>
                <w:rFonts w:ascii="Andes" w:hAnsi="Andes" w:cs="Arial"/>
                <w:sz w:val="22"/>
                <w:szCs w:val="22"/>
              </w:rPr>
            </w:pPr>
            <w:r w:rsidRPr="00D124D9">
              <w:rPr>
                <w:rFonts w:ascii="Andes" w:hAnsi="Andes" w:cs="Arial"/>
                <w:sz w:val="22"/>
                <w:szCs w:val="22"/>
              </w:rPr>
              <w:t>0 – 10</w:t>
            </w:r>
            <w:r w:rsidRPr="00D124D9">
              <w:rPr>
                <w:rFonts w:ascii="Calibri" w:hAnsi="Calibri" w:cs="Arial"/>
                <w:sz w:val="22"/>
                <w:szCs w:val="22"/>
              </w:rPr>
              <w:t> </w:t>
            </w:r>
            <w:r w:rsidRPr="00D124D9">
              <w:rPr>
                <w:rFonts w:ascii="Andes" w:hAnsi="Andes" w:cs="Arial"/>
                <w:sz w:val="22"/>
                <w:szCs w:val="22"/>
              </w:rPr>
              <w:t>%</w:t>
            </w:r>
          </w:p>
        </w:tc>
      </w:tr>
      <w:tr w:rsidR="00335BAE" w:rsidRPr="00D124D9" w14:paraId="57266863" w14:textId="77777777" w:rsidTr="006D600B">
        <w:trPr>
          <w:cantSplit/>
          <w:jc w:val="center"/>
        </w:trPr>
        <w:tc>
          <w:tcPr>
            <w:tcW w:w="6210" w:type="dxa"/>
          </w:tcPr>
          <w:p w14:paraId="4A135AE9" w14:textId="77777777" w:rsidR="00335BAE" w:rsidRPr="00D124D9" w:rsidRDefault="00335BAE" w:rsidP="006D600B">
            <w:pPr>
              <w:spacing w:before="80" w:after="80"/>
              <w:contextualSpacing w:val="0"/>
              <w:jc w:val="left"/>
              <w:rPr>
                <w:rFonts w:ascii="Andes" w:eastAsiaTheme="minorEastAsia" w:hAnsi="Andes" w:cs="Arial"/>
                <w:sz w:val="22"/>
                <w:szCs w:val="22"/>
              </w:rPr>
            </w:pPr>
            <w:r>
              <w:rPr>
                <w:rFonts w:ascii="Andes" w:hAnsi="Andes" w:cs="Arial"/>
                <w:sz w:val="22"/>
                <w:szCs w:val="22"/>
              </w:rPr>
              <w:t xml:space="preserve">Ressortissants du pays de l’Emprunteur </w:t>
            </w:r>
            <w:r w:rsidRPr="00D124D9">
              <w:rPr>
                <w:rFonts w:ascii="Andes" w:hAnsi="Andes" w:cs="Arial"/>
                <w:sz w:val="22"/>
                <w:szCs w:val="22"/>
              </w:rPr>
              <w:t>parmi le personnel clé</w:t>
            </w:r>
          </w:p>
          <w:p w14:paraId="639373A2" w14:textId="77777777" w:rsidR="00335BAE" w:rsidRPr="00D124D9" w:rsidRDefault="00335BAE" w:rsidP="006D600B">
            <w:pPr>
              <w:spacing w:before="0" w:after="0"/>
              <w:jc w:val="left"/>
              <w:rPr>
                <w:rFonts w:ascii="Andes" w:hAnsi="Andes" w:cs="Arial"/>
                <w:sz w:val="22"/>
                <w:szCs w:val="22"/>
              </w:rPr>
            </w:pPr>
            <w:r w:rsidRPr="00D124D9">
              <w:rPr>
                <w:rFonts w:ascii="Andes" w:hAnsi="Andes" w:cs="Arial"/>
                <w:sz w:val="22"/>
                <w:szCs w:val="22"/>
              </w:rPr>
              <w:t>[tel que reflété par le nombre d’experts locaux parmi les principaux experts (qu’ils soient présentés par des entreprises étrangères ou locales) et calculé en ratio du temps des principaux experts locaux (en personne mois) sur le temps total des principaux expe</w:t>
            </w:r>
            <w:r>
              <w:rPr>
                <w:rFonts w:ascii="Andes" w:hAnsi="Andes" w:cs="Arial"/>
                <w:sz w:val="22"/>
                <w:szCs w:val="22"/>
              </w:rPr>
              <w:t>rts (en personne mois) dans la P</w:t>
            </w:r>
            <w:r w:rsidRPr="00D124D9">
              <w:rPr>
                <w:rFonts w:ascii="Andes" w:hAnsi="Andes" w:cs="Arial"/>
                <w:sz w:val="22"/>
                <w:szCs w:val="22"/>
              </w:rPr>
              <w:t>roposition.]</w:t>
            </w:r>
          </w:p>
        </w:tc>
        <w:tc>
          <w:tcPr>
            <w:tcW w:w="2049" w:type="dxa"/>
            <w:vAlign w:val="center"/>
          </w:tcPr>
          <w:p w14:paraId="2AC809A2" w14:textId="77777777" w:rsidR="00335BAE" w:rsidRPr="00D124D9" w:rsidRDefault="00335BAE" w:rsidP="006D600B">
            <w:pPr>
              <w:spacing w:before="80" w:after="80"/>
              <w:contextualSpacing w:val="0"/>
              <w:jc w:val="center"/>
              <w:rPr>
                <w:rFonts w:ascii="Andes" w:hAnsi="Andes" w:cs="Arial"/>
                <w:sz w:val="22"/>
                <w:szCs w:val="22"/>
              </w:rPr>
            </w:pPr>
            <w:r w:rsidRPr="00D124D9">
              <w:rPr>
                <w:rFonts w:ascii="Andes" w:hAnsi="Andes" w:cs="Arial"/>
                <w:sz w:val="22"/>
                <w:szCs w:val="22"/>
              </w:rPr>
              <w:t>0 – 10</w:t>
            </w:r>
            <w:r w:rsidRPr="00D124D9">
              <w:rPr>
                <w:rFonts w:ascii="Calibri" w:hAnsi="Calibri" w:cs="Arial"/>
                <w:sz w:val="22"/>
                <w:szCs w:val="22"/>
              </w:rPr>
              <w:t> </w:t>
            </w:r>
            <w:r w:rsidRPr="00D124D9">
              <w:rPr>
                <w:rFonts w:ascii="Andes" w:hAnsi="Andes" w:cs="Arial"/>
                <w:sz w:val="22"/>
                <w:szCs w:val="22"/>
              </w:rPr>
              <w:t>%</w:t>
            </w:r>
          </w:p>
        </w:tc>
      </w:tr>
    </w:tbl>
    <w:p w14:paraId="777F8450" w14:textId="77777777" w:rsidR="00335BAE" w:rsidRPr="00D124D9" w:rsidRDefault="00335BAE" w:rsidP="00335BAE">
      <w:pPr>
        <w:spacing w:before="0" w:after="0" w:line="240" w:lineRule="auto"/>
        <w:ind w:left="360"/>
        <w:jc w:val="left"/>
        <w:rPr>
          <w:rFonts w:ascii="Andes" w:hAnsi="Andes" w:cs="Arial"/>
          <w:b/>
        </w:rPr>
      </w:pPr>
    </w:p>
    <w:p w14:paraId="7203F5E8" w14:textId="77777777" w:rsidR="00335BAE" w:rsidRPr="00D124D9" w:rsidRDefault="00335BAE" w:rsidP="00335BAE">
      <w:pPr>
        <w:pStyle w:val="Paragraphedeliste"/>
        <w:numPr>
          <w:ilvl w:val="1"/>
          <w:numId w:val="132"/>
        </w:numPr>
        <w:spacing w:before="0" w:line="240" w:lineRule="auto"/>
        <w:ind w:left="630" w:hanging="630"/>
        <w:contextualSpacing w:val="0"/>
        <w:rPr>
          <w:rFonts w:ascii="Andes" w:hAnsi="Andes" w:cs="Arial"/>
          <w:sz w:val="22"/>
          <w:szCs w:val="22"/>
        </w:rPr>
      </w:pPr>
      <w:r w:rsidRPr="00D124D9">
        <w:rPr>
          <w:rFonts w:ascii="Andes" w:hAnsi="Andes" w:cs="Arial"/>
          <w:sz w:val="22"/>
          <w:szCs w:val="22"/>
        </w:rPr>
        <w:lastRenderedPageBreak/>
        <w:t>Le dossier d’appel à propositions précise la note technique globale</w:t>
      </w:r>
      <w:r>
        <w:rPr>
          <w:rFonts w:ascii="Andes" w:hAnsi="Andes" w:cs="Arial"/>
          <w:sz w:val="22"/>
          <w:szCs w:val="22"/>
        </w:rPr>
        <w:t xml:space="preserve"> minimum</w:t>
      </w:r>
      <w:r w:rsidRPr="00D124D9">
        <w:rPr>
          <w:rFonts w:ascii="Andes" w:hAnsi="Andes" w:cs="Arial"/>
          <w:sz w:val="22"/>
          <w:szCs w:val="22"/>
        </w:rPr>
        <w:t xml:space="preserve">, qui </w:t>
      </w:r>
      <w:r>
        <w:rPr>
          <w:rFonts w:ascii="Andes" w:hAnsi="Andes" w:cs="Arial"/>
          <w:sz w:val="22"/>
          <w:szCs w:val="22"/>
        </w:rPr>
        <w:t xml:space="preserve">doit </w:t>
      </w:r>
      <w:r w:rsidRPr="00D124D9">
        <w:rPr>
          <w:rFonts w:ascii="Andes" w:hAnsi="Andes" w:cs="Arial"/>
          <w:sz w:val="22"/>
          <w:szCs w:val="22"/>
        </w:rPr>
        <w:t>se situe</w:t>
      </w:r>
      <w:r>
        <w:rPr>
          <w:rFonts w:ascii="Andes" w:hAnsi="Andes" w:cs="Arial"/>
          <w:sz w:val="22"/>
          <w:szCs w:val="22"/>
        </w:rPr>
        <w:t>r</w:t>
      </w:r>
      <w:r w:rsidRPr="00D124D9">
        <w:rPr>
          <w:rFonts w:ascii="Andes" w:hAnsi="Andes" w:cs="Arial"/>
          <w:sz w:val="22"/>
          <w:szCs w:val="22"/>
        </w:rPr>
        <w:t xml:space="preserve"> </w:t>
      </w:r>
      <w:r>
        <w:rPr>
          <w:rFonts w:ascii="Andes" w:hAnsi="Andes" w:cs="Arial"/>
          <w:sz w:val="22"/>
          <w:szCs w:val="22"/>
        </w:rPr>
        <w:t xml:space="preserve">généralement </w:t>
      </w:r>
      <w:r w:rsidRPr="00D124D9">
        <w:rPr>
          <w:rFonts w:ascii="Andes" w:hAnsi="Andes" w:cs="Arial"/>
          <w:sz w:val="22"/>
          <w:szCs w:val="22"/>
        </w:rPr>
        <w:t>entre 70 et 85 % en fonction de la nature et de la complexité d</w:t>
      </w:r>
      <w:r>
        <w:rPr>
          <w:rFonts w:ascii="Andes" w:hAnsi="Andes" w:cs="Arial"/>
          <w:sz w:val="22"/>
          <w:szCs w:val="22"/>
        </w:rPr>
        <w:t>e la mission</w:t>
      </w:r>
      <w:r w:rsidRPr="00D124D9">
        <w:rPr>
          <w:rFonts w:ascii="Andes" w:hAnsi="Andes" w:cs="Arial"/>
          <w:sz w:val="22"/>
          <w:szCs w:val="22"/>
        </w:rPr>
        <w:t xml:space="preserve">.  </w:t>
      </w:r>
    </w:p>
    <w:p w14:paraId="1CFDC76F" w14:textId="77777777" w:rsidR="00335BAE" w:rsidRPr="00D124D9" w:rsidRDefault="00335BAE" w:rsidP="00335BAE">
      <w:pPr>
        <w:pStyle w:val="Paragraphedeliste"/>
        <w:spacing w:before="240"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Évaluation financière</w:t>
      </w:r>
    </w:p>
    <w:p w14:paraId="4ED8B46E" w14:textId="77777777" w:rsidR="00335BAE" w:rsidRPr="00D124D9" w:rsidRDefault="00335BAE" w:rsidP="00335BAE">
      <w:pPr>
        <w:pStyle w:val="Paragraphedeliste"/>
        <w:numPr>
          <w:ilvl w:val="1"/>
          <w:numId w:val="132"/>
        </w:numPr>
        <w:spacing w:before="0" w:line="240" w:lineRule="auto"/>
        <w:ind w:left="630" w:hanging="630"/>
        <w:contextualSpacing w:val="0"/>
        <w:rPr>
          <w:rFonts w:ascii="Andes" w:hAnsi="Andes" w:cs="Arial"/>
          <w:sz w:val="22"/>
          <w:szCs w:val="22"/>
        </w:rPr>
      </w:pPr>
      <w:r>
        <w:rPr>
          <w:rFonts w:ascii="Andes" w:hAnsi="Andes" w:cs="Arial"/>
          <w:sz w:val="22"/>
          <w:szCs w:val="22"/>
        </w:rPr>
        <w:t>Le prix total de l’O</w:t>
      </w:r>
      <w:r w:rsidRPr="00D124D9">
        <w:rPr>
          <w:rFonts w:ascii="Andes" w:hAnsi="Andes" w:cs="Arial"/>
          <w:sz w:val="22"/>
          <w:szCs w:val="22"/>
        </w:rPr>
        <w:t>ffre comprend la rémuné</w:t>
      </w:r>
      <w:r>
        <w:rPr>
          <w:rFonts w:ascii="Andes" w:hAnsi="Andes" w:cs="Arial"/>
          <w:sz w:val="22"/>
          <w:szCs w:val="22"/>
        </w:rPr>
        <w:t>ration du C</w:t>
      </w:r>
      <w:r w:rsidRPr="00D124D9">
        <w:rPr>
          <w:rFonts w:ascii="Andes" w:hAnsi="Andes" w:cs="Arial"/>
          <w:sz w:val="22"/>
          <w:szCs w:val="22"/>
        </w:rPr>
        <w:t>onsultant ainsi que toutes ses autres dépenses remboursables et diverses. Aux f</w:t>
      </w:r>
      <w:r>
        <w:rPr>
          <w:rFonts w:ascii="Andes" w:hAnsi="Andes" w:cs="Arial"/>
          <w:sz w:val="22"/>
          <w:szCs w:val="22"/>
        </w:rPr>
        <w:t>ins d’évaluation, le prix de l’O</w:t>
      </w:r>
      <w:r w:rsidRPr="00D124D9">
        <w:rPr>
          <w:rFonts w:ascii="Andes" w:hAnsi="Andes" w:cs="Arial"/>
          <w:sz w:val="22"/>
          <w:szCs w:val="22"/>
        </w:rPr>
        <w:t xml:space="preserve">ffre doit être net des impôts indirects locaux identifiables (taxes de vente, d’accise, sur la valeur ajoutée, et autres impôts et charges de même nature) </w:t>
      </w:r>
      <w:r>
        <w:rPr>
          <w:rFonts w:ascii="Andes" w:hAnsi="Andes" w:cs="Arial"/>
          <w:sz w:val="22"/>
          <w:szCs w:val="22"/>
        </w:rPr>
        <w:t>en vertu du contrat</w:t>
      </w:r>
      <w:r w:rsidRPr="00D124D9">
        <w:rPr>
          <w:rFonts w:ascii="Andes" w:hAnsi="Andes" w:cs="Arial"/>
          <w:sz w:val="22"/>
          <w:szCs w:val="22"/>
        </w:rPr>
        <w:t xml:space="preserve"> et des impôts sur </w:t>
      </w:r>
      <w:proofErr w:type="gramStart"/>
      <w:r w:rsidRPr="00D124D9">
        <w:rPr>
          <w:rFonts w:ascii="Andes" w:hAnsi="Andes" w:cs="Arial"/>
          <w:sz w:val="22"/>
          <w:szCs w:val="22"/>
        </w:rPr>
        <w:t>le revenu payables</w:t>
      </w:r>
      <w:proofErr w:type="gramEnd"/>
      <w:r w:rsidRPr="00D124D9">
        <w:rPr>
          <w:rFonts w:ascii="Andes" w:hAnsi="Andes" w:cs="Arial"/>
          <w:sz w:val="22"/>
          <w:szCs w:val="22"/>
        </w:rPr>
        <w:t xml:space="preserve"> au pays de l’Emprunteur sur la rémunération des services à lui rendus par les experts non-résidents et les autres employés du cabinet</w:t>
      </w:r>
      <w:r>
        <w:rPr>
          <w:rFonts w:ascii="Andes" w:hAnsi="Andes" w:cs="Arial"/>
          <w:sz w:val="22"/>
          <w:szCs w:val="22"/>
        </w:rPr>
        <w:t xml:space="preserve"> de consultants</w:t>
      </w:r>
      <w:r w:rsidRPr="00D124D9">
        <w:rPr>
          <w:rFonts w:ascii="Andes" w:hAnsi="Andes" w:cs="Arial"/>
          <w:sz w:val="22"/>
          <w:szCs w:val="22"/>
        </w:rPr>
        <w:t xml:space="preserve">. Exceptionnellement, dans le cas où l’Emprunteur se trouve dans l’incapacité d’identifier </w:t>
      </w:r>
      <w:r>
        <w:rPr>
          <w:rFonts w:ascii="Andes" w:hAnsi="Andes" w:cs="Arial"/>
          <w:sz w:val="22"/>
          <w:szCs w:val="22"/>
        </w:rPr>
        <w:t>complètement les</w:t>
      </w:r>
      <w:r w:rsidRPr="00D124D9">
        <w:rPr>
          <w:rFonts w:ascii="Andes" w:hAnsi="Andes" w:cs="Arial"/>
          <w:sz w:val="22"/>
          <w:szCs w:val="22"/>
        </w:rPr>
        <w:t xml:space="preserve"> impôts indirects </w:t>
      </w:r>
      <w:r>
        <w:rPr>
          <w:rFonts w:ascii="Andes" w:hAnsi="Andes" w:cs="Arial"/>
          <w:sz w:val="22"/>
          <w:szCs w:val="22"/>
        </w:rPr>
        <w:t xml:space="preserve">applicables lors de son </w:t>
      </w:r>
      <w:r w:rsidRPr="00D124D9">
        <w:rPr>
          <w:rFonts w:ascii="Andes" w:hAnsi="Andes" w:cs="Arial"/>
          <w:sz w:val="22"/>
          <w:szCs w:val="22"/>
        </w:rPr>
        <w:t xml:space="preserve">évaluation des offres financières, la Banque peut accepter, aux fins d’évaluation uniquement, que les prix englobent tous les impôts payables au pays de l’Emprunteur.   </w:t>
      </w:r>
    </w:p>
    <w:p w14:paraId="6A8EC842" w14:textId="77777777" w:rsidR="00335BAE" w:rsidRPr="00D124D9" w:rsidRDefault="00335BAE" w:rsidP="00335BAE">
      <w:pPr>
        <w:pStyle w:val="Paragraphedeliste"/>
        <w:numPr>
          <w:ilvl w:val="1"/>
          <w:numId w:val="132"/>
        </w:numPr>
        <w:spacing w:before="0" w:line="240" w:lineRule="auto"/>
        <w:ind w:left="630" w:hanging="630"/>
        <w:contextualSpacing w:val="0"/>
        <w:rPr>
          <w:rFonts w:ascii="Andes" w:hAnsi="Andes" w:cs="Arial"/>
          <w:sz w:val="22"/>
          <w:szCs w:val="22"/>
        </w:rPr>
      </w:pPr>
      <w:r w:rsidRPr="00D124D9">
        <w:rPr>
          <w:rFonts w:ascii="Andes" w:hAnsi="Andes" w:cs="Arial"/>
          <w:sz w:val="22"/>
          <w:szCs w:val="22"/>
        </w:rPr>
        <w:t>Dans le cas des marchés en heures contrôlées, toutes les erreurs mathématiques sont corrigées et les prix ajustés s’ils ne rendent pas compte de tou</w:t>
      </w:r>
      <w:r>
        <w:rPr>
          <w:rFonts w:ascii="Andes" w:hAnsi="Andes" w:cs="Arial"/>
          <w:sz w:val="22"/>
          <w:szCs w:val="22"/>
        </w:rPr>
        <w:t>s les éléments inclus dans les P</w:t>
      </w:r>
      <w:r w:rsidRPr="00D124D9">
        <w:rPr>
          <w:rFonts w:ascii="Andes" w:hAnsi="Andes" w:cs="Arial"/>
          <w:sz w:val="22"/>
          <w:szCs w:val="22"/>
        </w:rPr>
        <w:t xml:space="preserve">ropositions techniques. S’agissant des marchés à prix forfaitaire, il est considéré que le Consultant </w:t>
      </w:r>
      <w:r>
        <w:rPr>
          <w:rFonts w:ascii="Andes" w:hAnsi="Andes" w:cs="Arial"/>
          <w:sz w:val="22"/>
          <w:szCs w:val="22"/>
        </w:rPr>
        <w:t>a inclus tous les prix dans sa P</w:t>
      </w:r>
      <w:r w:rsidRPr="00D124D9">
        <w:rPr>
          <w:rFonts w:ascii="Andes" w:hAnsi="Andes" w:cs="Arial"/>
          <w:sz w:val="22"/>
          <w:szCs w:val="22"/>
        </w:rPr>
        <w:t>roposition financière, de sorte qu’aucune correction mathématique ni révision des prix n’est appliquée</w:t>
      </w:r>
      <w:r w:rsidRPr="00D124D9">
        <w:rPr>
          <w:rFonts w:ascii="Calibri" w:hAnsi="Calibri" w:cs="Arial"/>
          <w:sz w:val="22"/>
          <w:szCs w:val="22"/>
        </w:rPr>
        <w:t xml:space="preserve"> ; </w:t>
      </w:r>
      <w:r w:rsidRPr="00D124D9">
        <w:rPr>
          <w:rFonts w:ascii="Andes" w:hAnsi="Andes" w:cs="Arial"/>
          <w:sz w:val="22"/>
          <w:szCs w:val="22"/>
        </w:rPr>
        <w:t>le prix total, net de tout impôt conformément au paragraphe 4.6 de la pr</w:t>
      </w:r>
      <w:r>
        <w:rPr>
          <w:rFonts w:ascii="Andes" w:hAnsi="Andes" w:cs="Arial"/>
          <w:sz w:val="22"/>
          <w:szCs w:val="22"/>
        </w:rPr>
        <w:t>ésente annexe, inscrit dans la P</w:t>
      </w:r>
      <w:r w:rsidRPr="00D124D9">
        <w:rPr>
          <w:rFonts w:ascii="Andes" w:hAnsi="Andes" w:cs="Arial"/>
          <w:sz w:val="22"/>
          <w:szCs w:val="22"/>
        </w:rPr>
        <w:t>roposition financière est</w:t>
      </w:r>
      <w:r>
        <w:rPr>
          <w:rFonts w:ascii="Andes" w:hAnsi="Andes" w:cs="Arial"/>
          <w:sz w:val="22"/>
          <w:szCs w:val="22"/>
        </w:rPr>
        <w:t xml:space="preserve"> considéré comme le prix de l’O</w:t>
      </w:r>
      <w:r w:rsidRPr="00D124D9">
        <w:rPr>
          <w:rFonts w:ascii="Andes" w:hAnsi="Andes" w:cs="Arial"/>
          <w:sz w:val="22"/>
          <w:szCs w:val="22"/>
        </w:rPr>
        <w:t xml:space="preserve">ffre.  </w:t>
      </w:r>
    </w:p>
    <w:p w14:paraId="02A58630" w14:textId="77777777" w:rsidR="00335BAE" w:rsidRPr="00D124D9" w:rsidRDefault="00335BAE" w:rsidP="00335BAE">
      <w:pPr>
        <w:pStyle w:val="Paragraphedeliste"/>
        <w:numPr>
          <w:ilvl w:val="1"/>
          <w:numId w:val="132"/>
        </w:numPr>
        <w:spacing w:before="0" w:line="240" w:lineRule="auto"/>
        <w:ind w:left="630" w:hanging="630"/>
        <w:contextualSpacing w:val="0"/>
        <w:rPr>
          <w:rFonts w:ascii="Andes" w:hAnsi="Andes" w:cs="Arial"/>
          <w:sz w:val="22"/>
          <w:szCs w:val="22"/>
        </w:rPr>
      </w:pPr>
      <w:r>
        <w:rPr>
          <w:rFonts w:ascii="Andes" w:hAnsi="Andes" w:cs="Arial"/>
          <w:sz w:val="22"/>
          <w:szCs w:val="22"/>
        </w:rPr>
        <w:t>Dans le cas de la S</w:t>
      </w:r>
      <w:r w:rsidRPr="00D124D9">
        <w:rPr>
          <w:rFonts w:ascii="Andes" w:hAnsi="Andes" w:cs="Arial"/>
          <w:sz w:val="22"/>
          <w:szCs w:val="22"/>
        </w:rPr>
        <w:t xml:space="preserve">élection </w:t>
      </w:r>
      <w:r>
        <w:rPr>
          <w:rFonts w:ascii="Andes" w:hAnsi="Andes" w:cs="Arial"/>
          <w:sz w:val="22"/>
          <w:szCs w:val="22"/>
        </w:rPr>
        <w:t>de Consultants F</w:t>
      </w:r>
      <w:r w:rsidRPr="00D124D9">
        <w:rPr>
          <w:rFonts w:ascii="Andes" w:hAnsi="Andes" w:cs="Arial"/>
          <w:sz w:val="22"/>
          <w:szCs w:val="22"/>
        </w:rPr>
        <w:t xml:space="preserve">ondée sur la </w:t>
      </w:r>
      <w:r>
        <w:rPr>
          <w:rFonts w:ascii="Andes" w:hAnsi="Andes" w:cs="Arial"/>
          <w:sz w:val="22"/>
          <w:szCs w:val="22"/>
        </w:rPr>
        <w:t>Qualité T</w:t>
      </w:r>
      <w:r w:rsidRPr="00D124D9">
        <w:rPr>
          <w:rFonts w:ascii="Andes" w:hAnsi="Andes" w:cs="Arial"/>
          <w:sz w:val="22"/>
          <w:szCs w:val="22"/>
        </w:rPr>
        <w:t xml:space="preserve">echnique et le </w:t>
      </w:r>
      <w:r>
        <w:rPr>
          <w:rFonts w:ascii="Andes" w:hAnsi="Andes" w:cs="Arial"/>
          <w:sz w:val="22"/>
          <w:szCs w:val="22"/>
        </w:rPr>
        <w:t>C</w:t>
      </w:r>
      <w:r w:rsidRPr="00D124D9">
        <w:rPr>
          <w:rFonts w:ascii="Andes" w:hAnsi="Andes" w:cs="Arial"/>
          <w:sz w:val="22"/>
          <w:szCs w:val="22"/>
        </w:rPr>
        <w:t>oût (S</w:t>
      </w:r>
      <w:r>
        <w:rPr>
          <w:rFonts w:ascii="Andes" w:hAnsi="Andes" w:cs="Arial"/>
          <w:sz w:val="22"/>
          <w:szCs w:val="22"/>
        </w:rPr>
        <w:t>FQC</w:t>
      </w:r>
      <w:r w:rsidRPr="00D124D9">
        <w:rPr>
          <w:rFonts w:ascii="Andes" w:hAnsi="Andes" w:cs="Arial"/>
          <w:sz w:val="22"/>
          <w:szCs w:val="22"/>
        </w:rPr>
        <w:t xml:space="preserve">), </w:t>
      </w:r>
      <w:r>
        <w:rPr>
          <w:rFonts w:ascii="Andes" w:hAnsi="Andes" w:cs="Arial"/>
          <w:sz w:val="22"/>
          <w:szCs w:val="22"/>
        </w:rPr>
        <w:t>la P</w:t>
      </w:r>
      <w:r w:rsidRPr="00D124D9">
        <w:rPr>
          <w:rFonts w:ascii="Andes" w:hAnsi="Andes" w:cs="Arial"/>
          <w:sz w:val="22"/>
          <w:szCs w:val="22"/>
        </w:rPr>
        <w:t>roposition dont l’offre totale est la moins</w:t>
      </w:r>
      <w:r>
        <w:rPr>
          <w:rFonts w:ascii="Andes" w:hAnsi="Andes" w:cs="Arial"/>
          <w:sz w:val="22"/>
          <w:szCs w:val="22"/>
        </w:rPr>
        <w:t>-</w:t>
      </w:r>
      <w:proofErr w:type="spellStart"/>
      <w:r w:rsidRPr="00D124D9">
        <w:rPr>
          <w:rFonts w:ascii="Andes" w:hAnsi="Andes" w:cs="Arial"/>
          <w:sz w:val="22"/>
          <w:szCs w:val="22"/>
        </w:rPr>
        <w:t>disant</w:t>
      </w:r>
      <w:r>
        <w:rPr>
          <w:rFonts w:ascii="Andes" w:hAnsi="Andes" w:cs="Arial"/>
          <w:sz w:val="22"/>
          <w:szCs w:val="22"/>
        </w:rPr>
        <w:t>e</w:t>
      </w:r>
      <w:proofErr w:type="spellEnd"/>
      <w:r w:rsidRPr="00D124D9">
        <w:rPr>
          <w:rFonts w:ascii="Andes" w:hAnsi="Andes" w:cs="Arial"/>
          <w:sz w:val="22"/>
          <w:szCs w:val="22"/>
        </w:rPr>
        <w:t xml:space="preserve"> obtient une note financière de 100 % </w:t>
      </w:r>
      <w:r>
        <w:rPr>
          <w:rFonts w:ascii="Andes" w:hAnsi="Andes" w:cs="Arial"/>
          <w:sz w:val="22"/>
          <w:szCs w:val="22"/>
        </w:rPr>
        <w:t>(cent pour cent) et les autres P</w:t>
      </w:r>
      <w:r w:rsidRPr="00D124D9">
        <w:rPr>
          <w:rFonts w:ascii="Andes" w:hAnsi="Andes" w:cs="Arial"/>
          <w:sz w:val="22"/>
          <w:szCs w:val="22"/>
        </w:rPr>
        <w:t xml:space="preserve">ropositions reçoivent des notes financières inversement proportionnelles aux prix de leurs offres. La méthodologie </w:t>
      </w:r>
      <w:r>
        <w:rPr>
          <w:rFonts w:ascii="Andes" w:hAnsi="Andes" w:cs="Arial"/>
          <w:sz w:val="22"/>
          <w:szCs w:val="22"/>
        </w:rPr>
        <w:t>applicable</w:t>
      </w:r>
      <w:r w:rsidRPr="00D124D9">
        <w:rPr>
          <w:rFonts w:ascii="Andes" w:hAnsi="Andes" w:cs="Arial"/>
          <w:sz w:val="22"/>
          <w:szCs w:val="22"/>
        </w:rPr>
        <w:t xml:space="preserve"> est indiquée dans le dossier d’appels à propositions.</w:t>
      </w:r>
    </w:p>
    <w:p w14:paraId="23199CBB" w14:textId="77777777" w:rsidR="00335BAE" w:rsidRPr="00D124D9" w:rsidRDefault="00335BAE" w:rsidP="00335BAE">
      <w:pPr>
        <w:spacing w:before="0" w:after="200"/>
        <w:contextualSpacing w:val="0"/>
        <w:jc w:val="left"/>
        <w:rPr>
          <w:rFonts w:ascii="Andes" w:hAnsi="Andes" w:cs="Arial"/>
          <w:b/>
          <w:sz w:val="28"/>
          <w:szCs w:val="28"/>
        </w:rPr>
      </w:pPr>
      <w:r>
        <w:rPr>
          <w:rFonts w:ascii="Andes" w:hAnsi="Andes" w:cs="Arial"/>
          <w:b/>
          <w:sz w:val="28"/>
          <w:szCs w:val="28"/>
        </w:rPr>
        <w:t>Score combiné</w:t>
      </w:r>
      <w:r w:rsidRPr="00D124D9">
        <w:rPr>
          <w:rFonts w:ascii="Andes" w:hAnsi="Andes" w:cs="Arial"/>
          <w:b/>
          <w:sz w:val="28"/>
          <w:szCs w:val="28"/>
        </w:rPr>
        <w:t xml:space="preserve"> (qualité</w:t>
      </w:r>
      <w:r>
        <w:rPr>
          <w:rFonts w:ascii="Andes" w:hAnsi="Andes" w:cs="Arial"/>
          <w:b/>
          <w:sz w:val="28"/>
          <w:szCs w:val="28"/>
        </w:rPr>
        <w:t xml:space="preserve"> technique et </w:t>
      </w:r>
      <w:r w:rsidRPr="00D124D9">
        <w:rPr>
          <w:rFonts w:ascii="Andes" w:hAnsi="Andes" w:cs="Arial"/>
          <w:b/>
          <w:sz w:val="28"/>
          <w:szCs w:val="28"/>
        </w:rPr>
        <w:t>coût)</w:t>
      </w:r>
    </w:p>
    <w:p w14:paraId="289E7BBE" w14:textId="77777777" w:rsidR="00335BAE" w:rsidRPr="00D124D9" w:rsidRDefault="00335BAE" w:rsidP="00335BAE">
      <w:pPr>
        <w:pStyle w:val="Paragraphedeliste"/>
        <w:numPr>
          <w:ilvl w:val="1"/>
          <w:numId w:val="132"/>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Si la méthode retenue est la SFQC, les notes affectées respectivement à la qualité </w:t>
      </w:r>
      <w:r>
        <w:rPr>
          <w:rFonts w:ascii="Andes" w:hAnsi="Andes" w:cs="Arial"/>
          <w:sz w:val="22"/>
          <w:szCs w:val="22"/>
        </w:rPr>
        <w:t xml:space="preserve">technique </w:t>
      </w:r>
      <w:r w:rsidRPr="00D124D9">
        <w:rPr>
          <w:rFonts w:ascii="Andes" w:hAnsi="Andes" w:cs="Arial"/>
          <w:sz w:val="22"/>
          <w:szCs w:val="22"/>
        </w:rPr>
        <w:t>et au coût sont pondérées comme il convient e</w:t>
      </w:r>
      <w:r>
        <w:rPr>
          <w:rFonts w:ascii="Andes" w:hAnsi="Andes" w:cs="Arial"/>
          <w:sz w:val="22"/>
          <w:szCs w:val="22"/>
        </w:rPr>
        <w:t>t additionnées pour trouver la Proposition la Plus A</w:t>
      </w:r>
      <w:r w:rsidRPr="00D124D9">
        <w:rPr>
          <w:rFonts w:ascii="Andes" w:hAnsi="Andes" w:cs="Arial"/>
          <w:sz w:val="22"/>
          <w:szCs w:val="22"/>
        </w:rPr>
        <w:t xml:space="preserve">vantageuse.  </w:t>
      </w:r>
    </w:p>
    <w:p w14:paraId="62FDEF47" w14:textId="77777777" w:rsidR="00335BAE" w:rsidRPr="00D124D9" w:rsidRDefault="00335BAE" w:rsidP="00335BAE">
      <w:pPr>
        <w:pStyle w:val="Paragraphedeliste"/>
        <w:numPr>
          <w:ilvl w:val="1"/>
          <w:numId w:val="132"/>
        </w:numPr>
        <w:spacing w:before="0" w:line="240" w:lineRule="auto"/>
        <w:ind w:left="630" w:hanging="630"/>
        <w:contextualSpacing w:val="0"/>
        <w:rPr>
          <w:rFonts w:ascii="Andes" w:hAnsi="Andes" w:cs="Arial"/>
          <w:sz w:val="22"/>
          <w:szCs w:val="22"/>
        </w:rPr>
      </w:pPr>
      <w:r w:rsidRPr="00D124D9">
        <w:rPr>
          <w:rFonts w:ascii="Andes" w:hAnsi="Andes" w:cs="Arial"/>
          <w:sz w:val="22"/>
          <w:szCs w:val="22"/>
        </w:rPr>
        <w:t>L</w:t>
      </w:r>
      <w:r>
        <w:rPr>
          <w:rFonts w:ascii="Andes" w:hAnsi="Andes" w:cs="Arial"/>
          <w:sz w:val="22"/>
          <w:szCs w:val="22"/>
        </w:rPr>
        <w:t xml:space="preserve">a </w:t>
      </w:r>
      <w:r w:rsidRPr="00D124D9">
        <w:rPr>
          <w:rFonts w:ascii="Andes" w:hAnsi="Andes" w:cs="Arial"/>
          <w:sz w:val="22"/>
          <w:szCs w:val="22"/>
        </w:rPr>
        <w:t>pondération appliqué</w:t>
      </w:r>
      <w:r>
        <w:rPr>
          <w:rFonts w:ascii="Andes" w:hAnsi="Andes" w:cs="Arial"/>
          <w:sz w:val="22"/>
          <w:szCs w:val="22"/>
        </w:rPr>
        <w:t>e</w:t>
      </w:r>
      <w:r w:rsidRPr="00D124D9">
        <w:rPr>
          <w:rFonts w:ascii="Andes" w:hAnsi="Andes" w:cs="Arial"/>
          <w:sz w:val="22"/>
          <w:szCs w:val="22"/>
        </w:rPr>
        <w:t xml:space="preserve"> à chacun de ces deux éléments dépend de la nature et de la complexité d</w:t>
      </w:r>
      <w:r>
        <w:rPr>
          <w:rFonts w:ascii="Andes" w:hAnsi="Andes" w:cs="Arial"/>
          <w:sz w:val="22"/>
          <w:szCs w:val="22"/>
        </w:rPr>
        <w:t>e la mission assignée au Consultant</w:t>
      </w:r>
      <w:r w:rsidRPr="00D124D9">
        <w:rPr>
          <w:rFonts w:ascii="Andes" w:hAnsi="Andes" w:cs="Arial"/>
          <w:sz w:val="22"/>
          <w:szCs w:val="22"/>
        </w:rPr>
        <w:t xml:space="preserve">. En règle générale, </w:t>
      </w:r>
      <w:r>
        <w:rPr>
          <w:rFonts w:ascii="Andes" w:hAnsi="Andes" w:cs="Arial"/>
          <w:sz w:val="22"/>
          <w:szCs w:val="22"/>
        </w:rPr>
        <w:t>les fourchettes</w:t>
      </w:r>
      <w:r w:rsidRPr="00D124D9">
        <w:rPr>
          <w:rFonts w:ascii="Andes" w:hAnsi="Andes" w:cs="Arial"/>
          <w:sz w:val="22"/>
          <w:szCs w:val="22"/>
        </w:rPr>
        <w:t xml:space="preserve"> de pondération appliquée</w:t>
      </w:r>
      <w:r>
        <w:rPr>
          <w:rFonts w:ascii="Andes" w:hAnsi="Andes" w:cs="Arial"/>
          <w:sz w:val="22"/>
          <w:szCs w:val="22"/>
        </w:rPr>
        <w:t>s</w:t>
      </w:r>
      <w:r w:rsidRPr="00D124D9">
        <w:rPr>
          <w:rFonts w:ascii="Andes" w:hAnsi="Andes" w:cs="Arial"/>
          <w:sz w:val="22"/>
          <w:szCs w:val="22"/>
        </w:rPr>
        <w:t xml:space="preserve"> </w:t>
      </w:r>
      <w:r>
        <w:rPr>
          <w:rFonts w:ascii="Andes" w:hAnsi="Andes" w:cs="Arial"/>
          <w:sz w:val="22"/>
          <w:szCs w:val="22"/>
        </w:rPr>
        <w:t>sont</w:t>
      </w:r>
      <w:r w:rsidRPr="00D124D9">
        <w:rPr>
          <w:rFonts w:ascii="Andes" w:hAnsi="Andes" w:cs="Arial"/>
          <w:sz w:val="22"/>
          <w:szCs w:val="22"/>
        </w:rPr>
        <w:t xml:space="preserve"> celle</w:t>
      </w:r>
      <w:r>
        <w:rPr>
          <w:rFonts w:ascii="Andes" w:hAnsi="Andes" w:cs="Arial"/>
          <w:sz w:val="22"/>
          <w:szCs w:val="22"/>
        </w:rPr>
        <w:t>s</w:t>
      </w:r>
      <w:r w:rsidRPr="00D124D9">
        <w:rPr>
          <w:rFonts w:ascii="Andes" w:hAnsi="Andes" w:cs="Arial"/>
          <w:sz w:val="22"/>
          <w:szCs w:val="22"/>
        </w:rPr>
        <w:t xml:space="preserve"> décrite</w:t>
      </w:r>
      <w:r>
        <w:rPr>
          <w:rFonts w:ascii="Andes" w:hAnsi="Andes" w:cs="Arial"/>
          <w:sz w:val="22"/>
          <w:szCs w:val="22"/>
        </w:rPr>
        <w:t>s</w:t>
      </w:r>
      <w:r w:rsidRPr="00D124D9">
        <w:rPr>
          <w:rFonts w:ascii="Andes" w:hAnsi="Andes" w:cs="Arial"/>
          <w:sz w:val="22"/>
          <w:szCs w:val="22"/>
        </w:rPr>
        <w:t xml:space="preserve"> au tableau 2, à moins qu’après son examen préalable, la Banque juge raisonnable de procéder autrement.</w:t>
      </w:r>
    </w:p>
    <w:p w14:paraId="42D16D08" w14:textId="77777777" w:rsidR="00335BAE" w:rsidRPr="00D124D9" w:rsidRDefault="00335BAE" w:rsidP="0056338A">
      <w:pPr>
        <w:spacing w:before="240" w:after="240" w:line="240" w:lineRule="auto"/>
        <w:ind w:left="634"/>
        <w:contextualSpacing w:val="0"/>
        <w:jc w:val="left"/>
        <w:rPr>
          <w:rFonts w:ascii="Andes" w:hAnsi="Andes" w:cs="Arial"/>
          <w:b/>
          <w:sz w:val="22"/>
          <w:szCs w:val="22"/>
        </w:rPr>
      </w:pPr>
      <w:r w:rsidRPr="00D124D9">
        <w:rPr>
          <w:rFonts w:ascii="Andes" w:hAnsi="Andes" w:cs="Arial"/>
          <w:b/>
          <w:sz w:val="22"/>
          <w:szCs w:val="22"/>
        </w:rPr>
        <w:t>Tableau 2</w:t>
      </w:r>
      <w:r>
        <w:rPr>
          <w:rFonts w:ascii="Andes" w:hAnsi="Andes" w:cs="Arial"/>
          <w:b/>
          <w:sz w:val="22"/>
          <w:szCs w:val="22"/>
        </w:rPr>
        <w:t xml:space="preserve">. </w:t>
      </w:r>
      <w:r w:rsidRPr="00D124D9">
        <w:rPr>
          <w:rFonts w:ascii="Andes" w:hAnsi="Andes" w:cs="Arial"/>
          <w:b/>
          <w:sz w:val="22"/>
          <w:szCs w:val="22"/>
        </w:rPr>
        <w:t>Ratio</w:t>
      </w:r>
      <w:r>
        <w:rPr>
          <w:rFonts w:ascii="Andes" w:hAnsi="Andes" w:cs="Arial"/>
          <w:b/>
          <w:sz w:val="22"/>
          <w:szCs w:val="22"/>
        </w:rPr>
        <w:t>s du score</w:t>
      </w:r>
      <w:r w:rsidRPr="00D124D9">
        <w:rPr>
          <w:rFonts w:ascii="Andes" w:hAnsi="Andes" w:cs="Arial"/>
          <w:b/>
          <w:sz w:val="22"/>
          <w:szCs w:val="22"/>
        </w:rPr>
        <w:t xml:space="preserve"> combiné qualité</w:t>
      </w:r>
      <w:r>
        <w:rPr>
          <w:rFonts w:ascii="Andes" w:hAnsi="Andes" w:cs="Arial"/>
          <w:b/>
          <w:sz w:val="22"/>
          <w:szCs w:val="22"/>
        </w:rPr>
        <w:t>/</w:t>
      </w:r>
      <w:r w:rsidRPr="00D124D9">
        <w:rPr>
          <w:rFonts w:ascii="Andes" w:hAnsi="Andes" w:cs="Arial"/>
          <w:b/>
          <w:sz w:val="22"/>
          <w:szCs w:val="22"/>
        </w:rPr>
        <w:t>coût pour la SFQC (</w:t>
      </w:r>
      <w:r>
        <w:rPr>
          <w:rFonts w:ascii="Andes" w:hAnsi="Andes" w:cs="Arial"/>
          <w:b/>
          <w:sz w:val="22"/>
          <w:szCs w:val="22"/>
        </w:rPr>
        <w:t>S</w:t>
      </w:r>
      <w:r w:rsidRPr="00D124D9">
        <w:rPr>
          <w:rFonts w:ascii="Andes" w:hAnsi="Andes" w:cs="Arial"/>
          <w:b/>
          <w:sz w:val="22"/>
          <w:szCs w:val="22"/>
        </w:rPr>
        <w:t xml:space="preserve">ervices de </w:t>
      </w:r>
      <w:r>
        <w:rPr>
          <w:rFonts w:ascii="Andes" w:hAnsi="Andes" w:cs="Arial"/>
          <w:b/>
          <w:sz w:val="22"/>
          <w:szCs w:val="22"/>
        </w:rPr>
        <w:t>C</w:t>
      </w:r>
      <w:r w:rsidRPr="00D124D9">
        <w:rPr>
          <w:rFonts w:ascii="Andes" w:hAnsi="Andes" w:cs="Arial"/>
          <w:b/>
          <w:sz w:val="22"/>
          <w:szCs w:val="22"/>
        </w:rPr>
        <w:t>onsultants)</w:t>
      </w:r>
    </w:p>
    <w:tbl>
      <w:tblPr>
        <w:tblStyle w:val="Grilledutableau"/>
        <w:tblW w:w="8797" w:type="dxa"/>
        <w:tblInd w:w="597" w:type="dxa"/>
        <w:tblLook w:val="04A0" w:firstRow="1" w:lastRow="0" w:firstColumn="1" w:lastColumn="0" w:noHBand="0" w:noVBand="1"/>
      </w:tblPr>
      <w:tblGrid>
        <w:gridCol w:w="5107"/>
        <w:gridCol w:w="3690"/>
      </w:tblGrid>
      <w:tr w:rsidR="00335BAE" w:rsidRPr="00D672E8" w14:paraId="1AC31B9E" w14:textId="77777777" w:rsidTr="00CF4784">
        <w:trPr>
          <w:cantSplit/>
        </w:trPr>
        <w:tc>
          <w:tcPr>
            <w:tcW w:w="5107" w:type="dxa"/>
            <w:shd w:val="clear" w:color="auto" w:fill="002060"/>
            <w:hideMark/>
          </w:tcPr>
          <w:p w14:paraId="77509781" w14:textId="77777777" w:rsidR="00335BAE" w:rsidRPr="00D124D9" w:rsidRDefault="00335BAE" w:rsidP="006D600B">
            <w:pPr>
              <w:spacing w:before="80" w:after="80" w:line="276" w:lineRule="auto"/>
              <w:contextualSpacing w:val="0"/>
              <w:jc w:val="left"/>
              <w:rPr>
                <w:rFonts w:ascii="Andes" w:hAnsi="Andes"/>
                <w:b/>
                <w:color w:val="FFFFFF" w:themeColor="background1"/>
                <w:sz w:val="22"/>
              </w:rPr>
            </w:pPr>
            <w:r>
              <w:rPr>
                <w:rFonts w:ascii="Andes" w:hAnsi="Andes"/>
                <w:b/>
                <w:color w:val="FFFFFF" w:themeColor="background1"/>
                <w:sz w:val="22"/>
              </w:rPr>
              <w:t>Niveau de complexité</w:t>
            </w:r>
          </w:p>
        </w:tc>
        <w:tc>
          <w:tcPr>
            <w:tcW w:w="3690" w:type="dxa"/>
            <w:shd w:val="clear" w:color="auto" w:fill="002060"/>
            <w:hideMark/>
          </w:tcPr>
          <w:p w14:paraId="69D13AA1" w14:textId="77777777" w:rsidR="00335BAE" w:rsidRPr="00D124D9" w:rsidRDefault="00335BAE" w:rsidP="006D600B">
            <w:pPr>
              <w:spacing w:before="80" w:after="80" w:line="276" w:lineRule="auto"/>
              <w:contextualSpacing w:val="0"/>
              <w:jc w:val="center"/>
              <w:rPr>
                <w:rFonts w:ascii="Andes" w:hAnsi="Andes"/>
                <w:b/>
                <w:color w:val="FFFFFF" w:themeColor="background1"/>
                <w:sz w:val="22"/>
              </w:rPr>
            </w:pPr>
            <w:r w:rsidRPr="00D124D9">
              <w:rPr>
                <w:rFonts w:ascii="Andes" w:hAnsi="Andes"/>
                <w:b/>
                <w:color w:val="FFFFFF" w:themeColor="background1"/>
                <w:sz w:val="22"/>
              </w:rPr>
              <w:t>Coefficient</w:t>
            </w:r>
            <w:r>
              <w:rPr>
                <w:rFonts w:ascii="Andes" w:hAnsi="Andes"/>
                <w:b/>
                <w:color w:val="FFFFFF" w:themeColor="background1"/>
                <w:sz w:val="22"/>
              </w:rPr>
              <w:t>s</w:t>
            </w:r>
            <w:r w:rsidRPr="00D124D9">
              <w:rPr>
                <w:rFonts w:ascii="Andes" w:hAnsi="Andes"/>
                <w:b/>
                <w:color w:val="FFFFFF" w:themeColor="background1"/>
                <w:sz w:val="22"/>
              </w:rPr>
              <w:t xml:space="preserve"> de pondération </w:t>
            </w:r>
            <w:r>
              <w:rPr>
                <w:rFonts w:ascii="Andes" w:hAnsi="Andes"/>
                <w:b/>
                <w:color w:val="FFFFFF" w:themeColor="background1"/>
                <w:sz w:val="22"/>
              </w:rPr>
              <w:t>du</w:t>
            </w:r>
            <w:r w:rsidRPr="00D124D9">
              <w:rPr>
                <w:rFonts w:ascii="Andes" w:hAnsi="Andes"/>
                <w:b/>
                <w:color w:val="FFFFFF" w:themeColor="background1"/>
                <w:sz w:val="22"/>
              </w:rPr>
              <w:t xml:space="preserve"> </w:t>
            </w:r>
            <w:r>
              <w:rPr>
                <w:rFonts w:ascii="Andes" w:hAnsi="Andes"/>
                <w:b/>
                <w:color w:val="FFFFFF" w:themeColor="background1"/>
                <w:sz w:val="22"/>
              </w:rPr>
              <w:t>score combiné</w:t>
            </w:r>
            <w:r w:rsidRPr="00D124D9">
              <w:rPr>
                <w:rFonts w:ascii="Andes" w:hAnsi="Andes"/>
                <w:b/>
                <w:color w:val="FFFFFF" w:themeColor="background1"/>
                <w:sz w:val="22"/>
              </w:rPr>
              <w:t xml:space="preserve"> qualité/coût (%)</w:t>
            </w:r>
          </w:p>
        </w:tc>
      </w:tr>
      <w:tr w:rsidR="00335BAE" w:rsidRPr="00D124D9" w14:paraId="77AA029A" w14:textId="77777777" w:rsidTr="00CF4784">
        <w:trPr>
          <w:cantSplit/>
        </w:trPr>
        <w:tc>
          <w:tcPr>
            <w:tcW w:w="5107" w:type="dxa"/>
            <w:hideMark/>
          </w:tcPr>
          <w:p w14:paraId="4A0729CE" w14:textId="17715A92" w:rsidR="00335BAE" w:rsidRPr="00D124D9" w:rsidRDefault="00335BAE" w:rsidP="007478E2">
            <w:pPr>
              <w:spacing w:before="80" w:after="80" w:line="276" w:lineRule="auto"/>
              <w:contextualSpacing w:val="0"/>
              <w:jc w:val="left"/>
              <w:rPr>
                <w:rFonts w:ascii="Andes" w:hAnsi="Andes"/>
                <w:sz w:val="22"/>
              </w:rPr>
            </w:pPr>
            <w:r w:rsidRPr="00D124D9">
              <w:rPr>
                <w:rFonts w:ascii="Andes" w:hAnsi="Andes" w:cs="Arial"/>
                <w:color w:val="000000"/>
                <w:sz w:val="22"/>
                <w:szCs w:val="22"/>
              </w:rPr>
              <w:t>Complexité élevée / effets en aval / tâches spécialisées (ou possible recours à la méthode de SFQ)</w:t>
            </w:r>
          </w:p>
        </w:tc>
        <w:tc>
          <w:tcPr>
            <w:tcW w:w="3690" w:type="dxa"/>
            <w:hideMark/>
          </w:tcPr>
          <w:p w14:paraId="0FDBA087" w14:textId="77777777" w:rsidR="00335BAE" w:rsidRPr="00D124D9" w:rsidRDefault="00335BAE" w:rsidP="006D600B">
            <w:pPr>
              <w:spacing w:before="80" w:after="80" w:line="276" w:lineRule="auto"/>
              <w:contextualSpacing w:val="0"/>
              <w:jc w:val="center"/>
              <w:rPr>
                <w:rFonts w:ascii="Andes" w:hAnsi="Andes"/>
                <w:sz w:val="22"/>
              </w:rPr>
            </w:pPr>
            <w:r w:rsidRPr="00D124D9">
              <w:rPr>
                <w:rFonts w:ascii="Andes" w:hAnsi="Andes"/>
                <w:sz w:val="22"/>
              </w:rPr>
              <w:t>90 / 10</w:t>
            </w:r>
          </w:p>
        </w:tc>
      </w:tr>
      <w:tr w:rsidR="00335BAE" w:rsidRPr="00D124D9" w14:paraId="2F137BD4" w14:textId="77777777" w:rsidTr="00CF4784">
        <w:trPr>
          <w:cantSplit/>
        </w:trPr>
        <w:tc>
          <w:tcPr>
            <w:tcW w:w="5107" w:type="dxa"/>
            <w:hideMark/>
          </w:tcPr>
          <w:p w14:paraId="5032CA8D" w14:textId="77777777" w:rsidR="00335BAE" w:rsidRPr="00D124D9" w:rsidRDefault="00335BAE" w:rsidP="006D600B">
            <w:pPr>
              <w:spacing w:before="80" w:after="80" w:line="276" w:lineRule="auto"/>
              <w:contextualSpacing w:val="0"/>
              <w:jc w:val="left"/>
              <w:rPr>
                <w:rFonts w:ascii="Andes" w:hAnsi="Andes"/>
                <w:sz w:val="22"/>
              </w:rPr>
            </w:pPr>
            <w:r w:rsidRPr="00D124D9">
              <w:rPr>
                <w:rFonts w:ascii="Andes" w:hAnsi="Andes" w:cs="Arial"/>
                <w:color w:val="000000"/>
                <w:sz w:val="22"/>
                <w:szCs w:val="22"/>
              </w:rPr>
              <w:t>Complexité modérée</w:t>
            </w:r>
          </w:p>
        </w:tc>
        <w:tc>
          <w:tcPr>
            <w:tcW w:w="3690" w:type="dxa"/>
            <w:hideMark/>
          </w:tcPr>
          <w:p w14:paraId="47915FC2" w14:textId="77777777" w:rsidR="00335BAE" w:rsidRPr="00D124D9" w:rsidRDefault="00335BAE" w:rsidP="006D600B">
            <w:pPr>
              <w:spacing w:before="80" w:after="80" w:line="276" w:lineRule="auto"/>
              <w:contextualSpacing w:val="0"/>
              <w:jc w:val="center"/>
              <w:rPr>
                <w:rFonts w:ascii="Andes" w:hAnsi="Andes"/>
                <w:sz w:val="22"/>
              </w:rPr>
            </w:pPr>
            <w:r w:rsidRPr="00D124D9">
              <w:rPr>
                <w:rFonts w:ascii="Andes" w:hAnsi="Andes"/>
                <w:sz w:val="22"/>
              </w:rPr>
              <w:t>70-80 / 30-20</w:t>
            </w:r>
          </w:p>
        </w:tc>
      </w:tr>
      <w:tr w:rsidR="00335BAE" w:rsidRPr="00D124D9" w14:paraId="2311020C" w14:textId="77777777" w:rsidTr="00CF4784">
        <w:trPr>
          <w:cantSplit/>
        </w:trPr>
        <w:tc>
          <w:tcPr>
            <w:tcW w:w="5107" w:type="dxa"/>
            <w:hideMark/>
          </w:tcPr>
          <w:p w14:paraId="19825281" w14:textId="77777777" w:rsidR="00335BAE" w:rsidRPr="00D124D9" w:rsidRDefault="00335BAE" w:rsidP="006D600B">
            <w:pPr>
              <w:spacing w:before="80" w:after="80" w:line="276" w:lineRule="auto"/>
              <w:contextualSpacing w:val="0"/>
              <w:jc w:val="left"/>
              <w:rPr>
                <w:rFonts w:ascii="Andes" w:hAnsi="Andes"/>
                <w:sz w:val="22"/>
              </w:rPr>
            </w:pPr>
            <w:r w:rsidRPr="00D124D9">
              <w:rPr>
                <w:rFonts w:ascii="Andes" w:hAnsi="Andes" w:cs="Arial"/>
                <w:color w:val="000000"/>
                <w:sz w:val="22"/>
                <w:szCs w:val="22"/>
              </w:rPr>
              <w:lastRenderedPageBreak/>
              <w:t>Tâches normales ou routinières (o</w:t>
            </w:r>
            <w:r>
              <w:rPr>
                <w:rFonts w:ascii="Andes" w:hAnsi="Andes" w:cs="Arial"/>
                <w:color w:val="000000"/>
                <w:sz w:val="22"/>
                <w:szCs w:val="22"/>
              </w:rPr>
              <w:t>u</w:t>
            </w:r>
            <w:r w:rsidRPr="00D124D9">
              <w:rPr>
                <w:rFonts w:ascii="Andes" w:hAnsi="Andes" w:cs="Arial"/>
                <w:color w:val="000000"/>
                <w:sz w:val="22"/>
                <w:szCs w:val="22"/>
              </w:rPr>
              <w:t xml:space="preserve"> possible recours à la méthode de SMC)</w:t>
            </w:r>
          </w:p>
        </w:tc>
        <w:tc>
          <w:tcPr>
            <w:tcW w:w="3690" w:type="dxa"/>
            <w:hideMark/>
          </w:tcPr>
          <w:p w14:paraId="37A3D437" w14:textId="77777777" w:rsidR="00335BAE" w:rsidRPr="00D124D9" w:rsidRDefault="00335BAE" w:rsidP="006D600B">
            <w:pPr>
              <w:spacing w:before="80" w:after="80" w:line="276" w:lineRule="auto"/>
              <w:contextualSpacing w:val="0"/>
              <w:jc w:val="center"/>
              <w:rPr>
                <w:rFonts w:ascii="Andes" w:hAnsi="Andes"/>
                <w:sz w:val="22"/>
              </w:rPr>
            </w:pPr>
            <w:r w:rsidRPr="00D124D9">
              <w:rPr>
                <w:rFonts w:ascii="Andes" w:hAnsi="Andes"/>
                <w:sz w:val="22"/>
              </w:rPr>
              <w:t>60-50 / 40-50</w:t>
            </w:r>
          </w:p>
        </w:tc>
      </w:tr>
    </w:tbl>
    <w:p w14:paraId="5E884573" w14:textId="114ED4AD" w:rsidR="00717F2A" w:rsidRDefault="00717F2A" w:rsidP="00335BAE">
      <w:pPr>
        <w:spacing w:before="0" w:line="240" w:lineRule="auto"/>
        <w:ind w:left="634"/>
        <w:contextualSpacing w:val="0"/>
        <w:jc w:val="left"/>
        <w:rPr>
          <w:rFonts w:ascii="Andes" w:hAnsi="Andes" w:cs="Arial"/>
          <w:b/>
          <w:sz w:val="22"/>
          <w:szCs w:val="22"/>
        </w:rPr>
      </w:pPr>
    </w:p>
    <w:p w14:paraId="1841BE1A" w14:textId="69D89E11" w:rsidR="00717F2A" w:rsidRDefault="00717F2A">
      <w:pPr>
        <w:spacing w:before="0" w:after="200"/>
        <w:contextualSpacing w:val="0"/>
        <w:jc w:val="left"/>
        <w:rPr>
          <w:rFonts w:ascii="Andes" w:hAnsi="Andes" w:cs="Arial"/>
          <w:b/>
          <w:sz w:val="22"/>
          <w:szCs w:val="22"/>
        </w:rPr>
      </w:pPr>
    </w:p>
    <w:p w14:paraId="601B45BA" w14:textId="77777777" w:rsidR="00335BAE" w:rsidRPr="00D124D9" w:rsidRDefault="00335BAE" w:rsidP="00335BAE">
      <w:pPr>
        <w:spacing w:before="0" w:line="240" w:lineRule="auto"/>
        <w:ind w:left="634"/>
        <w:contextualSpacing w:val="0"/>
        <w:jc w:val="left"/>
        <w:rPr>
          <w:rFonts w:ascii="Andes" w:hAnsi="Andes" w:cs="Arial"/>
          <w:b/>
          <w:sz w:val="22"/>
          <w:szCs w:val="22"/>
        </w:rPr>
      </w:pPr>
    </w:p>
    <w:p w14:paraId="47F239DF" w14:textId="77777777" w:rsidR="008A510A" w:rsidRDefault="008A510A" w:rsidP="00A5557C">
      <w:pPr>
        <w:spacing w:before="0" w:after="200"/>
        <w:contextualSpacing w:val="0"/>
        <w:jc w:val="left"/>
        <w:rPr>
          <w:rFonts w:ascii="Andes" w:hAnsi="Andes" w:cs="Arial"/>
          <w:szCs w:val="24"/>
          <w:lang w:val="en-US"/>
        </w:rPr>
        <w:sectPr w:rsidR="008A510A" w:rsidSect="000B5EC0">
          <w:headerReference w:type="default" r:id="rId40"/>
          <w:pgSz w:w="12240" w:h="15840"/>
          <w:pgMar w:top="1872" w:right="1440" w:bottom="1440" w:left="1411" w:header="720" w:footer="720" w:gutter="0"/>
          <w:cols w:space="720"/>
          <w:docGrid w:linePitch="360"/>
        </w:sectPr>
      </w:pPr>
    </w:p>
    <w:p w14:paraId="2F8EE66E" w14:textId="77777777" w:rsidR="00C811D2" w:rsidRPr="007656EB" w:rsidRDefault="004A283E" w:rsidP="000A5DC6">
      <w:pPr>
        <w:pStyle w:val="Titre1"/>
        <w:spacing w:before="0" w:after="0" w:line="240" w:lineRule="auto"/>
        <w:jc w:val="center"/>
        <w:rPr>
          <w:rFonts w:ascii="Andes" w:hAnsi="Andes" w:cs="Arial"/>
          <w:sz w:val="32"/>
          <w:szCs w:val="32"/>
          <w:lang w:val="en-US"/>
        </w:rPr>
      </w:pPr>
      <w:bookmarkStart w:id="3573" w:name="_Toc453171000"/>
      <w:bookmarkStart w:id="3574" w:name="_Toc453544338"/>
      <w:r w:rsidRPr="004A283E">
        <w:rPr>
          <w:rFonts w:ascii="Andes" w:hAnsi="Andes" w:cs="Microsoft Sans Serif"/>
          <w:caps/>
          <w:noProof/>
          <w:color w:val="002060"/>
          <w:lang w:val="en-US"/>
        </w:rPr>
        <w:lastRenderedPageBreak/>
        <mc:AlternateContent>
          <mc:Choice Requires="wps">
            <w:drawing>
              <wp:anchor distT="0" distB="0" distL="114300" distR="114300" simplePos="0" relativeHeight="251672576" behindDoc="0" locked="0" layoutInCell="1" allowOverlap="1" wp14:anchorId="04D29078" wp14:editId="1C0CE747">
                <wp:simplePos x="0" y="0"/>
                <wp:positionH relativeFrom="page">
                  <wp:posOffset>-635</wp:posOffset>
                </wp:positionH>
                <wp:positionV relativeFrom="paragraph">
                  <wp:posOffset>-1190996</wp:posOffset>
                </wp:positionV>
                <wp:extent cx="8151963" cy="1466491"/>
                <wp:effectExtent l="0" t="0" r="1905" b="635"/>
                <wp:wrapNone/>
                <wp:docPr id="29" name="Rectangle 29"/>
                <wp:cNvGraphicFramePr/>
                <a:graphic xmlns:a="http://schemas.openxmlformats.org/drawingml/2006/main">
                  <a:graphicData uri="http://schemas.microsoft.com/office/word/2010/wordprocessingShape">
                    <wps:wsp>
                      <wps:cNvSpPr/>
                      <wps:spPr>
                        <a:xfrm>
                          <a:off x="0" y="0"/>
                          <a:ext cx="8151963" cy="1466491"/>
                        </a:xfrm>
                        <a:prstGeom prst="rect">
                          <a:avLst/>
                        </a:prstGeom>
                        <a:solidFill>
                          <a:srgbClr val="C45911"/>
                        </a:solidFill>
                        <a:ln w="12700" cap="flat" cmpd="sng" algn="ctr">
                          <a:noFill/>
                          <a:prstDash val="solid"/>
                          <a:miter lim="800000"/>
                        </a:ln>
                        <a:effectLst/>
                      </wps:spPr>
                      <wps:txbx>
                        <w:txbxContent>
                          <w:p w14:paraId="0C0B1173" w14:textId="7029AB49" w:rsidR="00A41794" w:rsidRPr="00017A53" w:rsidRDefault="00A41794" w:rsidP="00017A53">
                            <w:pPr>
                              <w:tabs>
                                <w:tab w:val="left" w:pos="3150"/>
                              </w:tabs>
                              <w:ind w:left="1260"/>
                              <w:rPr>
                                <w:rFonts w:ascii="Andes" w:hAnsi="Andes"/>
                                <w:color w:val="FFFFFF" w:themeColor="background1"/>
                                <w:sz w:val="44"/>
                                <w:szCs w:val="44"/>
                              </w:rPr>
                            </w:pPr>
                            <w:r w:rsidRPr="004315C0">
                              <w:rPr>
                                <w:rFonts w:ascii="Andes" w:hAnsi="Andes"/>
                                <w:color w:val="FFFFFF" w:themeColor="background1"/>
                                <w:sz w:val="44"/>
                                <w:szCs w:val="44"/>
                              </w:rPr>
                              <w:t xml:space="preserve">Annexe XI.  </w:t>
                            </w:r>
                            <w:r w:rsidRPr="004315C0">
                              <w:rPr>
                                <w:rFonts w:ascii="Andes" w:hAnsi="Andes"/>
                                <w:color w:val="FFFFFF" w:themeColor="background1"/>
                                <w:sz w:val="44"/>
                                <w:szCs w:val="44"/>
                              </w:rPr>
                              <w:tab/>
                              <w:t>Gestion des marchés et contrats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29078" id="Rectangle 29" o:spid="_x0000_s1047" style="position:absolute;left:0;text-align:left;margin-left:-.05pt;margin-top:-93.8pt;width:641.9pt;height:115.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" fillcolor="#c45911" stroked="f" strokeweight="1pt">
                <v:textbox>
                  <w:txbxContent>
                    <w:p w14:paraId="0C0B1173" w14:textId="7029AB49" w:rsidR="00A41794" w:rsidRPr="00017A53" w:rsidRDefault="00A41794" w:rsidP="00017A53">
                      <w:pPr>
                        <w:tabs>
                          <w:tab w:val="left" w:pos="3150"/>
                        </w:tabs>
                        <w:ind w:left="1260"/>
                        <w:rPr>
                          <w:rFonts w:ascii="Andes" w:hAnsi="Andes"/>
                          <w:color w:val="FFFFFF" w:themeColor="background1"/>
                          <w:sz w:val="44"/>
                          <w:szCs w:val="44"/>
                        </w:rPr>
                      </w:pPr>
                      <w:r w:rsidRPr="004315C0">
                        <w:rPr>
                          <w:rFonts w:ascii="Andes" w:hAnsi="Andes"/>
                          <w:color w:val="FFFFFF" w:themeColor="background1"/>
                          <w:sz w:val="44"/>
                          <w:szCs w:val="44"/>
                        </w:rPr>
                        <w:t xml:space="preserve">Annexe XI.  </w:t>
                      </w:r>
                      <w:r w:rsidRPr="004315C0">
                        <w:rPr>
                          <w:rFonts w:ascii="Andes" w:hAnsi="Andes"/>
                          <w:color w:val="FFFFFF" w:themeColor="background1"/>
                          <w:sz w:val="44"/>
                          <w:szCs w:val="44"/>
                        </w:rPr>
                        <w:tab/>
                        <w:t>Gestion des marchés et contrats</w:t>
                      </w:r>
                    </w:p>
                  </w:txbxContent>
                </v:textbox>
                <w10:wrap anchorx="page"/>
              </v:rect>
            </w:pict>
          </mc:Fallback>
        </mc:AlternateContent>
      </w:r>
      <w:r w:rsidR="00C811D2" w:rsidRPr="007656EB">
        <w:rPr>
          <w:rFonts w:ascii="Andes" w:hAnsi="Andes" w:cs="Arial"/>
          <w:sz w:val="32"/>
          <w:szCs w:val="32"/>
          <w:lang w:val="en-US"/>
        </w:rPr>
        <w:t>Annex XI</w:t>
      </w:r>
      <w:r w:rsidR="00687669">
        <w:rPr>
          <w:rFonts w:ascii="Andes" w:hAnsi="Andes" w:cs="Arial"/>
          <w:sz w:val="32"/>
          <w:szCs w:val="32"/>
          <w:lang w:val="en-US"/>
        </w:rPr>
        <w:t xml:space="preserve">.  </w:t>
      </w:r>
      <w:r w:rsidR="00C811D2" w:rsidRPr="007656EB">
        <w:rPr>
          <w:rFonts w:ascii="Andes" w:hAnsi="Andes" w:cs="Arial"/>
          <w:sz w:val="32"/>
          <w:szCs w:val="32"/>
          <w:lang w:val="en-US"/>
        </w:rPr>
        <w:t>Contract Management</w:t>
      </w:r>
      <w:bookmarkEnd w:id="3573"/>
      <w:bookmarkEnd w:id="3574"/>
    </w:p>
    <w:p w14:paraId="4064F237" w14:textId="77777777" w:rsidR="00017A53" w:rsidRPr="00D124D9" w:rsidRDefault="00017A53" w:rsidP="00017A53">
      <w:pPr>
        <w:pStyle w:val="Paragraphedeliste"/>
        <w:numPr>
          <w:ilvl w:val="0"/>
          <w:numId w:val="133"/>
        </w:numPr>
        <w:spacing w:before="360" w:line="240" w:lineRule="auto"/>
        <w:ind w:left="634" w:hanging="634"/>
        <w:contextualSpacing w:val="0"/>
        <w:rPr>
          <w:rFonts w:ascii="Andes" w:eastAsiaTheme="majorEastAsia" w:hAnsi="Andes"/>
          <w:b/>
          <w:color w:val="C45911"/>
          <w:sz w:val="32"/>
          <w:szCs w:val="32"/>
        </w:rPr>
      </w:pPr>
      <w:bookmarkStart w:id="3575" w:name="_Toc453171001"/>
      <w:r w:rsidRPr="00D124D9">
        <w:rPr>
          <w:rFonts w:ascii="Andes" w:eastAsiaTheme="majorEastAsia" w:hAnsi="Andes"/>
          <w:b/>
          <w:color w:val="C45911"/>
          <w:sz w:val="32"/>
          <w:szCs w:val="32"/>
        </w:rPr>
        <w:t xml:space="preserve">Objet </w:t>
      </w:r>
      <w:bookmarkEnd w:id="3575"/>
    </w:p>
    <w:p w14:paraId="7BAD009E" w14:textId="78B055C2" w:rsidR="00017A53" w:rsidRPr="00D124D9" w:rsidRDefault="00017A53" w:rsidP="00017A53">
      <w:pPr>
        <w:pStyle w:val="Paragraphedeliste"/>
        <w:numPr>
          <w:ilvl w:val="0"/>
          <w:numId w:val="90"/>
        </w:numPr>
        <w:tabs>
          <w:tab w:val="left" w:pos="630"/>
        </w:tabs>
        <w:spacing w:before="0" w:line="240" w:lineRule="auto"/>
        <w:ind w:left="634"/>
        <w:contextualSpacing w:val="0"/>
        <w:rPr>
          <w:rFonts w:ascii="Andes" w:hAnsi="Andes" w:cs="Arial"/>
          <w:sz w:val="22"/>
          <w:szCs w:val="22"/>
        </w:rPr>
      </w:pPr>
      <w:r w:rsidRPr="00D124D9">
        <w:rPr>
          <w:rFonts w:ascii="Andes" w:hAnsi="Andes" w:cs="Arial"/>
          <w:sz w:val="22"/>
          <w:szCs w:val="22"/>
        </w:rPr>
        <w:t>La présente annexe définit les m</w:t>
      </w:r>
      <w:r>
        <w:rPr>
          <w:rFonts w:ascii="Andes" w:hAnsi="Andes" w:cs="Arial"/>
          <w:sz w:val="22"/>
          <w:szCs w:val="22"/>
        </w:rPr>
        <w:t xml:space="preserve">odalités de gestion des marchés et contrats </w:t>
      </w:r>
      <w:r w:rsidRPr="00D124D9">
        <w:rPr>
          <w:rFonts w:ascii="Andes" w:hAnsi="Andes" w:cs="Arial"/>
          <w:sz w:val="22"/>
          <w:szCs w:val="22"/>
        </w:rPr>
        <w:t>et de leur suivi au moyen des Plans de gestion de marché dans le cadre des opérations de F</w:t>
      </w:r>
      <w:r w:rsidR="00974129">
        <w:rPr>
          <w:rFonts w:ascii="Andes" w:hAnsi="Andes" w:cs="Arial"/>
          <w:sz w:val="22"/>
          <w:szCs w:val="22"/>
        </w:rPr>
        <w:t>PI</w:t>
      </w:r>
      <w:r w:rsidRPr="00D124D9">
        <w:rPr>
          <w:rFonts w:ascii="Andes" w:hAnsi="Andes" w:cs="Arial"/>
          <w:sz w:val="22"/>
          <w:szCs w:val="22"/>
        </w:rPr>
        <w:t>.</w:t>
      </w:r>
    </w:p>
    <w:p w14:paraId="36FDA908" w14:textId="55C6AB60" w:rsidR="00017A53" w:rsidRPr="00D124D9" w:rsidRDefault="002349DF" w:rsidP="00017A53">
      <w:pPr>
        <w:pStyle w:val="Paragraphedeliste"/>
        <w:numPr>
          <w:ilvl w:val="0"/>
          <w:numId w:val="133"/>
        </w:numPr>
        <w:spacing w:before="240" w:line="240" w:lineRule="auto"/>
        <w:ind w:left="634" w:hanging="634"/>
        <w:contextualSpacing w:val="0"/>
        <w:rPr>
          <w:rFonts w:ascii="Andes" w:eastAsiaTheme="majorEastAsia" w:hAnsi="Andes"/>
          <w:b/>
          <w:color w:val="C45911"/>
          <w:sz w:val="32"/>
          <w:szCs w:val="32"/>
        </w:rPr>
      </w:pPr>
      <w:r>
        <w:rPr>
          <w:rFonts w:ascii="Andes" w:eastAsiaTheme="majorEastAsia" w:hAnsi="Andes"/>
          <w:b/>
          <w:color w:val="C45911"/>
          <w:sz w:val="32"/>
          <w:szCs w:val="32"/>
        </w:rPr>
        <w:t>Exigences</w:t>
      </w:r>
      <w:r w:rsidRPr="00D124D9">
        <w:rPr>
          <w:rFonts w:ascii="Andes" w:eastAsiaTheme="majorEastAsia" w:hAnsi="Andes"/>
          <w:b/>
          <w:color w:val="C45911"/>
          <w:sz w:val="32"/>
          <w:szCs w:val="32"/>
        </w:rPr>
        <w:t xml:space="preserve"> </w:t>
      </w:r>
    </w:p>
    <w:p w14:paraId="3C4A66A8" w14:textId="77777777" w:rsidR="00017A53" w:rsidRPr="00D124D9" w:rsidRDefault="00017A53" w:rsidP="00017A53">
      <w:pPr>
        <w:pStyle w:val="Paragraphedeliste"/>
        <w:numPr>
          <w:ilvl w:val="1"/>
          <w:numId w:val="133"/>
        </w:numPr>
        <w:spacing w:before="0" w:line="240" w:lineRule="auto"/>
        <w:ind w:left="630" w:hanging="630"/>
        <w:contextualSpacing w:val="0"/>
        <w:rPr>
          <w:rFonts w:ascii="Andes" w:hAnsi="Andes" w:cs="Arial"/>
          <w:sz w:val="22"/>
          <w:szCs w:val="22"/>
        </w:rPr>
      </w:pPr>
      <w:r w:rsidRPr="00D124D9">
        <w:rPr>
          <w:rFonts w:ascii="Andes" w:hAnsi="Andes" w:cs="Arial"/>
          <w:sz w:val="22"/>
          <w:szCs w:val="22"/>
        </w:rPr>
        <w:t>Une administration efficace des marchés</w:t>
      </w:r>
      <w:r>
        <w:rPr>
          <w:rFonts w:ascii="Andes" w:hAnsi="Andes" w:cs="Arial"/>
          <w:sz w:val="22"/>
          <w:szCs w:val="22"/>
        </w:rPr>
        <w:t xml:space="preserve"> et contrats</w:t>
      </w:r>
      <w:r w:rsidRPr="00D124D9">
        <w:rPr>
          <w:rFonts w:ascii="Andes" w:hAnsi="Andes" w:cs="Arial"/>
          <w:sz w:val="22"/>
          <w:szCs w:val="22"/>
        </w:rPr>
        <w:t xml:space="preserve"> repose sur une planification, une exécution, un suivi et une évaluation systématiques et efficients qui permettent d’optimiser la performance tout en gérant les risques afin de s’assurer que les deux parties remplissent leurs obligations contractuelles dans le </w:t>
      </w:r>
      <w:proofErr w:type="gramStart"/>
      <w:r w:rsidRPr="00D124D9">
        <w:rPr>
          <w:rFonts w:ascii="Andes" w:hAnsi="Andes" w:cs="Arial"/>
          <w:sz w:val="22"/>
          <w:szCs w:val="22"/>
        </w:rPr>
        <w:t>but final</w:t>
      </w:r>
      <w:proofErr w:type="gramEnd"/>
      <w:r w:rsidRPr="00D124D9">
        <w:rPr>
          <w:rFonts w:ascii="Andes" w:hAnsi="Andes" w:cs="Arial"/>
          <w:sz w:val="22"/>
          <w:szCs w:val="22"/>
        </w:rPr>
        <w:t xml:space="preserve"> d’optimiser l’emploi des ressources et d’obtenir les résultats escomptés sur le terrain.</w:t>
      </w:r>
    </w:p>
    <w:p w14:paraId="0D511134" w14:textId="622CBB12" w:rsidR="00017A53" w:rsidRPr="00D124D9" w:rsidRDefault="00017A53" w:rsidP="00017A53">
      <w:pPr>
        <w:pStyle w:val="Paragraphedeliste"/>
        <w:numPr>
          <w:ilvl w:val="1"/>
          <w:numId w:val="133"/>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L’Emprunteur élabore le contrat </w:t>
      </w:r>
      <w:r>
        <w:rPr>
          <w:rFonts w:ascii="Andes" w:hAnsi="Andes" w:cs="Arial"/>
          <w:sz w:val="22"/>
          <w:szCs w:val="22"/>
        </w:rPr>
        <w:t xml:space="preserve">le plus </w:t>
      </w:r>
      <w:r w:rsidRPr="00D124D9">
        <w:rPr>
          <w:rFonts w:ascii="Andes" w:hAnsi="Andes" w:cs="Arial"/>
          <w:sz w:val="22"/>
          <w:szCs w:val="22"/>
        </w:rPr>
        <w:t>tôt possible dès le lancement du processus de passation du marché. Comme le stipule l</w:t>
      </w:r>
      <w:r>
        <w:rPr>
          <w:rFonts w:ascii="Andes" w:hAnsi="Andes" w:cs="Arial"/>
          <w:sz w:val="22"/>
          <w:szCs w:val="22"/>
        </w:rPr>
        <w:t>e présent</w:t>
      </w:r>
      <w:r w:rsidRPr="00D124D9">
        <w:rPr>
          <w:rFonts w:ascii="Andes" w:hAnsi="Andes" w:cs="Arial"/>
          <w:sz w:val="22"/>
          <w:szCs w:val="22"/>
        </w:rPr>
        <w:t xml:space="preserve"> r</w:t>
      </w:r>
      <w:r>
        <w:rPr>
          <w:rFonts w:ascii="Andes" w:hAnsi="Andes" w:cs="Arial"/>
          <w:sz w:val="22"/>
          <w:szCs w:val="22"/>
        </w:rPr>
        <w:t>èglement</w:t>
      </w:r>
      <w:r w:rsidRPr="00D124D9">
        <w:rPr>
          <w:rFonts w:ascii="Andes" w:hAnsi="Andes" w:cs="Arial"/>
          <w:sz w:val="22"/>
          <w:szCs w:val="22"/>
        </w:rPr>
        <w:t xml:space="preserve">, les clauses </w:t>
      </w:r>
      <w:r>
        <w:rPr>
          <w:rFonts w:ascii="Andes" w:hAnsi="Andes" w:cs="Arial"/>
          <w:sz w:val="22"/>
          <w:szCs w:val="22"/>
        </w:rPr>
        <w:t>et conditions contractuelles</w:t>
      </w:r>
      <w:r w:rsidRPr="00D124D9">
        <w:rPr>
          <w:rFonts w:ascii="Andes" w:hAnsi="Andes" w:cs="Arial"/>
          <w:sz w:val="22"/>
          <w:szCs w:val="22"/>
        </w:rPr>
        <w:t xml:space="preserve"> sont précisées dans le dossier d’</w:t>
      </w:r>
      <w:r w:rsidR="00C51DF5">
        <w:rPr>
          <w:rFonts w:ascii="Andes" w:hAnsi="Andes" w:cs="Arial"/>
          <w:sz w:val="22"/>
          <w:szCs w:val="22"/>
        </w:rPr>
        <w:t>Appel d’Offres/ à Propositions</w:t>
      </w:r>
      <w:r w:rsidRPr="00D124D9">
        <w:rPr>
          <w:rFonts w:ascii="Andes" w:hAnsi="Andes" w:cs="Arial"/>
          <w:sz w:val="22"/>
          <w:szCs w:val="22"/>
        </w:rPr>
        <w:t xml:space="preserve"> du </w:t>
      </w:r>
      <w:r>
        <w:rPr>
          <w:rFonts w:ascii="Andes" w:hAnsi="Andes" w:cs="Arial"/>
          <w:sz w:val="22"/>
          <w:szCs w:val="22"/>
        </w:rPr>
        <w:t xml:space="preserve">processus considéré de passation de </w:t>
      </w:r>
      <w:r w:rsidRPr="00D124D9">
        <w:rPr>
          <w:rFonts w:ascii="Andes" w:hAnsi="Andes" w:cs="Arial"/>
          <w:sz w:val="22"/>
          <w:szCs w:val="22"/>
        </w:rPr>
        <w:t xml:space="preserve">marché. Le </w:t>
      </w:r>
      <w:r>
        <w:rPr>
          <w:rFonts w:ascii="Andes" w:hAnsi="Andes" w:cs="Arial"/>
          <w:sz w:val="22"/>
          <w:szCs w:val="22"/>
        </w:rPr>
        <w:t>niveau</w:t>
      </w:r>
      <w:r w:rsidRPr="00D124D9">
        <w:rPr>
          <w:rFonts w:ascii="Andes" w:hAnsi="Andes" w:cs="Arial"/>
          <w:sz w:val="22"/>
          <w:szCs w:val="22"/>
        </w:rPr>
        <w:t xml:space="preserve"> de détail requis </w:t>
      </w:r>
      <w:r>
        <w:rPr>
          <w:rFonts w:ascii="Andes" w:hAnsi="Andes" w:cs="Arial"/>
          <w:sz w:val="22"/>
          <w:szCs w:val="22"/>
        </w:rPr>
        <w:t xml:space="preserve">dans le contrat </w:t>
      </w:r>
      <w:r w:rsidRPr="00D124D9">
        <w:rPr>
          <w:rFonts w:ascii="Andes" w:hAnsi="Andes" w:cs="Arial"/>
          <w:sz w:val="22"/>
          <w:szCs w:val="22"/>
        </w:rPr>
        <w:t>dépend des risques liés au marché et de sa complexité. Les clauses doivent être ada</w:t>
      </w:r>
      <w:r>
        <w:rPr>
          <w:rFonts w:ascii="Andes" w:hAnsi="Andes" w:cs="Arial"/>
          <w:sz w:val="22"/>
          <w:szCs w:val="22"/>
        </w:rPr>
        <w:t xml:space="preserve">ptées à l’objectif visé, </w:t>
      </w:r>
      <w:r w:rsidRPr="00D124D9">
        <w:rPr>
          <w:rFonts w:ascii="Andes" w:hAnsi="Andes" w:cs="Arial"/>
          <w:sz w:val="22"/>
          <w:szCs w:val="22"/>
        </w:rPr>
        <w:t>les risques</w:t>
      </w:r>
      <w:r>
        <w:rPr>
          <w:rFonts w:ascii="Andes" w:hAnsi="Andes" w:cs="Arial"/>
          <w:sz w:val="22"/>
          <w:szCs w:val="22"/>
        </w:rPr>
        <w:t xml:space="preserve"> dûment répartis</w:t>
      </w:r>
      <w:r w:rsidRPr="00D124D9">
        <w:rPr>
          <w:rFonts w:ascii="Andes" w:hAnsi="Andes" w:cs="Arial"/>
          <w:sz w:val="22"/>
          <w:szCs w:val="22"/>
        </w:rPr>
        <w:t xml:space="preserve">, </w:t>
      </w:r>
      <w:r>
        <w:rPr>
          <w:rFonts w:ascii="Andes" w:hAnsi="Andes" w:cs="Arial"/>
          <w:sz w:val="22"/>
          <w:szCs w:val="22"/>
        </w:rPr>
        <w:t xml:space="preserve">les </w:t>
      </w:r>
      <w:r w:rsidRPr="00D124D9">
        <w:rPr>
          <w:rFonts w:ascii="Andes" w:hAnsi="Andes" w:cs="Arial"/>
          <w:sz w:val="22"/>
          <w:szCs w:val="22"/>
        </w:rPr>
        <w:t xml:space="preserve">responsabilités, rôles et </w:t>
      </w:r>
      <w:r>
        <w:rPr>
          <w:rFonts w:ascii="Andes" w:hAnsi="Andes" w:cs="Arial"/>
          <w:sz w:val="22"/>
          <w:szCs w:val="22"/>
        </w:rPr>
        <w:t xml:space="preserve">attributions </w:t>
      </w:r>
      <w:r w:rsidRPr="00D124D9">
        <w:rPr>
          <w:rFonts w:ascii="Andes" w:hAnsi="Andes" w:cs="Arial"/>
          <w:sz w:val="22"/>
          <w:szCs w:val="22"/>
        </w:rPr>
        <w:t xml:space="preserve">des parties clairement définis.  </w:t>
      </w:r>
    </w:p>
    <w:p w14:paraId="7A0DA704" w14:textId="77777777" w:rsidR="00017A53" w:rsidRPr="00D124D9" w:rsidRDefault="00017A53" w:rsidP="00017A53">
      <w:pPr>
        <w:pStyle w:val="Paragraphedeliste"/>
        <w:numPr>
          <w:ilvl w:val="1"/>
          <w:numId w:val="133"/>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Le Plan de gestion du marché est élaboré au moment où ledit marché est conçu et il doit être achevé à la signature du contrat.  </w:t>
      </w:r>
    </w:p>
    <w:p w14:paraId="78CD4E51" w14:textId="77777777" w:rsidR="00017A53" w:rsidRPr="00D124D9" w:rsidRDefault="00017A53" w:rsidP="00017A53">
      <w:pPr>
        <w:pStyle w:val="Paragraphedeliste"/>
        <w:numPr>
          <w:ilvl w:val="1"/>
          <w:numId w:val="133"/>
        </w:numPr>
        <w:spacing w:before="0" w:line="240" w:lineRule="auto"/>
        <w:ind w:left="630" w:hanging="630"/>
        <w:contextualSpacing w:val="0"/>
        <w:rPr>
          <w:rFonts w:ascii="Andes" w:hAnsi="Andes" w:cs="Arial"/>
          <w:sz w:val="22"/>
          <w:szCs w:val="22"/>
        </w:rPr>
      </w:pPr>
      <w:r w:rsidRPr="00D124D9">
        <w:rPr>
          <w:rFonts w:ascii="Andes" w:hAnsi="Andes" w:cs="Arial"/>
          <w:sz w:val="22"/>
          <w:szCs w:val="22"/>
        </w:rPr>
        <w:t>L’Emprunteur administre le marché de façon proactive pendant sa durée de vie en se servant du Plan</w:t>
      </w:r>
      <w:r>
        <w:rPr>
          <w:rFonts w:ascii="Andes" w:hAnsi="Andes" w:cs="Arial"/>
          <w:sz w:val="22"/>
          <w:szCs w:val="22"/>
        </w:rPr>
        <w:t xml:space="preserve"> de gestion. S’il le faut, des I</w:t>
      </w:r>
      <w:r w:rsidRPr="00D124D9">
        <w:rPr>
          <w:rFonts w:ascii="Andes" w:hAnsi="Andes" w:cs="Arial"/>
          <w:sz w:val="22"/>
          <w:szCs w:val="22"/>
        </w:rPr>
        <w:t xml:space="preserve">ndicateurs de </w:t>
      </w:r>
      <w:r>
        <w:rPr>
          <w:rFonts w:ascii="Andes" w:hAnsi="Andes" w:cs="Arial"/>
          <w:sz w:val="22"/>
          <w:szCs w:val="22"/>
        </w:rPr>
        <w:t>P</w:t>
      </w:r>
      <w:r w:rsidRPr="00D124D9">
        <w:rPr>
          <w:rFonts w:ascii="Andes" w:hAnsi="Andes" w:cs="Arial"/>
          <w:sz w:val="22"/>
          <w:szCs w:val="22"/>
        </w:rPr>
        <w:t xml:space="preserve">erformance </w:t>
      </w:r>
      <w:r>
        <w:rPr>
          <w:rFonts w:ascii="Andes" w:hAnsi="Andes" w:cs="Arial"/>
          <w:sz w:val="22"/>
          <w:szCs w:val="22"/>
        </w:rPr>
        <w:t>C</w:t>
      </w:r>
      <w:r w:rsidRPr="00D124D9">
        <w:rPr>
          <w:rFonts w:ascii="Andes" w:hAnsi="Andes" w:cs="Arial"/>
          <w:sz w:val="22"/>
          <w:szCs w:val="22"/>
        </w:rPr>
        <w:t xml:space="preserve">lés </w:t>
      </w:r>
      <w:r>
        <w:rPr>
          <w:rFonts w:ascii="Andes" w:hAnsi="Andes" w:cs="Arial"/>
          <w:sz w:val="22"/>
          <w:szCs w:val="22"/>
        </w:rPr>
        <w:t>(</w:t>
      </w:r>
      <w:r w:rsidRPr="00D124D9">
        <w:rPr>
          <w:rFonts w:ascii="Andes" w:hAnsi="Andes" w:cs="Arial"/>
          <w:sz w:val="22"/>
          <w:szCs w:val="22"/>
        </w:rPr>
        <w:t>I</w:t>
      </w:r>
      <w:r>
        <w:rPr>
          <w:rFonts w:ascii="Andes" w:hAnsi="Andes" w:cs="Arial"/>
          <w:sz w:val="22"/>
          <w:szCs w:val="22"/>
        </w:rPr>
        <w:t>PC</w:t>
      </w:r>
      <w:r w:rsidRPr="00D124D9">
        <w:rPr>
          <w:rFonts w:ascii="Andes" w:hAnsi="Andes" w:cs="Arial"/>
          <w:sz w:val="22"/>
          <w:szCs w:val="22"/>
        </w:rPr>
        <w:t>) sont définis pour assurer que la performance d</w:t>
      </w:r>
      <w:r>
        <w:rPr>
          <w:rFonts w:ascii="Andes" w:hAnsi="Andes" w:cs="Arial"/>
          <w:sz w:val="22"/>
          <w:szCs w:val="22"/>
        </w:rPr>
        <w:t>u contractant</w:t>
      </w:r>
      <w:r w:rsidRPr="00D124D9">
        <w:rPr>
          <w:rFonts w:ascii="Andes" w:hAnsi="Andes" w:cs="Arial"/>
          <w:sz w:val="22"/>
          <w:szCs w:val="22"/>
        </w:rPr>
        <w:t xml:space="preserve"> est satisfaisante, que les conditions du marché sont respectées et que les intervenants voulus sont b</w:t>
      </w:r>
      <w:r>
        <w:rPr>
          <w:rFonts w:ascii="Andes" w:hAnsi="Andes" w:cs="Arial"/>
          <w:sz w:val="22"/>
          <w:szCs w:val="22"/>
        </w:rPr>
        <w:t>ien informés et satisfaits des Fournitures, Travaux, S</w:t>
      </w:r>
      <w:r w:rsidRPr="00D124D9">
        <w:rPr>
          <w:rFonts w:ascii="Andes" w:hAnsi="Andes" w:cs="Arial"/>
          <w:sz w:val="22"/>
          <w:szCs w:val="22"/>
        </w:rPr>
        <w:t xml:space="preserve">ervices </w:t>
      </w:r>
      <w:r>
        <w:rPr>
          <w:rFonts w:ascii="Andes" w:hAnsi="Andes" w:cs="Arial"/>
          <w:sz w:val="22"/>
          <w:szCs w:val="22"/>
        </w:rPr>
        <w:t>Autres que des Services de Consultants et les</w:t>
      </w:r>
      <w:r w:rsidRPr="00D124D9">
        <w:rPr>
          <w:rFonts w:ascii="Andes" w:hAnsi="Andes" w:cs="Arial"/>
          <w:sz w:val="22"/>
          <w:szCs w:val="22"/>
        </w:rPr>
        <w:t xml:space="preserve"> </w:t>
      </w:r>
      <w:r>
        <w:rPr>
          <w:rFonts w:ascii="Andes" w:hAnsi="Andes" w:cs="Arial"/>
          <w:sz w:val="22"/>
          <w:szCs w:val="22"/>
        </w:rPr>
        <w:t>S</w:t>
      </w:r>
      <w:r w:rsidRPr="00D124D9">
        <w:rPr>
          <w:rFonts w:ascii="Andes" w:hAnsi="Andes" w:cs="Arial"/>
          <w:sz w:val="22"/>
          <w:szCs w:val="22"/>
        </w:rPr>
        <w:t xml:space="preserve">ervices de </w:t>
      </w:r>
      <w:r>
        <w:rPr>
          <w:rFonts w:ascii="Andes" w:hAnsi="Andes" w:cs="Arial"/>
          <w:sz w:val="22"/>
          <w:szCs w:val="22"/>
        </w:rPr>
        <w:t>C</w:t>
      </w:r>
      <w:r w:rsidRPr="00D124D9">
        <w:rPr>
          <w:rFonts w:ascii="Andes" w:hAnsi="Andes" w:cs="Arial"/>
          <w:sz w:val="22"/>
          <w:szCs w:val="22"/>
        </w:rPr>
        <w:t>ons</w:t>
      </w:r>
      <w:r>
        <w:rPr>
          <w:rFonts w:ascii="Andes" w:hAnsi="Andes" w:cs="Arial"/>
          <w:sz w:val="22"/>
          <w:szCs w:val="22"/>
        </w:rPr>
        <w:t>ultants</w:t>
      </w:r>
      <w:r w:rsidRPr="00D124D9">
        <w:rPr>
          <w:rFonts w:ascii="Andes" w:hAnsi="Andes" w:cs="Arial"/>
          <w:sz w:val="22"/>
          <w:szCs w:val="22"/>
        </w:rPr>
        <w:t xml:space="preserve"> prévus dans le marché</w:t>
      </w:r>
      <w:r>
        <w:rPr>
          <w:rFonts w:ascii="Andes" w:hAnsi="Andes" w:cs="Arial"/>
          <w:sz w:val="22"/>
          <w:szCs w:val="22"/>
        </w:rPr>
        <w:t xml:space="preserve"> ou le contrat</w:t>
      </w:r>
      <w:r w:rsidRPr="00D124D9">
        <w:rPr>
          <w:rFonts w:ascii="Andes" w:hAnsi="Andes" w:cs="Arial"/>
          <w:sz w:val="22"/>
          <w:szCs w:val="22"/>
        </w:rPr>
        <w:t xml:space="preserve">. Une évaluation de l’exécution du marché est réalisée </w:t>
      </w:r>
      <w:r>
        <w:rPr>
          <w:rFonts w:ascii="Andes" w:hAnsi="Andes" w:cs="Arial"/>
          <w:sz w:val="22"/>
          <w:szCs w:val="22"/>
        </w:rPr>
        <w:t>à son terme</w:t>
      </w:r>
      <w:r w:rsidRPr="00D124D9">
        <w:rPr>
          <w:rFonts w:ascii="Andes" w:hAnsi="Andes" w:cs="Arial"/>
          <w:sz w:val="22"/>
          <w:szCs w:val="22"/>
        </w:rPr>
        <w:t xml:space="preserve"> pour mesurer la performance et, s’il y a lieu, mettre en évidence les enseignements tirés pour les marchés futurs.  </w:t>
      </w:r>
    </w:p>
    <w:p w14:paraId="77428204" w14:textId="77777777" w:rsidR="00017A53" w:rsidRPr="00D124D9" w:rsidRDefault="00017A53" w:rsidP="00017A53">
      <w:pPr>
        <w:pStyle w:val="Paragraphedeliste"/>
        <w:numPr>
          <w:ilvl w:val="0"/>
          <w:numId w:val="133"/>
        </w:numPr>
        <w:spacing w:before="240" w:line="240" w:lineRule="auto"/>
        <w:ind w:left="634" w:hanging="634"/>
        <w:contextualSpacing w:val="0"/>
        <w:rPr>
          <w:rFonts w:ascii="Andes" w:eastAsiaTheme="majorEastAsia" w:hAnsi="Andes"/>
          <w:b/>
          <w:color w:val="C45911"/>
          <w:sz w:val="32"/>
          <w:szCs w:val="32"/>
        </w:rPr>
      </w:pPr>
      <w:bookmarkStart w:id="3576" w:name="_Toc453171003"/>
      <w:r w:rsidRPr="00D124D9">
        <w:rPr>
          <w:rFonts w:ascii="Andes" w:eastAsiaTheme="majorEastAsia" w:hAnsi="Andes"/>
          <w:b/>
          <w:color w:val="C45911"/>
          <w:sz w:val="32"/>
          <w:szCs w:val="32"/>
        </w:rPr>
        <w:t>Plan</w:t>
      </w:r>
      <w:r>
        <w:rPr>
          <w:rFonts w:ascii="Andes" w:eastAsiaTheme="majorEastAsia" w:hAnsi="Andes"/>
          <w:b/>
          <w:color w:val="C45911"/>
          <w:sz w:val="32"/>
          <w:szCs w:val="32"/>
        </w:rPr>
        <w:t>s</w:t>
      </w:r>
      <w:r w:rsidRPr="00D124D9">
        <w:rPr>
          <w:rFonts w:ascii="Andes" w:eastAsiaTheme="majorEastAsia" w:hAnsi="Andes"/>
          <w:b/>
          <w:color w:val="C45911"/>
          <w:sz w:val="32"/>
          <w:szCs w:val="32"/>
        </w:rPr>
        <w:t xml:space="preserve"> de gestion et exé</w:t>
      </w:r>
      <w:r>
        <w:rPr>
          <w:rFonts w:ascii="Andes" w:eastAsiaTheme="majorEastAsia" w:hAnsi="Andes"/>
          <w:b/>
          <w:color w:val="C45911"/>
          <w:sz w:val="32"/>
          <w:szCs w:val="32"/>
        </w:rPr>
        <w:t>cution des</w:t>
      </w:r>
      <w:r w:rsidRPr="00D124D9">
        <w:rPr>
          <w:rFonts w:ascii="Andes" w:eastAsiaTheme="majorEastAsia" w:hAnsi="Andes"/>
          <w:b/>
          <w:color w:val="C45911"/>
          <w:sz w:val="32"/>
          <w:szCs w:val="32"/>
        </w:rPr>
        <w:t xml:space="preserve"> marché</w:t>
      </w:r>
      <w:bookmarkEnd w:id="3576"/>
      <w:r>
        <w:rPr>
          <w:rFonts w:ascii="Andes" w:eastAsiaTheme="majorEastAsia" w:hAnsi="Andes"/>
          <w:b/>
          <w:color w:val="C45911"/>
          <w:sz w:val="32"/>
          <w:szCs w:val="32"/>
        </w:rPr>
        <w:t>s et contrats</w:t>
      </w:r>
    </w:p>
    <w:p w14:paraId="4D82D8C0" w14:textId="3634E87D" w:rsidR="00017A53" w:rsidRPr="00D124D9" w:rsidRDefault="00017A53" w:rsidP="00017A53">
      <w:pPr>
        <w:pStyle w:val="Paragraphedeliste"/>
        <w:numPr>
          <w:ilvl w:val="1"/>
          <w:numId w:val="133"/>
        </w:numPr>
        <w:spacing w:before="0" w:line="240" w:lineRule="auto"/>
        <w:ind w:left="630" w:hanging="630"/>
        <w:contextualSpacing w:val="0"/>
        <w:rPr>
          <w:rFonts w:ascii="Andes" w:hAnsi="Andes" w:cs="Arial"/>
          <w:sz w:val="22"/>
          <w:szCs w:val="22"/>
        </w:rPr>
      </w:pPr>
      <w:r w:rsidRPr="00D124D9">
        <w:rPr>
          <w:rFonts w:ascii="Andes" w:hAnsi="Andes" w:cs="Arial"/>
          <w:sz w:val="22"/>
          <w:szCs w:val="22"/>
        </w:rPr>
        <w:t>Pour les marchés visé</w:t>
      </w:r>
      <w:r>
        <w:rPr>
          <w:rFonts w:ascii="Andes" w:hAnsi="Andes" w:cs="Arial"/>
          <w:sz w:val="22"/>
          <w:szCs w:val="22"/>
        </w:rPr>
        <w:t xml:space="preserve">s dans le </w:t>
      </w:r>
      <w:r w:rsidR="006634EF">
        <w:rPr>
          <w:rFonts w:ascii="Andes" w:hAnsi="Andes" w:cs="Arial"/>
          <w:sz w:val="22"/>
          <w:szCs w:val="22"/>
        </w:rPr>
        <w:t>SPMPD</w:t>
      </w:r>
      <w:r>
        <w:rPr>
          <w:rFonts w:ascii="Andes" w:hAnsi="Andes" w:cs="Arial"/>
          <w:sz w:val="22"/>
          <w:szCs w:val="22"/>
        </w:rPr>
        <w:t xml:space="preserve">, </w:t>
      </w:r>
      <w:r w:rsidR="00862CEA">
        <w:rPr>
          <w:rFonts w:ascii="Andes" w:hAnsi="Andes" w:cs="Arial"/>
          <w:sz w:val="22"/>
          <w:szCs w:val="22"/>
        </w:rPr>
        <w:t>(</w:t>
      </w:r>
      <w:r w:rsidR="00953D64">
        <w:rPr>
          <w:rFonts w:ascii="Andes" w:hAnsi="Andes" w:cs="Arial"/>
          <w:sz w:val="22"/>
          <w:szCs w:val="22"/>
        </w:rPr>
        <w:t xml:space="preserve">ou lorsque le marché de travaux est évalué </w:t>
      </w:r>
      <w:r w:rsidR="00953D64">
        <w:rPr>
          <w:rFonts w:ascii="Andes" w:hAnsi="Andes" w:cs="Arial"/>
          <w:sz w:val="22"/>
          <w:szCs w:val="22"/>
        </w:rPr>
        <w:tab/>
        <w:t xml:space="preserve"> </w:t>
      </w:r>
      <w:r w:rsidR="008A553F">
        <w:rPr>
          <w:rFonts w:ascii="Andes" w:hAnsi="Andes" w:cs="Arial"/>
          <w:sz w:val="22"/>
          <w:szCs w:val="22"/>
        </w:rPr>
        <w:t xml:space="preserve">à hauts risques d’Exploitation et d’Abus Sexuels </w:t>
      </w:r>
      <w:r w:rsidR="00E82523">
        <w:rPr>
          <w:rFonts w:ascii="Andes" w:hAnsi="Andes" w:cs="Arial"/>
          <w:sz w:val="22"/>
          <w:szCs w:val="22"/>
        </w:rPr>
        <w:t>/ Harcèlement Sexuel</w:t>
      </w:r>
      <w:r>
        <w:rPr>
          <w:rFonts w:ascii="Andes" w:hAnsi="Andes" w:cs="Arial"/>
          <w:sz w:val="22"/>
          <w:szCs w:val="22"/>
        </w:rPr>
        <w:t>les</w:t>
      </w:r>
      <w:r w:rsidR="001674D1">
        <w:rPr>
          <w:rFonts w:ascii="Andes" w:hAnsi="Andes" w:cs="Arial"/>
          <w:sz w:val="22"/>
          <w:szCs w:val="22"/>
        </w:rPr>
        <w:t>)</w:t>
      </w:r>
      <w:r w:rsidR="00E82523">
        <w:rPr>
          <w:rFonts w:ascii="Andes" w:hAnsi="Andes" w:cs="Arial"/>
          <w:sz w:val="22"/>
          <w:szCs w:val="22"/>
        </w:rPr>
        <w:t xml:space="preserve">, </w:t>
      </w:r>
      <w:r w:rsidR="00FB3111">
        <w:rPr>
          <w:rFonts w:ascii="Andes" w:hAnsi="Andes" w:cs="Arial"/>
          <w:sz w:val="22"/>
          <w:szCs w:val="22"/>
        </w:rPr>
        <w:t>les</w:t>
      </w:r>
      <w:r>
        <w:rPr>
          <w:rFonts w:ascii="Andes" w:hAnsi="Andes" w:cs="Arial"/>
          <w:sz w:val="22"/>
          <w:szCs w:val="22"/>
        </w:rPr>
        <w:t xml:space="preserve"> P</w:t>
      </w:r>
      <w:r w:rsidRPr="00D124D9">
        <w:rPr>
          <w:rFonts w:ascii="Andes" w:hAnsi="Andes" w:cs="Arial"/>
          <w:sz w:val="22"/>
          <w:szCs w:val="22"/>
        </w:rPr>
        <w:t xml:space="preserve">lans de </w:t>
      </w:r>
      <w:r w:rsidR="00FB3111">
        <w:rPr>
          <w:rFonts w:ascii="Andes" w:hAnsi="Andes" w:cs="Arial"/>
          <w:sz w:val="22"/>
          <w:szCs w:val="22"/>
        </w:rPr>
        <w:t>G</w:t>
      </w:r>
      <w:r w:rsidRPr="00D124D9">
        <w:rPr>
          <w:rFonts w:ascii="Andes" w:hAnsi="Andes" w:cs="Arial"/>
          <w:sz w:val="22"/>
          <w:szCs w:val="22"/>
        </w:rPr>
        <w:t xml:space="preserve">estion </w:t>
      </w:r>
      <w:r w:rsidR="00FB3111">
        <w:rPr>
          <w:rFonts w:ascii="Andes" w:hAnsi="Andes" w:cs="Arial"/>
          <w:sz w:val="22"/>
          <w:szCs w:val="22"/>
        </w:rPr>
        <w:t>du M</w:t>
      </w:r>
      <w:r w:rsidR="007859BB">
        <w:rPr>
          <w:rFonts w:ascii="Andes" w:hAnsi="Andes" w:cs="Arial"/>
          <w:sz w:val="22"/>
          <w:szCs w:val="22"/>
        </w:rPr>
        <w:t>a</w:t>
      </w:r>
      <w:r w:rsidR="00FB3111">
        <w:rPr>
          <w:rFonts w:ascii="Andes" w:hAnsi="Andes" w:cs="Arial"/>
          <w:sz w:val="22"/>
          <w:szCs w:val="22"/>
        </w:rPr>
        <w:t xml:space="preserve">rché </w:t>
      </w:r>
      <w:r>
        <w:rPr>
          <w:rFonts w:ascii="Andes" w:hAnsi="Andes" w:cs="Arial"/>
          <w:sz w:val="22"/>
          <w:szCs w:val="22"/>
        </w:rPr>
        <w:t xml:space="preserve">doivent, d’une manière générale, </w:t>
      </w:r>
      <w:r w:rsidRPr="00D124D9">
        <w:rPr>
          <w:rFonts w:ascii="Andes" w:hAnsi="Andes" w:cs="Arial"/>
          <w:sz w:val="22"/>
          <w:szCs w:val="22"/>
        </w:rPr>
        <w:t>cont</w:t>
      </w:r>
      <w:r>
        <w:rPr>
          <w:rFonts w:ascii="Andes" w:hAnsi="Andes" w:cs="Arial"/>
          <w:sz w:val="22"/>
          <w:szCs w:val="22"/>
        </w:rPr>
        <w:t>enir</w:t>
      </w:r>
      <w:r w:rsidRPr="00D124D9">
        <w:rPr>
          <w:rFonts w:ascii="Andes" w:hAnsi="Andes" w:cs="Arial"/>
          <w:sz w:val="22"/>
          <w:szCs w:val="22"/>
        </w:rPr>
        <w:t xml:space="preserve"> les informations détaillées ci-après : </w:t>
      </w:r>
    </w:p>
    <w:p w14:paraId="2FC21CFC" w14:textId="77777777" w:rsidR="00017A53" w:rsidRPr="00D124D9" w:rsidRDefault="00017A53" w:rsidP="00017A53">
      <w:pPr>
        <w:pStyle w:val="Paragraphedeliste"/>
        <w:numPr>
          <w:ilvl w:val="0"/>
          <w:numId w:val="22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risques potentiels relevés (retard dans l’octroi </w:t>
      </w:r>
      <w:r>
        <w:rPr>
          <w:rFonts w:ascii="Andes" w:eastAsiaTheme="minorHAnsi" w:hAnsi="Andes" w:cs="Arial"/>
          <w:color w:val="000000"/>
          <w:sz w:val="22"/>
          <w:szCs w:val="22"/>
        </w:rPr>
        <w:t>au contractant</w:t>
      </w:r>
      <w:r w:rsidRPr="00D124D9">
        <w:rPr>
          <w:rFonts w:ascii="Andes" w:eastAsiaTheme="minorHAnsi" w:hAnsi="Andes" w:cs="Arial"/>
          <w:color w:val="000000"/>
          <w:sz w:val="22"/>
          <w:szCs w:val="22"/>
        </w:rPr>
        <w:t xml:space="preserve"> du droit d’accès au site, retards de paiement et autres manquements de l’Emprunteur à ses obligations contractuelles susceptibles d’engendrer des litiges) et leur résolution ; </w:t>
      </w:r>
    </w:p>
    <w:p w14:paraId="44DEC437" w14:textId="77777777" w:rsidR="00017A53" w:rsidRPr="00D124D9" w:rsidRDefault="00017A53" w:rsidP="00017A53">
      <w:pPr>
        <w:pStyle w:val="Paragraphedeliste"/>
        <w:numPr>
          <w:ilvl w:val="0"/>
          <w:numId w:val="22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principaux contacts, rôles et attributions des parties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311A5590" w14:textId="77777777" w:rsidR="00017A53" w:rsidRPr="00D124D9" w:rsidRDefault="00017A53" w:rsidP="00017A53">
      <w:pPr>
        <w:pStyle w:val="Paragraphedeliste"/>
        <w:numPr>
          <w:ilvl w:val="0"/>
          <w:numId w:val="91"/>
        </w:numPr>
        <w:tabs>
          <w:tab w:val="left" w:pos="720"/>
        </w:tabs>
        <w:spacing w:line="240" w:lineRule="auto"/>
        <w:ind w:left="1814" w:hanging="187"/>
        <w:contextualSpacing w:val="0"/>
        <w:rPr>
          <w:rFonts w:ascii="Andes" w:hAnsi="Andes" w:cs="Arial"/>
          <w:sz w:val="22"/>
          <w:szCs w:val="22"/>
        </w:rPr>
      </w:pPr>
      <w:r w:rsidRPr="00D124D9">
        <w:rPr>
          <w:rFonts w:ascii="Andes" w:hAnsi="Andes" w:cs="Arial"/>
          <w:sz w:val="22"/>
          <w:szCs w:val="22"/>
        </w:rPr>
        <w:t>noms et coordonnées des principaux contacts de chacune des parties</w:t>
      </w:r>
      <w:r w:rsidRPr="00D124D9">
        <w:rPr>
          <w:rFonts w:ascii="Calibri" w:hAnsi="Calibri" w:cs="Arial"/>
          <w:sz w:val="22"/>
          <w:szCs w:val="22"/>
        </w:rPr>
        <w:t> </w:t>
      </w:r>
      <w:r w:rsidRPr="00D124D9">
        <w:rPr>
          <w:rFonts w:ascii="Andes" w:hAnsi="Andes" w:cs="Arial"/>
          <w:sz w:val="22"/>
          <w:szCs w:val="22"/>
        </w:rPr>
        <w:t>;</w:t>
      </w:r>
    </w:p>
    <w:p w14:paraId="5A513826" w14:textId="77777777" w:rsidR="00017A53" w:rsidRPr="00D124D9" w:rsidRDefault="00017A53" w:rsidP="00017A53">
      <w:pPr>
        <w:pStyle w:val="Paragraphedeliste"/>
        <w:numPr>
          <w:ilvl w:val="0"/>
          <w:numId w:val="91"/>
        </w:numPr>
        <w:tabs>
          <w:tab w:val="left" w:pos="720"/>
        </w:tabs>
        <w:spacing w:line="240" w:lineRule="auto"/>
        <w:ind w:left="1814" w:hanging="187"/>
        <w:contextualSpacing w:val="0"/>
        <w:rPr>
          <w:rFonts w:ascii="Andes" w:hAnsi="Andes" w:cs="Arial"/>
          <w:sz w:val="22"/>
          <w:szCs w:val="22"/>
        </w:rPr>
      </w:pPr>
      <w:r w:rsidRPr="00D124D9">
        <w:rPr>
          <w:rFonts w:ascii="Andes" w:hAnsi="Andes" w:cs="Arial"/>
          <w:sz w:val="22"/>
          <w:szCs w:val="22"/>
        </w:rPr>
        <w:t xml:space="preserve">il est important de s’assurer au préalable que chaque partie a dûment </w:t>
      </w:r>
      <w:r>
        <w:rPr>
          <w:rFonts w:ascii="Andes" w:hAnsi="Andes" w:cs="Arial"/>
          <w:sz w:val="22"/>
          <w:szCs w:val="22"/>
        </w:rPr>
        <w:t>établi</w:t>
      </w:r>
      <w:r w:rsidRPr="00D124D9">
        <w:rPr>
          <w:rFonts w:ascii="Andes" w:hAnsi="Andes" w:cs="Arial"/>
          <w:sz w:val="22"/>
          <w:szCs w:val="22"/>
        </w:rPr>
        <w:t xml:space="preserve"> dès le début du contrat les autorisations et délégations de pouvoir </w:t>
      </w:r>
      <w:r>
        <w:rPr>
          <w:rFonts w:ascii="Andes" w:hAnsi="Andes" w:cs="Arial"/>
          <w:sz w:val="22"/>
          <w:szCs w:val="22"/>
        </w:rPr>
        <w:t>nécessaires</w:t>
      </w:r>
      <w:r w:rsidRPr="00D124D9">
        <w:rPr>
          <w:rFonts w:ascii="Andes" w:hAnsi="Andes" w:cs="Arial"/>
          <w:sz w:val="22"/>
          <w:szCs w:val="22"/>
        </w:rPr>
        <w:t xml:space="preserve"> </w:t>
      </w:r>
      <w:r>
        <w:rPr>
          <w:rFonts w:ascii="Andes" w:hAnsi="Andes" w:cs="Arial"/>
          <w:sz w:val="22"/>
          <w:szCs w:val="22"/>
        </w:rPr>
        <w:t xml:space="preserve">en faveur de </w:t>
      </w:r>
      <w:r>
        <w:rPr>
          <w:rFonts w:ascii="Andes" w:hAnsi="Andes" w:cs="Arial"/>
          <w:sz w:val="22"/>
          <w:szCs w:val="22"/>
        </w:rPr>
        <w:lastRenderedPageBreak/>
        <w:t xml:space="preserve">son personnel </w:t>
      </w:r>
      <w:r w:rsidRPr="00D124D9">
        <w:rPr>
          <w:rFonts w:ascii="Andes" w:hAnsi="Andes" w:cs="Arial"/>
          <w:sz w:val="22"/>
          <w:szCs w:val="22"/>
        </w:rPr>
        <w:t>qui garantissent la validité et l’applicabilité de toutes les décisions prises en vertu dudit contrat</w:t>
      </w:r>
      <w:r w:rsidRPr="00D124D9">
        <w:rPr>
          <w:rFonts w:ascii="Calibri" w:hAnsi="Calibri" w:cs="Arial"/>
          <w:sz w:val="22"/>
          <w:szCs w:val="22"/>
        </w:rPr>
        <w:t> </w:t>
      </w:r>
      <w:r w:rsidRPr="00D124D9">
        <w:rPr>
          <w:rFonts w:ascii="Andes" w:hAnsi="Andes" w:cs="Arial"/>
          <w:sz w:val="22"/>
          <w:szCs w:val="22"/>
        </w:rPr>
        <w:t>;</w:t>
      </w:r>
    </w:p>
    <w:p w14:paraId="78E3E48A" w14:textId="77777777" w:rsidR="00017A53" w:rsidRPr="00D124D9" w:rsidRDefault="00017A53" w:rsidP="00017A53">
      <w:pPr>
        <w:pStyle w:val="Paragraphedeliste"/>
        <w:numPr>
          <w:ilvl w:val="0"/>
          <w:numId w:val="22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mécanismes de communication et d’établissement des rapports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xml:space="preserve">; </w:t>
      </w:r>
    </w:p>
    <w:p w14:paraId="59C3810F" w14:textId="77777777" w:rsidR="00017A53" w:rsidRPr="00D124D9" w:rsidRDefault="00017A53" w:rsidP="00017A53">
      <w:pPr>
        <w:pStyle w:val="Paragraphedeliste"/>
        <w:numPr>
          <w:ilvl w:val="0"/>
          <w:numId w:val="22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principales clauses du marché</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3C3B1143" w14:textId="77777777" w:rsidR="00017A53" w:rsidRPr="00D124D9" w:rsidRDefault="00017A53" w:rsidP="00017A53">
      <w:pPr>
        <w:pStyle w:val="Paragraphedeliste"/>
        <w:numPr>
          <w:ilvl w:val="0"/>
          <w:numId w:val="22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étapes du marché, notamment le chemin critique (défini pour assurer la détection rapide et la résolution des problèmes) et modalités de paiement conformes aux dispositions contractuelles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411217FF" w14:textId="02AFA855" w:rsidR="00017A53" w:rsidRPr="00D124D9" w:rsidRDefault="00017A53" w:rsidP="00017A53">
      <w:pPr>
        <w:pStyle w:val="Paragraphedeliste"/>
        <w:numPr>
          <w:ilvl w:val="0"/>
          <w:numId w:val="22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principales tâches du marché, recensées et dûment décrites, et mises à jour pour tenir compte des variations en cours d’exécution</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6E2F779D" w14:textId="77777777" w:rsidR="00017A53" w:rsidRPr="00D124D9" w:rsidRDefault="00017A53" w:rsidP="00017A53">
      <w:pPr>
        <w:pStyle w:val="Paragraphedeliste"/>
        <w:numPr>
          <w:ilvl w:val="0"/>
          <w:numId w:val="223"/>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Indicateurs de P</w:t>
      </w:r>
      <w:r w:rsidRPr="00D124D9">
        <w:rPr>
          <w:rFonts w:ascii="Andes" w:eastAsiaTheme="minorHAnsi" w:hAnsi="Andes" w:cs="Arial"/>
          <w:color w:val="000000"/>
          <w:sz w:val="22"/>
          <w:szCs w:val="22"/>
        </w:rPr>
        <w:t xml:space="preserve">erformance </w:t>
      </w:r>
      <w:r>
        <w:rPr>
          <w:rFonts w:ascii="Andes" w:eastAsiaTheme="minorHAnsi" w:hAnsi="Andes" w:cs="Arial"/>
          <w:color w:val="000000"/>
          <w:sz w:val="22"/>
          <w:szCs w:val="22"/>
        </w:rPr>
        <w:t>C</w:t>
      </w:r>
      <w:r w:rsidRPr="00D124D9">
        <w:rPr>
          <w:rFonts w:ascii="Andes" w:eastAsiaTheme="minorHAnsi" w:hAnsi="Andes" w:cs="Arial"/>
          <w:color w:val="000000"/>
          <w:sz w:val="22"/>
          <w:szCs w:val="22"/>
        </w:rPr>
        <w:t>lés et description de leur processus de mesure (au besoin)</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2E0CA40B" w14:textId="77777777" w:rsidR="00017A53" w:rsidRPr="00D124D9" w:rsidRDefault="00017A53" w:rsidP="00017A53">
      <w:pPr>
        <w:pStyle w:val="Paragraphedeliste"/>
        <w:numPr>
          <w:ilvl w:val="0"/>
          <w:numId w:val="22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mécanismes de contrôle des variations</w:t>
      </w:r>
      <w:r>
        <w:rPr>
          <w:rFonts w:ascii="Andes" w:eastAsiaTheme="minorHAnsi" w:hAnsi="Andes" w:cs="Arial"/>
          <w:color w:val="000000"/>
          <w:sz w:val="22"/>
          <w:szCs w:val="22"/>
        </w:rPr>
        <w:t>/modifications</w:t>
      </w:r>
      <w:r w:rsidRPr="00D124D9">
        <w:rPr>
          <w:rFonts w:ascii="Andes" w:eastAsiaTheme="minorHAnsi" w:hAnsi="Andes" w:cs="Arial"/>
          <w:color w:val="000000"/>
          <w:sz w:val="22"/>
          <w:szCs w:val="22"/>
        </w:rPr>
        <w:t xml:space="preserve"> du marché</w:t>
      </w:r>
      <w:r w:rsidRPr="00D124D9">
        <w:rPr>
          <w:rFonts w:ascii="Calibri" w:eastAsiaTheme="minorHAnsi" w:hAnsi="Calibri" w:cs="Arial"/>
          <w:color w:val="000000"/>
          <w:sz w:val="22"/>
          <w:szCs w:val="22"/>
        </w:rPr>
        <w:t xml:space="preserve"> ; </w:t>
      </w:r>
      <w:r w:rsidRPr="00D124D9">
        <w:rPr>
          <w:rFonts w:ascii="Andes" w:eastAsiaTheme="minorHAnsi" w:hAnsi="Andes" w:cs="Arial"/>
          <w:color w:val="000000"/>
          <w:sz w:val="22"/>
          <w:szCs w:val="22"/>
        </w:rPr>
        <w:t xml:space="preserve">et </w:t>
      </w:r>
    </w:p>
    <w:p w14:paraId="35FE03F4" w14:textId="77777777" w:rsidR="00017A53" w:rsidRPr="00D124D9" w:rsidRDefault="00017A53" w:rsidP="00017A53">
      <w:pPr>
        <w:pStyle w:val="Paragraphedeliste"/>
        <w:numPr>
          <w:ilvl w:val="0"/>
          <w:numId w:val="22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dispositions relatives à l’archivage.  </w:t>
      </w:r>
    </w:p>
    <w:p w14:paraId="6CEA65D4" w14:textId="77777777" w:rsidR="00017A53" w:rsidRPr="00D124D9" w:rsidRDefault="00017A53" w:rsidP="00017A53">
      <w:pPr>
        <w:pStyle w:val="Paragraphedeliste"/>
        <w:spacing w:before="240"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Suivi d</w:t>
      </w:r>
      <w:r>
        <w:rPr>
          <w:rFonts w:ascii="Andes" w:hAnsi="Andes" w:cs="Arial"/>
          <w:b/>
          <w:color w:val="000000" w:themeColor="text1"/>
          <w:sz w:val="28"/>
          <w:szCs w:val="28"/>
        </w:rPr>
        <w:t>es</w:t>
      </w:r>
      <w:r w:rsidRPr="00D124D9">
        <w:rPr>
          <w:rFonts w:ascii="Andes" w:hAnsi="Andes" w:cs="Arial"/>
          <w:b/>
          <w:color w:val="000000" w:themeColor="text1"/>
          <w:sz w:val="28"/>
          <w:szCs w:val="28"/>
        </w:rPr>
        <w:t xml:space="preserve"> marché</w:t>
      </w:r>
      <w:r>
        <w:rPr>
          <w:rFonts w:ascii="Andes" w:hAnsi="Andes" w:cs="Arial"/>
          <w:b/>
          <w:color w:val="000000" w:themeColor="text1"/>
          <w:sz w:val="28"/>
          <w:szCs w:val="28"/>
        </w:rPr>
        <w:t>s et contrats</w:t>
      </w:r>
    </w:p>
    <w:p w14:paraId="77516D13" w14:textId="7B946F76" w:rsidR="00017A53" w:rsidRPr="00D124D9" w:rsidRDefault="00017A53" w:rsidP="00017A53">
      <w:pPr>
        <w:pStyle w:val="Paragraphedeliste"/>
        <w:numPr>
          <w:ilvl w:val="1"/>
          <w:numId w:val="133"/>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Au cours de la phase d’exécution, l’Emprunteur se réfère au contrat et </w:t>
      </w:r>
      <w:r>
        <w:rPr>
          <w:rFonts w:ascii="Andes" w:hAnsi="Andes" w:cs="Arial"/>
          <w:sz w:val="22"/>
          <w:szCs w:val="22"/>
        </w:rPr>
        <w:t>au P</w:t>
      </w:r>
      <w:r w:rsidRPr="00D124D9">
        <w:rPr>
          <w:rFonts w:ascii="Andes" w:hAnsi="Andes" w:cs="Arial"/>
          <w:sz w:val="22"/>
          <w:szCs w:val="22"/>
        </w:rPr>
        <w:t>lan de gestion</w:t>
      </w:r>
      <w:r>
        <w:rPr>
          <w:rFonts w:ascii="Andes" w:hAnsi="Andes" w:cs="Arial"/>
          <w:sz w:val="22"/>
          <w:szCs w:val="22"/>
        </w:rPr>
        <w:t xml:space="preserve"> du marché</w:t>
      </w:r>
      <w:r w:rsidRPr="00D124D9">
        <w:rPr>
          <w:rFonts w:ascii="Andes" w:hAnsi="Andes" w:cs="Arial"/>
          <w:sz w:val="22"/>
          <w:szCs w:val="22"/>
        </w:rPr>
        <w:t xml:space="preserve"> pour s’assurer que les parties respectent les clauses </w:t>
      </w:r>
      <w:r>
        <w:rPr>
          <w:rFonts w:ascii="Andes" w:hAnsi="Andes" w:cs="Arial"/>
          <w:sz w:val="22"/>
          <w:szCs w:val="22"/>
        </w:rPr>
        <w:t>contractuelles</w:t>
      </w:r>
      <w:r w:rsidRPr="00D124D9">
        <w:rPr>
          <w:rFonts w:ascii="Andes" w:hAnsi="Andes" w:cs="Arial"/>
          <w:sz w:val="22"/>
          <w:szCs w:val="22"/>
        </w:rPr>
        <w:t xml:space="preserve">.  </w:t>
      </w:r>
    </w:p>
    <w:p w14:paraId="09D263DF" w14:textId="77777777" w:rsidR="00017A53" w:rsidRPr="00D124D9" w:rsidRDefault="00017A53" w:rsidP="00017A53">
      <w:pPr>
        <w:pStyle w:val="Paragraphedeliste"/>
        <w:numPr>
          <w:ilvl w:val="1"/>
          <w:numId w:val="133"/>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Pour véritablement optimiser l’emploi des ressources, l’Emprunteur </w:t>
      </w:r>
      <w:r>
        <w:rPr>
          <w:rFonts w:ascii="Andes" w:hAnsi="Andes" w:cs="Arial"/>
          <w:sz w:val="22"/>
          <w:szCs w:val="22"/>
        </w:rPr>
        <w:t>contrôle l’exécution du marché pour s’</w:t>
      </w:r>
      <w:r w:rsidRPr="00D124D9">
        <w:rPr>
          <w:rFonts w:ascii="Andes" w:hAnsi="Andes" w:cs="Arial"/>
          <w:sz w:val="22"/>
          <w:szCs w:val="22"/>
        </w:rPr>
        <w:t>assure</w:t>
      </w:r>
      <w:r>
        <w:rPr>
          <w:rFonts w:ascii="Andes" w:hAnsi="Andes" w:cs="Arial"/>
          <w:sz w:val="22"/>
          <w:szCs w:val="22"/>
        </w:rPr>
        <w:t xml:space="preserve">r au moins des aspects </w:t>
      </w:r>
      <w:r w:rsidRPr="00D124D9">
        <w:rPr>
          <w:rFonts w:ascii="Andes" w:hAnsi="Andes" w:cs="Arial"/>
          <w:sz w:val="22"/>
          <w:szCs w:val="22"/>
        </w:rPr>
        <w:t>suivants</w:t>
      </w:r>
      <w:r w:rsidRPr="00D124D9">
        <w:rPr>
          <w:rFonts w:ascii="Calibri" w:hAnsi="Calibri" w:cs="Arial"/>
          <w:sz w:val="22"/>
          <w:szCs w:val="22"/>
        </w:rPr>
        <w:t> </w:t>
      </w:r>
      <w:r w:rsidRPr="00D124D9">
        <w:rPr>
          <w:rFonts w:ascii="Andes" w:hAnsi="Andes" w:cs="Arial"/>
          <w:sz w:val="22"/>
          <w:szCs w:val="22"/>
        </w:rPr>
        <w:t xml:space="preserve">: </w:t>
      </w:r>
    </w:p>
    <w:p w14:paraId="674E2020" w14:textId="23CC2B37" w:rsidR="00017A53" w:rsidRPr="00D124D9" w:rsidRDefault="00017A53" w:rsidP="00017A53">
      <w:pPr>
        <w:pStyle w:val="Paragraphedeliste"/>
        <w:numPr>
          <w:ilvl w:val="0"/>
          <w:numId w:val="224"/>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risques gérés ou limités avant qu’ils ne se présentent</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3B335BB8" w14:textId="77777777" w:rsidR="00017A53" w:rsidRPr="00D124D9" w:rsidRDefault="00017A53" w:rsidP="00017A53">
      <w:pPr>
        <w:pStyle w:val="Paragraphedeliste"/>
        <w:numPr>
          <w:ilvl w:val="0"/>
          <w:numId w:val="224"/>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marché achevé à temps et dans les limites du budget</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3C52717E" w14:textId="77777777" w:rsidR="00017A53" w:rsidRPr="00D124D9" w:rsidRDefault="00017A53" w:rsidP="00017A53">
      <w:pPr>
        <w:pStyle w:val="Paragraphedeliste"/>
        <w:numPr>
          <w:ilvl w:val="0"/>
          <w:numId w:val="224"/>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variations </w:t>
      </w:r>
      <w:r>
        <w:rPr>
          <w:rFonts w:ascii="Andes" w:eastAsiaTheme="minorHAnsi" w:hAnsi="Andes" w:cs="Arial"/>
          <w:color w:val="000000"/>
          <w:sz w:val="22"/>
          <w:szCs w:val="22"/>
        </w:rPr>
        <w:t>du marché dûment motivée</w:t>
      </w:r>
      <w:r w:rsidRPr="00D124D9">
        <w:rPr>
          <w:rFonts w:ascii="Andes" w:eastAsiaTheme="minorHAnsi" w:hAnsi="Andes" w:cs="Arial"/>
          <w:color w:val="000000"/>
          <w:sz w:val="22"/>
          <w:szCs w:val="22"/>
        </w:rPr>
        <w:t>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41D8CBD6" w14:textId="77777777" w:rsidR="00017A53" w:rsidRPr="00D124D9" w:rsidRDefault="00017A53" w:rsidP="00017A53">
      <w:pPr>
        <w:pStyle w:val="Paragraphedeliste"/>
        <w:numPr>
          <w:ilvl w:val="0"/>
          <w:numId w:val="224"/>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résultat</w:t>
      </w:r>
      <w:r>
        <w:rPr>
          <w:rFonts w:ascii="Andes" w:eastAsiaTheme="minorHAnsi" w:hAnsi="Andes" w:cs="Arial"/>
          <w:color w:val="000000"/>
          <w:sz w:val="22"/>
          <w:szCs w:val="22"/>
        </w:rPr>
        <w:t>s</w:t>
      </w:r>
      <w:r w:rsidRPr="00D124D9">
        <w:rPr>
          <w:rFonts w:ascii="Andes" w:eastAsiaTheme="minorHAnsi" w:hAnsi="Andes" w:cs="Arial"/>
          <w:color w:val="000000"/>
          <w:sz w:val="22"/>
          <w:szCs w:val="22"/>
        </w:rPr>
        <w:t xml:space="preserve"> du marché conforme</w:t>
      </w:r>
      <w:r>
        <w:rPr>
          <w:rFonts w:ascii="Andes" w:eastAsiaTheme="minorHAnsi" w:hAnsi="Andes" w:cs="Arial"/>
          <w:color w:val="000000"/>
          <w:sz w:val="22"/>
          <w:szCs w:val="22"/>
        </w:rPr>
        <w:t>s</w:t>
      </w:r>
      <w:r w:rsidRPr="00D124D9">
        <w:rPr>
          <w:rFonts w:ascii="Andes" w:eastAsiaTheme="minorHAnsi" w:hAnsi="Andes" w:cs="Arial"/>
          <w:color w:val="000000"/>
          <w:sz w:val="22"/>
          <w:szCs w:val="22"/>
        </w:rPr>
        <w:t xml:space="preserve"> aux objectifs de départ</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35109B26" w14:textId="77777777" w:rsidR="00017A53" w:rsidRPr="00D124D9" w:rsidRDefault="00017A53" w:rsidP="00017A53">
      <w:pPr>
        <w:pStyle w:val="Paragraphedeliste"/>
        <w:numPr>
          <w:ilvl w:val="0"/>
          <w:numId w:val="224"/>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exigences techniques et commerciales de l’Emprunteur satisfaites ou dépassées dans les limites du budget</w:t>
      </w:r>
      <w:r w:rsidRPr="00D124D9">
        <w:rPr>
          <w:rFonts w:ascii="Calibri" w:eastAsiaTheme="minorHAnsi" w:hAnsi="Calibri" w:cs="Calibri"/>
          <w:color w:val="000000"/>
          <w:sz w:val="22"/>
          <w:szCs w:val="22"/>
        </w:rPr>
        <w:t> </w:t>
      </w:r>
      <w:r w:rsidRPr="00D124D9">
        <w:rPr>
          <w:rFonts w:ascii="Andes" w:eastAsiaTheme="minorHAnsi" w:hAnsi="Andes" w:cs="Arial"/>
          <w:color w:val="000000"/>
          <w:sz w:val="22"/>
          <w:szCs w:val="22"/>
        </w:rPr>
        <w:t xml:space="preserve">; et </w:t>
      </w:r>
    </w:p>
    <w:p w14:paraId="591CC271" w14:textId="28A1A194" w:rsidR="00017A53" w:rsidRPr="00D124D9" w:rsidRDefault="00017A53" w:rsidP="00017A53">
      <w:pPr>
        <w:pStyle w:val="Paragraphedeliste"/>
        <w:numPr>
          <w:ilvl w:val="0"/>
          <w:numId w:val="224"/>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prix final du marché comparable aux prix de référence.</w:t>
      </w:r>
    </w:p>
    <w:p w14:paraId="44FB2617" w14:textId="77777777" w:rsidR="008F0584" w:rsidRPr="00B1581D" w:rsidRDefault="008F0584" w:rsidP="000378D7">
      <w:pPr>
        <w:pStyle w:val="Paragraphedeliste"/>
        <w:numPr>
          <w:ilvl w:val="0"/>
          <w:numId w:val="224"/>
        </w:numPr>
        <w:spacing w:before="0" w:line="240" w:lineRule="auto"/>
        <w:contextualSpacing w:val="0"/>
        <w:jc w:val="left"/>
        <w:rPr>
          <w:rFonts w:ascii="Andes" w:eastAsiaTheme="minorHAnsi" w:hAnsi="Andes" w:cs="Arial"/>
          <w:color w:val="000000"/>
          <w:sz w:val="22"/>
          <w:szCs w:val="22"/>
        </w:rPr>
        <w:sectPr w:rsidR="008F0584" w:rsidRPr="00B1581D" w:rsidSect="000B5EC0">
          <w:headerReference w:type="default" r:id="rId41"/>
          <w:pgSz w:w="12240" w:h="15840"/>
          <w:pgMar w:top="1872" w:right="1440" w:bottom="1440" w:left="1411" w:header="720" w:footer="720" w:gutter="0"/>
          <w:cols w:space="720"/>
          <w:docGrid w:linePitch="360"/>
        </w:sectPr>
      </w:pPr>
    </w:p>
    <w:p w14:paraId="71F10E47" w14:textId="77777777" w:rsidR="00D66D1B" w:rsidRPr="007656EB" w:rsidRDefault="00F00D96" w:rsidP="000A5DC6">
      <w:pPr>
        <w:pStyle w:val="Titre1"/>
        <w:spacing w:before="0" w:after="0" w:line="240" w:lineRule="auto"/>
        <w:ind w:left="360"/>
        <w:jc w:val="center"/>
        <w:rPr>
          <w:rFonts w:ascii="Andes" w:hAnsi="Andes" w:cs="Arial"/>
          <w:sz w:val="32"/>
          <w:szCs w:val="32"/>
          <w:lang w:val="en-US"/>
        </w:rPr>
      </w:pPr>
      <w:bookmarkStart w:id="3577" w:name="_Toc453171004"/>
      <w:bookmarkStart w:id="3578" w:name="_Toc453544339"/>
      <w:r w:rsidRPr="004A283E">
        <w:rPr>
          <w:rFonts w:ascii="Andes" w:hAnsi="Andes" w:cs="Microsoft Sans Serif"/>
          <w:caps/>
          <w:noProof/>
          <w:color w:val="002060"/>
          <w:lang w:val="en-US"/>
        </w:rPr>
        <w:lastRenderedPageBreak/>
        <mc:AlternateContent>
          <mc:Choice Requires="wps">
            <w:drawing>
              <wp:anchor distT="0" distB="0" distL="114300" distR="114300" simplePos="0" relativeHeight="251675648" behindDoc="0" locked="0" layoutInCell="1" allowOverlap="1" wp14:anchorId="30876A93" wp14:editId="36115A06">
                <wp:simplePos x="0" y="0"/>
                <wp:positionH relativeFrom="page">
                  <wp:posOffset>-635</wp:posOffset>
                </wp:positionH>
                <wp:positionV relativeFrom="paragraph">
                  <wp:posOffset>-1190361</wp:posOffset>
                </wp:positionV>
                <wp:extent cx="8151963" cy="1466491"/>
                <wp:effectExtent l="0" t="0" r="1905" b="635"/>
                <wp:wrapNone/>
                <wp:docPr id="30" name="Rectangle 30"/>
                <wp:cNvGraphicFramePr/>
                <a:graphic xmlns:a="http://schemas.openxmlformats.org/drawingml/2006/main">
                  <a:graphicData uri="http://schemas.microsoft.com/office/word/2010/wordprocessingShape">
                    <wps:wsp>
                      <wps:cNvSpPr/>
                      <wps:spPr>
                        <a:xfrm>
                          <a:off x="0" y="0"/>
                          <a:ext cx="8151963" cy="1466491"/>
                        </a:xfrm>
                        <a:prstGeom prst="rect">
                          <a:avLst/>
                        </a:prstGeom>
                        <a:solidFill>
                          <a:srgbClr val="C45911"/>
                        </a:solidFill>
                        <a:ln w="12700" cap="flat" cmpd="sng" algn="ctr">
                          <a:noFill/>
                          <a:prstDash val="solid"/>
                          <a:miter lim="800000"/>
                        </a:ln>
                        <a:effectLst/>
                      </wps:spPr>
                      <wps:txbx>
                        <w:txbxContent>
                          <w:p w14:paraId="373A6970" w14:textId="52388B0E" w:rsidR="00A41794" w:rsidRPr="00341E34" w:rsidRDefault="00A41794" w:rsidP="00341E34">
                            <w:pPr>
                              <w:tabs>
                                <w:tab w:val="left" w:pos="3240"/>
                              </w:tabs>
                              <w:ind w:left="1170"/>
                              <w:rPr>
                                <w:rFonts w:ascii="Andes" w:hAnsi="Andes"/>
                                <w:color w:val="FFFFFF" w:themeColor="background1"/>
                                <w:sz w:val="44"/>
                                <w:szCs w:val="44"/>
                              </w:rPr>
                            </w:pPr>
                            <w:r w:rsidRPr="00B83768">
                              <w:rPr>
                                <w:rFonts w:ascii="Andes" w:hAnsi="Andes"/>
                                <w:color w:val="FFFFFF" w:themeColor="background1"/>
                                <w:sz w:val="44"/>
                                <w:szCs w:val="44"/>
                              </w:rPr>
                              <w:t xml:space="preserve">Annexe XII.  </w:t>
                            </w:r>
                            <w:r w:rsidRPr="00B83768">
                              <w:rPr>
                                <w:rFonts w:ascii="Andes" w:hAnsi="Andes"/>
                                <w:color w:val="FFFFFF" w:themeColor="background1"/>
                                <w:sz w:val="44"/>
                                <w:szCs w:val="44"/>
                              </w:rPr>
                              <w:tab/>
                              <w:t xml:space="preserve">Méthodes de sélection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76A93" id="Rectangle 30" o:spid="_x0000_s1048" style="position:absolute;left:0;text-align:left;margin-left:-.05pt;margin-top:-93.75pt;width:641.9pt;height:115.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" fillcolor="#c45911" stroked="f" strokeweight="1pt">
                <v:textbox>
                  <w:txbxContent>
                    <w:p w14:paraId="373A6970" w14:textId="52388B0E" w:rsidR="00A41794" w:rsidRPr="00341E34" w:rsidRDefault="00A41794" w:rsidP="00341E34">
                      <w:pPr>
                        <w:tabs>
                          <w:tab w:val="left" w:pos="3240"/>
                        </w:tabs>
                        <w:ind w:left="1170"/>
                        <w:rPr>
                          <w:rFonts w:ascii="Andes" w:hAnsi="Andes"/>
                          <w:color w:val="FFFFFF" w:themeColor="background1"/>
                          <w:sz w:val="44"/>
                          <w:szCs w:val="44"/>
                        </w:rPr>
                      </w:pPr>
                      <w:r w:rsidRPr="00B83768">
                        <w:rPr>
                          <w:rFonts w:ascii="Andes" w:hAnsi="Andes"/>
                          <w:color w:val="FFFFFF" w:themeColor="background1"/>
                          <w:sz w:val="44"/>
                          <w:szCs w:val="44"/>
                        </w:rPr>
                        <w:t xml:space="preserve">Annexe XII.  </w:t>
                      </w:r>
                      <w:r w:rsidRPr="00B83768">
                        <w:rPr>
                          <w:rFonts w:ascii="Andes" w:hAnsi="Andes"/>
                          <w:color w:val="FFFFFF" w:themeColor="background1"/>
                          <w:sz w:val="44"/>
                          <w:szCs w:val="44"/>
                        </w:rPr>
                        <w:tab/>
                        <w:t xml:space="preserve">Méthodes de sélection </w:t>
                      </w:r>
                    </w:p>
                  </w:txbxContent>
                </v:textbox>
                <w10:wrap anchorx="page"/>
              </v:rect>
            </w:pict>
          </mc:Fallback>
        </mc:AlternateContent>
      </w:r>
      <w:r w:rsidR="00D66D1B" w:rsidRPr="007656EB">
        <w:rPr>
          <w:rFonts w:ascii="Andes" w:hAnsi="Andes" w:cs="Arial"/>
          <w:sz w:val="32"/>
          <w:szCs w:val="32"/>
          <w:lang w:val="en-US"/>
        </w:rPr>
        <w:t>Annex XII</w:t>
      </w:r>
      <w:r w:rsidR="00687669">
        <w:rPr>
          <w:rFonts w:ascii="Andes" w:hAnsi="Andes" w:cs="Arial"/>
          <w:sz w:val="32"/>
          <w:szCs w:val="32"/>
          <w:lang w:val="en-US"/>
        </w:rPr>
        <w:t xml:space="preserve">.  </w:t>
      </w:r>
      <w:r w:rsidR="00D66D1B" w:rsidRPr="007656EB">
        <w:rPr>
          <w:rFonts w:ascii="Andes" w:hAnsi="Andes" w:cs="Arial"/>
          <w:sz w:val="32"/>
          <w:szCs w:val="32"/>
          <w:lang w:val="en-US"/>
        </w:rPr>
        <w:t>Selection Methods</w:t>
      </w:r>
      <w:bookmarkEnd w:id="3577"/>
      <w:bookmarkEnd w:id="3578"/>
    </w:p>
    <w:p w14:paraId="6E806AD9" w14:textId="34F38BD9" w:rsidR="00341E34" w:rsidRPr="00D124D9" w:rsidRDefault="00341E34" w:rsidP="00341E34">
      <w:pPr>
        <w:pStyle w:val="Paragraphedeliste"/>
        <w:numPr>
          <w:ilvl w:val="0"/>
          <w:numId w:val="225"/>
        </w:numPr>
        <w:spacing w:before="360" w:line="240" w:lineRule="auto"/>
        <w:ind w:left="634" w:hanging="634"/>
        <w:contextualSpacing w:val="0"/>
        <w:rPr>
          <w:rFonts w:ascii="Andes" w:eastAsiaTheme="majorEastAsia" w:hAnsi="Andes"/>
          <w:b/>
          <w:color w:val="C45911"/>
          <w:sz w:val="32"/>
          <w:szCs w:val="32"/>
        </w:rPr>
      </w:pPr>
      <w:bookmarkStart w:id="3579" w:name="_Toc453171005"/>
      <w:r w:rsidRPr="00D124D9">
        <w:rPr>
          <w:rFonts w:ascii="Andes" w:eastAsiaTheme="majorEastAsia" w:hAnsi="Andes"/>
          <w:b/>
          <w:color w:val="C45911"/>
          <w:sz w:val="32"/>
          <w:szCs w:val="32"/>
        </w:rPr>
        <w:t xml:space="preserve">Objet </w:t>
      </w:r>
      <w:bookmarkEnd w:id="3579"/>
    </w:p>
    <w:p w14:paraId="4F8FF55A" w14:textId="681FE5A3" w:rsidR="00341E34" w:rsidRPr="00D124D9" w:rsidRDefault="00341E34" w:rsidP="00341E34">
      <w:pPr>
        <w:pStyle w:val="Paragraphedeliste"/>
        <w:numPr>
          <w:ilvl w:val="0"/>
          <w:numId w:val="105"/>
        </w:numPr>
        <w:tabs>
          <w:tab w:val="left" w:pos="630"/>
        </w:tabs>
        <w:spacing w:before="0" w:line="240" w:lineRule="auto"/>
        <w:ind w:left="634"/>
        <w:contextualSpacing w:val="0"/>
        <w:rPr>
          <w:rFonts w:ascii="Andes" w:hAnsi="Andes" w:cs="Arial"/>
          <w:sz w:val="22"/>
          <w:szCs w:val="22"/>
        </w:rPr>
      </w:pPr>
      <w:r w:rsidRPr="00D124D9">
        <w:rPr>
          <w:rFonts w:ascii="Andes" w:hAnsi="Andes" w:cs="Arial"/>
          <w:sz w:val="22"/>
          <w:szCs w:val="22"/>
        </w:rPr>
        <w:t>La présente annexe</w:t>
      </w:r>
      <w:r>
        <w:rPr>
          <w:rFonts w:ascii="Andes" w:hAnsi="Andes" w:cs="Arial"/>
          <w:sz w:val="22"/>
          <w:szCs w:val="22"/>
        </w:rPr>
        <w:t xml:space="preserve"> décrit de façon détaillée les M</w:t>
      </w:r>
      <w:r w:rsidRPr="00D124D9">
        <w:rPr>
          <w:rFonts w:ascii="Andes" w:hAnsi="Andes" w:cs="Arial"/>
          <w:sz w:val="22"/>
          <w:szCs w:val="22"/>
        </w:rPr>
        <w:t xml:space="preserve">éthodes de </w:t>
      </w:r>
      <w:r>
        <w:rPr>
          <w:rFonts w:ascii="Andes" w:hAnsi="Andes" w:cs="Arial"/>
          <w:sz w:val="22"/>
          <w:szCs w:val="22"/>
        </w:rPr>
        <w:t>S</w:t>
      </w:r>
      <w:r w:rsidRPr="00D124D9">
        <w:rPr>
          <w:rFonts w:ascii="Andes" w:hAnsi="Andes" w:cs="Arial"/>
          <w:sz w:val="22"/>
          <w:szCs w:val="22"/>
        </w:rPr>
        <w:t>élection</w:t>
      </w:r>
      <w:r>
        <w:rPr>
          <w:rFonts w:ascii="Andes" w:hAnsi="Andes" w:cs="Arial"/>
          <w:sz w:val="22"/>
          <w:szCs w:val="22"/>
        </w:rPr>
        <w:t xml:space="preserve"> A</w:t>
      </w:r>
      <w:r w:rsidRPr="00D124D9">
        <w:rPr>
          <w:rFonts w:ascii="Andes" w:hAnsi="Andes" w:cs="Arial"/>
          <w:sz w:val="22"/>
          <w:szCs w:val="22"/>
        </w:rPr>
        <w:t xml:space="preserve">gréées et </w:t>
      </w:r>
      <w:r w:rsidR="00EC2DC9">
        <w:rPr>
          <w:rFonts w:ascii="Andes" w:hAnsi="Andes" w:cs="Arial"/>
          <w:sz w:val="22"/>
          <w:szCs w:val="22"/>
        </w:rPr>
        <w:t>l</w:t>
      </w:r>
      <w:r>
        <w:rPr>
          <w:rFonts w:ascii="Andes" w:hAnsi="Andes" w:cs="Arial"/>
          <w:sz w:val="22"/>
          <w:szCs w:val="22"/>
        </w:rPr>
        <w:t>es Types</w:t>
      </w:r>
      <w:r w:rsidRPr="00D124D9">
        <w:rPr>
          <w:rFonts w:ascii="Andes" w:hAnsi="Andes" w:cs="Arial"/>
          <w:sz w:val="22"/>
          <w:szCs w:val="22"/>
        </w:rPr>
        <w:t xml:space="preserve"> </w:t>
      </w:r>
      <w:r>
        <w:rPr>
          <w:rFonts w:ascii="Andes" w:hAnsi="Andes" w:cs="Arial"/>
          <w:sz w:val="22"/>
          <w:szCs w:val="22"/>
        </w:rPr>
        <w:t>P</w:t>
      </w:r>
      <w:r w:rsidRPr="00D124D9">
        <w:rPr>
          <w:rFonts w:ascii="Andes" w:hAnsi="Andes" w:cs="Arial"/>
          <w:sz w:val="22"/>
          <w:szCs w:val="22"/>
        </w:rPr>
        <w:t xml:space="preserve">articuliers de </w:t>
      </w:r>
      <w:r>
        <w:rPr>
          <w:rFonts w:ascii="Andes" w:hAnsi="Andes" w:cs="Arial"/>
          <w:sz w:val="22"/>
          <w:szCs w:val="22"/>
        </w:rPr>
        <w:t>Modalités de S</w:t>
      </w:r>
      <w:r w:rsidRPr="00D124D9">
        <w:rPr>
          <w:rFonts w:ascii="Andes" w:hAnsi="Andes" w:cs="Arial"/>
          <w:sz w:val="22"/>
          <w:szCs w:val="22"/>
        </w:rPr>
        <w:t xml:space="preserve">élection </w:t>
      </w:r>
      <w:r>
        <w:rPr>
          <w:rFonts w:ascii="Andes" w:hAnsi="Andes" w:cs="Arial"/>
          <w:sz w:val="22"/>
          <w:szCs w:val="22"/>
        </w:rPr>
        <w:t>A</w:t>
      </w:r>
      <w:r w:rsidRPr="00D124D9">
        <w:rPr>
          <w:rFonts w:ascii="Andes" w:hAnsi="Andes" w:cs="Arial"/>
          <w:sz w:val="22"/>
          <w:szCs w:val="22"/>
        </w:rPr>
        <w:t>gréé</w:t>
      </w:r>
      <w:r>
        <w:rPr>
          <w:rFonts w:ascii="Andes" w:hAnsi="Andes" w:cs="Arial"/>
          <w:sz w:val="22"/>
          <w:szCs w:val="22"/>
        </w:rPr>
        <w:t>e</w:t>
      </w:r>
      <w:r w:rsidRPr="00D124D9">
        <w:rPr>
          <w:rFonts w:ascii="Andes" w:hAnsi="Andes" w:cs="Arial"/>
          <w:sz w:val="22"/>
          <w:szCs w:val="22"/>
        </w:rPr>
        <w:t xml:space="preserve">s.  </w:t>
      </w:r>
    </w:p>
    <w:p w14:paraId="60C45489" w14:textId="2AB989BD" w:rsidR="00341E34" w:rsidRPr="00D124D9" w:rsidRDefault="00EC2DC9" w:rsidP="00341E34">
      <w:pPr>
        <w:pStyle w:val="Paragraphedeliste"/>
        <w:numPr>
          <w:ilvl w:val="0"/>
          <w:numId w:val="225"/>
        </w:numPr>
        <w:spacing w:before="240" w:line="240" w:lineRule="auto"/>
        <w:ind w:left="634" w:hanging="634"/>
        <w:contextualSpacing w:val="0"/>
        <w:rPr>
          <w:rFonts w:ascii="Andes" w:eastAsiaTheme="majorEastAsia" w:hAnsi="Andes"/>
          <w:b/>
          <w:color w:val="C45911"/>
          <w:sz w:val="32"/>
          <w:szCs w:val="32"/>
        </w:rPr>
      </w:pPr>
      <w:r>
        <w:rPr>
          <w:rFonts w:ascii="Andes" w:eastAsiaTheme="majorEastAsia" w:hAnsi="Andes"/>
          <w:b/>
          <w:color w:val="C45911"/>
          <w:sz w:val="32"/>
          <w:szCs w:val="32"/>
        </w:rPr>
        <w:t xml:space="preserve">Exigences </w:t>
      </w:r>
    </w:p>
    <w:p w14:paraId="66EBF99D" w14:textId="77777777" w:rsidR="00341E34" w:rsidRPr="00D124D9" w:rsidRDefault="00341E34" w:rsidP="00341E34">
      <w:pPr>
        <w:pStyle w:val="Paragraphedeliste"/>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Pour chaque marché passé, l’Emprunteur reti</w:t>
      </w:r>
      <w:r>
        <w:rPr>
          <w:rFonts w:ascii="Andes" w:hAnsi="Andes" w:cs="Arial"/>
          <w:sz w:val="22"/>
          <w:szCs w:val="22"/>
        </w:rPr>
        <w:t>ent, parmi les M</w:t>
      </w:r>
      <w:r w:rsidRPr="00D124D9">
        <w:rPr>
          <w:rFonts w:ascii="Andes" w:hAnsi="Andes" w:cs="Arial"/>
          <w:sz w:val="22"/>
          <w:szCs w:val="22"/>
        </w:rPr>
        <w:t>éthode</w:t>
      </w:r>
      <w:r>
        <w:rPr>
          <w:rFonts w:ascii="Andes" w:hAnsi="Andes" w:cs="Arial"/>
          <w:sz w:val="22"/>
          <w:szCs w:val="22"/>
        </w:rPr>
        <w:t>s de S</w:t>
      </w:r>
      <w:r w:rsidRPr="00D124D9">
        <w:rPr>
          <w:rFonts w:ascii="Andes" w:hAnsi="Andes" w:cs="Arial"/>
          <w:sz w:val="22"/>
          <w:szCs w:val="22"/>
        </w:rPr>
        <w:t>é</w:t>
      </w:r>
      <w:r>
        <w:rPr>
          <w:rFonts w:ascii="Andes" w:hAnsi="Andes" w:cs="Arial"/>
          <w:sz w:val="22"/>
          <w:szCs w:val="22"/>
        </w:rPr>
        <w:t>lection A</w:t>
      </w:r>
      <w:r w:rsidRPr="00D124D9">
        <w:rPr>
          <w:rFonts w:ascii="Andes" w:hAnsi="Andes" w:cs="Arial"/>
          <w:sz w:val="22"/>
          <w:szCs w:val="22"/>
        </w:rPr>
        <w:t>gréées, celle qui répond le mieux aux exigences et lui permet d’optimiser l’emploi des ressources. Les Sections VI et VII d</w:t>
      </w:r>
      <w:r>
        <w:rPr>
          <w:rFonts w:ascii="Andes" w:hAnsi="Andes" w:cs="Arial"/>
          <w:sz w:val="22"/>
          <w:szCs w:val="22"/>
        </w:rPr>
        <w:t>u présent</w:t>
      </w:r>
      <w:r w:rsidRPr="00D124D9">
        <w:rPr>
          <w:rFonts w:ascii="Andes" w:hAnsi="Andes" w:cs="Arial"/>
          <w:sz w:val="22"/>
          <w:szCs w:val="22"/>
        </w:rPr>
        <w:t xml:space="preserve"> r</w:t>
      </w:r>
      <w:r>
        <w:rPr>
          <w:rFonts w:ascii="Andes" w:hAnsi="Andes" w:cs="Arial"/>
          <w:sz w:val="22"/>
          <w:szCs w:val="22"/>
        </w:rPr>
        <w:t>èglement</w:t>
      </w:r>
      <w:r w:rsidRPr="00D124D9">
        <w:rPr>
          <w:rFonts w:ascii="Andes" w:hAnsi="Andes" w:cs="Arial"/>
          <w:sz w:val="22"/>
          <w:szCs w:val="22"/>
        </w:rPr>
        <w:t xml:space="preserve"> définissent les conditions et le</w:t>
      </w:r>
      <w:r>
        <w:rPr>
          <w:rFonts w:ascii="Andes" w:hAnsi="Andes" w:cs="Arial"/>
          <w:sz w:val="22"/>
          <w:szCs w:val="22"/>
        </w:rPr>
        <w:t>s</w:t>
      </w:r>
      <w:r w:rsidRPr="00D124D9">
        <w:rPr>
          <w:rFonts w:ascii="Andes" w:hAnsi="Andes" w:cs="Arial"/>
          <w:sz w:val="22"/>
          <w:szCs w:val="22"/>
        </w:rPr>
        <w:t xml:space="preserve"> c</w:t>
      </w:r>
      <w:r>
        <w:rPr>
          <w:rFonts w:ascii="Andes" w:hAnsi="Andes" w:cs="Arial"/>
          <w:sz w:val="22"/>
          <w:szCs w:val="22"/>
        </w:rPr>
        <w:t xml:space="preserve">irconstances de </w:t>
      </w:r>
      <w:r w:rsidRPr="00D124D9">
        <w:rPr>
          <w:rFonts w:ascii="Andes" w:hAnsi="Andes" w:cs="Arial"/>
          <w:sz w:val="22"/>
          <w:szCs w:val="22"/>
        </w:rPr>
        <w:t xml:space="preserve">l’emploi de ces Méthodes de sélection agréées, </w:t>
      </w:r>
      <w:r>
        <w:rPr>
          <w:rFonts w:ascii="Andes" w:hAnsi="Andes" w:cs="Arial"/>
          <w:sz w:val="22"/>
          <w:szCs w:val="22"/>
        </w:rPr>
        <w:t>Types Particuliers de Modalités de Sélection Agréées et Modes de Recherche de Fournisseurs</w:t>
      </w:r>
      <w:r w:rsidRPr="00D124D9">
        <w:rPr>
          <w:rFonts w:ascii="Andes" w:hAnsi="Andes" w:cs="Arial"/>
          <w:sz w:val="22"/>
          <w:szCs w:val="22"/>
        </w:rPr>
        <w:t>.</w:t>
      </w:r>
    </w:p>
    <w:p w14:paraId="05D3E0D1" w14:textId="77777777" w:rsidR="00341E34" w:rsidRPr="00D124D9" w:rsidRDefault="00341E34" w:rsidP="00341E34">
      <w:pPr>
        <w:pStyle w:val="Paragraphedeliste"/>
        <w:numPr>
          <w:ilvl w:val="0"/>
          <w:numId w:val="225"/>
        </w:numPr>
        <w:spacing w:before="240" w:line="240" w:lineRule="auto"/>
        <w:ind w:left="634" w:hanging="634"/>
        <w:contextualSpacing w:val="0"/>
        <w:rPr>
          <w:rFonts w:ascii="Andes" w:eastAsiaTheme="majorEastAsia" w:hAnsi="Andes"/>
          <w:b/>
          <w:color w:val="C45911"/>
          <w:sz w:val="32"/>
          <w:szCs w:val="32"/>
        </w:rPr>
      </w:pPr>
      <w:bookmarkStart w:id="3580" w:name="_Toc453171007"/>
      <w:r>
        <w:rPr>
          <w:rFonts w:ascii="Andes" w:eastAsiaTheme="majorEastAsia" w:hAnsi="Andes"/>
          <w:b/>
          <w:color w:val="C45911"/>
          <w:sz w:val="32"/>
          <w:szCs w:val="32"/>
        </w:rPr>
        <w:t>Fournitures, Travaux et Services Autres que des Services de C</w:t>
      </w:r>
      <w:r w:rsidRPr="00D124D9">
        <w:rPr>
          <w:rFonts w:ascii="Andes" w:eastAsiaTheme="majorEastAsia" w:hAnsi="Andes"/>
          <w:b/>
          <w:color w:val="C45911"/>
          <w:sz w:val="32"/>
          <w:szCs w:val="32"/>
        </w:rPr>
        <w:t>onsultants</w:t>
      </w:r>
      <w:bookmarkEnd w:id="3580"/>
    </w:p>
    <w:p w14:paraId="2C64712B" w14:textId="77777777" w:rsidR="00341E34" w:rsidRPr="00D124D9" w:rsidRDefault="00341E34" w:rsidP="00341E34">
      <w:pPr>
        <w:pStyle w:val="Paragraphedeliste"/>
        <w:spacing w:before="240"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 xml:space="preserve">Procédures relatives </w:t>
      </w:r>
      <w:r>
        <w:rPr>
          <w:rFonts w:ascii="Andes" w:hAnsi="Andes" w:cs="Arial"/>
          <w:b/>
          <w:color w:val="000000" w:themeColor="text1"/>
          <w:sz w:val="28"/>
          <w:szCs w:val="28"/>
        </w:rPr>
        <w:t>aux</w:t>
      </w:r>
      <w:r w:rsidRPr="00D124D9">
        <w:rPr>
          <w:rFonts w:ascii="Andes" w:hAnsi="Andes" w:cs="Arial"/>
          <w:b/>
          <w:color w:val="000000" w:themeColor="text1"/>
          <w:sz w:val="28"/>
          <w:szCs w:val="28"/>
        </w:rPr>
        <w:t xml:space="preserve"> méthode</w:t>
      </w:r>
      <w:r>
        <w:rPr>
          <w:rFonts w:ascii="Andes" w:hAnsi="Andes" w:cs="Arial"/>
          <w:b/>
          <w:color w:val="000000" w:themeColor="text1"/>
          <w:sz w:val="28"/>
          <w:szCs w:val="28"/>
        </w:rPr>
        <w:t>s</w:t>
      </w:r>
      <w:r w:rsidRPr="00D124D9">
        <w:rPr>
          <w:rFonts w:ascii="Andes" w:hAnsi="Andes" w:cs="Arial"/>
          <w:b/>
          <w:color w:val="000000" w:themeColor="text1"/>
          <w:sz w:val="28"/>
          <w:szCs w:val="28"/>
        </w:rPr>
        <w:t xml:space="preserve"> de sélection applicable</w:t>
      </w:r>
      <w:r>
        <w:rPr>
          <w:rFonts w:ascii="Andes" w:hAnsi="Andes" w:cs="Arial"/>
          <w:b/>
          <w:color w:val="000000" w:themeColor="text1"/>
          <w:sz w:val="28"/>
          <w:szCs w:val="28"/>
        </w:rPr>
        <w:t>s</w:t>
      </w:r>
      <w:r w:rsidRPr="00D124D9">
        <w:rPr>
          <w:rFonts w:ascii="Andes" w:hAnsi="Andes" w:cs="Arial"/>
          <w:b/>
          <w:color w:val="000000" w:themeColor="text1"/>
          <w:sz w:val="28"/>
          <w:szCs w:val="28"/>
        </w:rPr>
        <w:t xml:space="preserve"> à un appel à propositions</w:t>
      </w:r>
    </w:p>
    <w:p w14:paraId="24563DCA" w14:textId="77777777" w:rsidR="00341E34" w:rsidRPr="00D124D9" w:rsidRDefault="00341E34" w:rsidP="00341E34">
      <w:pPr>
        <w:pStyle w:val="Paragraphedeliste"/>
        <w:spacing w:line="240" w:lineRule="auto"/>
        <w:contextualSpacing w:val="0"/>
        <w:rPr>
          <w:rFonts w:ascii="Andes" w:hAnsi="Andes" w:cs="Arial"/>
          <w:b/>
          <w:sz w:val="28"/>
          <w:szCs w:val="28"/>
        </w:rPr>
      </w:pPr>
      <w:r w:rsidRPr="00D124D9">
        <w:rPr>
          <w:rFonts w:ascii="Andes" w:hAnsi="Andes" w:cs="Arial"/>
          <w:b/>
          <w:sz w:val="28"/>
          <w:szCs w:val="28"/>
        </w:rPr>
        <w:t>Sélection</w:t>
      </w:r>
      <w:r>
        <w:rPr>
          <w:rFonts w:ascii="Andes" w:hAnsi="Andes" w:cs="Arial"/>
          <w:b/>
          <w:sz w:val="28"/>
          <w:szCs w:val="28"/>
        </w:rPr>
        <w:t xml:space="preserve"> Initiale</w:t>
      </w:r>
    </w:p>
    <w:p w14:paraId="1B8D2695" w14:textId="2BCF0576" w:rsidR="00341E34" w:rsidRPr="00D124D9" w:rsidRDefault="00341E34" w:rsidP="00341E34">
      <w:pPr>
        <w:pStyle w:val="Paragraphedeliste"/>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On aura généralement recours à la </w:t>
      </w:r>
      <w:r>
        <w:rPr>
          <w:rFonts w:ascii="Andes" w:hAnsi="Andes" w:cs="Arial"/>
          <w:sz w:val="22"/>
          <w:szCs w:val="22"/>
        </w:rPr>
        <w:t>S</w:t>
      </w:r>
      <w:r w:rsidRPr="00D124D9">
        <w:rPr>
          <w:rFonts w:ascii="Andes" w:hAnsi="Andes" w:cs="Arial"/>
          <w:sz w:val="22"/>
          <w:szCs w:val="22"/>
        </w:rPr>
        <w:t>élection</w:t>
      </w:r>
      <w:r>
        <w:rPr>
          <w:rFonts w:ascii="Andes" w:hAnsi="Andes" w:cs="Arial"/>
          <w:sz w:val="22"/>
          <w:szCs w:val="22"/>
        </w:rPr>
        <w:t xml:space="preserve"> Initiale</w:t>
      </w:r>
      <w:r w:rsidRPr="00D124D9">
        <w:rPr>
          <w:rFonts w:ascii="Andes" w:hAnsi="Andes" w:cs="Arial"/>
          <w:sz w:val="22"/>
          <w:szCs w:val="22"/>
        </w:rPr>
        <w:t xml:space="preserve"> pour un appel à propositions </w:t>
      </w:r>
      <w:r>
        <w:rPr>
          <w:rFonts w:ascii="Andes" w:hAnsi="Andes" w:cs="Arial"/>
          <w:sz w:val="22"/>
          <w:szCs w:val="22"/>
        </w:rPr>
        <w:t>(AP) en vue de</w:t>
      </w:r>
      <w:r w:rsidRPr="00D124D9">
        <w:rPr>
          <w:rFonts w:ascii="Andes" w:hAnsi="Andes" w:cs="Arial"/>
          <w:sz w:val="22"/>
          <w:szCs w:val="22"/>
        </w:rPr>
        <w:t xml:space="preserve"> </w:t>
      </w:r>
      <w:r>
        <w:rPr>
          <w:rFonts w:ascii="Andes" w:hAnsi="Andes" w:cs="Arial"/>
          <w:sz w:val="22"/>
          <w:szCs w:val="22"/>
        </w:rPr>
        <w:t>la livraison de</w:t>
      </w:r>
      <w:r w:rsidRPr="00D124D9">
        <w:rPr>
          <w:rFonts w:ascii="Andes" w:hAnsi="Andes" w:cs="Arial"/>
          <w:sz w:val="22"/>
          <w:szCs w:val="22"/>
        </w:rPr>
        <w:t xml:space="preserve"> Fournitures, </w:t>
      </w:r>
      <w:r>
        <w:rPr>
          <w:rFonts w:ascii="Andes" w:hAnsi="Andes" w:cs="Arial"/>
          <w:sz w:val="22"/>
          <w:szCs w:val="22"/>
        </w:rPr>
        <w:t xml:space="preserve">l’exécution </w:t>
      </w:r>
      <w:r w:rsidRPr="00D124D9">
        <w:rPr>
          <w:rFonts w:ascii="Andes" w:hAnsi="Andes" w:cs="Arial"/>
          <w:sz w:val="22"/>
          <w:szCs w:val="22"/>
        </w:rPr>
        <w:t xml:space="preserve">de Travaux ou </w:t>
      </w:r>
      <w:r>
        <w:rPr>
          <w:rFonts w:ascii="Andes" w:hAnsi="Andes" w:cs="Arial"/>
          <w:sz w:val="22"/>
          <w:szCs w:val="22"/>
        </w:rPr>
        <w:t xml:space="preserve">la prestation </w:t>
      </w:r>
      <w:r w:rsidRPr="00D124D9">
        <w:rPr>
          <w:rFonts w:ascii="Andes" w:hAnsi="Andes" w:cs="Arial"/>
          <w:sz w:val="22"/>
          <w:szCs w:val="22"/>
        </w:rPr>
        <w:t>de S</w:t>
      </w:r>
      <w:r>
        <w:rPr>
          <w:rFonts w:ascii="Andes" w:hAnsi="Andes" w:cs="Arial"/>
          <w:sz w:val="22"/>
          <w:szCs w:val="22"/>
        </w:rPr>
        <w:t>ervices Autres que des Services de C</w:t>
      </w:r>
      <w:r w:rsidRPr="00D124D9">
        <w:rPr>
          <w:rFonts w:ascii="Andes" w:hAnsi="Andes" w:cs="Arial"/>
          <w:sz w:val="22"/>
          <w:szCs w:val="22"/>
        </w:rPr>
        <w:t>onsultants. Elle est le point de départ des trois modèles d’appel à propositions applicables à ces prestations</w:t>
      </w:r>
      <w:r>
        <w:rPr>
          <w:rFonts w:ascii="Andes" w:hAnsi="Andes" w:cs="Arial"/>
          <w:sz w:val="22"/>
          <w:szCs w:val="22"/>
        </w:rPr>
        <w:t>. Le processus de Sélection Initiale</w:t>
      </w:r>
      <w:r w:rsidRPr="00D124D9">
        <w:rPr>
          <w:rFonts w:ascii="Andes" w:hAnsi="Andes" w:cs="Arial"/>
          <w:sz w:val="22"/>
          <w:szCs w:val="22"/>
        </w:rPr>
        <w:t xml:space="preserve"> </w:t>
      </w:r>
      <w:r>
        <w:rPr>
          <w:rFonts w:ascii="Andes" w:hAnsi="Andes" w:cs="Arial"/>
          <w:sz w:val="22"/>
          <w:szCs w:val="22"/>
        </w:rPr>
        <w:t xml:space="preserve">pour un AP </w:t>
      </w:r>
      <w:r w:rsidRPr="00D124D9">
        <w:rPr>
          <w:rFonts w:ascii="Andes" w:hAnsi="Andes" w:cs="Arial"/>
          <w:sz w:val="22"/>
          <w:szCs w:val="22"/>
        </w:rPr>
        <w:t>se déroule suivant les étapes décrites ci-après :</w:t>
      </w:r>
    </w:p>
    <w:p w14:paraId="110DDE73" w14:textId="1CED1B9B" w:rsidR="00341E34" w:rsidRPr="00D124D9" w:rsidRDefault="00341E34" w:rsidP="00341E34">
      <w:pPr>
        <w:pStyle w:val="Paragraphedeliste"/>
        <w:numPr>
          <w:ilvl w:val="0"/>
          <w:numId w:val="226"/>
        </w:numPr>
        <w:spacing w:before="0" w:line="240" w:lineRule="auto"/>
        <w:ind w:left="1354"/>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 xml:space="preserve">Dossier de </w:t>
      </w:r>
      <w:r>
        <w:rPr>
          <w:rFonts w:ascii="Andes" w:eastAsiaTheme="minorHAnsi" w:hAnsi="Andes" w:cs="Arial"/>
          <w:b/>
          <w:color w:val="000000"/>
          <w:sz w:val="22"/>
          <w:szCs w:val="22"/>
        </w:rPr>
        <w:t>Sélection Initiale</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 xml:space="preserve">: </w:t>
      </w:r>
      <w:r w:rsidRPr="00D124D9">
        <w:rPr>
          <w:rFonts w:ascii="Andes" w:eastAsiaTheme="minorHAnsi" w:hAnsi="Andes" w:cs="Arial"/>
          <w:color w:val="000000"/>
          <w:sz w:val="22"/>
          <w:szCs w:val="22"/>
        </w:rPr>
        <w:t>pr</w:t>
      </w:r>
      <w:r>
        <w:rPr>
          <w:rFonts w:ascii="Andes" w:eastAsiaTheme="minorHAnsi" w:hAnsi="Andes" w:cs="Arial"/>
          <w:color w:val="000000"/>
          <w:sz w:val="22"/>
          <w:szCs w:val="22"/>
        </w:rPr>
        <w:t xml:space="preserve">éparer le dossier de </w:t>
      </w:r>
      <w:r w:rsidR="008411B0">
        <w:rPr>
          <w:rFonts w:ascii="Andes" w:eastAsiaTheme="minorHAnsi" w:hAnsi="Andes" w:cs="Arial"/>
          <w:color w:val="000000"/>
          <w:sz w:val="22"/>
          <w:szCs w:val="22"/>
        </w:rPr>
        <w:t>S</w:t>
      </w:r>
      <w:r>
        <w:rPr>
          <w:rFonts w:ascii="Andes" w:eastAsiaTheme="minorHAnsi" w:hAnsi="Andes" w:cs="Arial"/>
          <w:color w:val="000000"/>
          <w:sz w:val="22"/>
          <w:szCs w:val="22"/>
        </w:rPr>
        <w:t xml:space="preserve">élection </w:t>
      </w:r>
      <w:r w:rsidR="008411B0">
        <w:rPr>
          <w:rFonts w:ascii="Andes" w:eastAsiaTheme="minorHAnsi" w:hAnsi="Andes" w:cs="Arial"/>
          <w:color w:val="000000"/>
          <w:sz w:val="22"/>
          <w:szCs w:val="22"/>
        </w:rPr>
        <w:t>I</w:t>
      </w:r>
      <w:r>
        <w:rPr>
          <w:rFonts w:ascii="Andes" w:eastAsiaTheme="minorHAnsi" w:hAnsi="Andes" w:cs="Arial"/>
          <w:color w:val="000000"/>
          <w:sz w:val="22"/>
          <w:szCs w:val="22"/>
        </w:rPr>
        <w:t>nitiale</w:t>
      </w:r>
      <w:r w:rsidRPr="00D124D9">
        <w:rPr>
          <w:rFonts w:ascii="Andes" w:eastAsiaTheme="minorHAnsi" w:hAnsi="Andes" w:cs="Arial"/>
          <w:color w:val="000000"/>
          <w:sz w:val="22"/>
          <w:szCs w:val="22"/>
        </w:rPr>
        <w:t xml:space="preserve"> en se servant du </w:t>
      </w:r>
      <w:r>
        <w:rPr>
          <w:rFonts w:ascii="Andes" w:eastAsiaTheme="minorHAnsi" w:hAnsi="Andes" w:cs="Arial"/>
          <w:color w:val="000000"/>
          <w:sz w:val="22"/>
          <w:szCs w:val="22"/>
        </w:rPr>
        <w:t>Dossier T</w:t>
      </w:r>
      <w:r w:rsidRPr="00D124D9">
        <w:rPr>
          <w:rFonts w:ascii="Andes" w:eastAsiaTheme="minorHAnsi" w:hAnsi="Andes" w:cs="Arial"/>
          <w:color w:val="000000"/>
          <w:sz w:val="22"/>
          <w:szCs w:val="22"/>
        </w:rPr>
        <w:t xml:space="preserve">ype </w:t>
      </w:r>
      <w:r>
        <w:rPr>
          <w:rFonts w:ascii="Andes" w:eastAsiaTheme="minorHAnsi" w:hAnsi="Andes" w:cs="Arial"/>
          <w:color w:val="000000"/>
          <w:sz w:val="22"/>
          <w:szCs w:val="22"/>
        </w:rPr>
        <w:t xml:space="preserve">de Sélection Initiale </w:t>
      </w:r>
      <w:r w:rsidRPr="00D124D9">
        <w:rPr>
          <w:rFonts w:ascii="Andes" w:eastAsiaTheme="minorHAnsi" w:hAnsi="Andes" w:cs="Arial"/>
          <w:color w:val="000000"/>
          <w:sz w:val="22"/>
          <w:szCs w:val="22"/>
        </w:rPr>
        <w:t>de la Banque</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5C1B9DB8" w14:textId="77777777" w:rsidR="00341E34" w:rsidRPr="00D124D9" w:rsidRDefault="00341E34" w:rsidP="00341E34">
      <w:pPr>
        <w:pStyle w:val="Paragraphedeliste"/>
        <w:numPr>
          <w:ilvl w:val="0"/>
          <w:numId w:val="226"/>
        </w:numPr>
        <w:spacing w:before="0" w:line="240" w:lineRule="auto"/>
        <w:ind w:left="1354"/>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Avis particulier de passation de marché (APPM)</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 xml:space="preserve">: </w:t>
      </w:r>
      <w:r w:rsidRPr="00D124D9">
        <w:rPr>
          <w:rFonts w:ascii="Andes" w:eastAsiaTheme="minorHAnsi" w:hAnsi="Andes" w:cs="Arial"/>
          <w:color w:val="000000"/>
          <w:sz w:val="22"/>
          <w:szCs w:val="22"/>
        </w:rPr>
        <w:t>préparer l’APPM</w:t>
      </w:r>
      <w:r>
        <w:rPr>
          <w:rFonts w:ascii="Andes" w:eastAsiaTheme="minorHAnsi" w:hAnsi="Andes" w:cs="Arial"/>
          <w:color w:val="000000"/>
          <w:sz w:val="22"/>
          <w:szCs w:val="22"/>
        </w:rPr>
        <w:t xml:space="preserve"> invitant à concourir pour une Sélection Initiale</w:t>
      </w:r>
      <w:r w:rsidRPr="00D124D9">
        <w:rPr>
          <w:rFonts w:ascii="Andes" w:eastAsiaTheme="minorHAnsi" w:hAnsi="Andes" w:cs="Arial"/>
          <w:color w:val="000000"/>
          <w:sz w:val="22"/>
          <w:szCs w:val="22"/>
        </w:rPr>
        <w:t>, en se servant du modèle d’avis pertinent agréé par la Banque. Lorsque le do</w:t>
      </w:r>
      <w:r>
        <w:rPr>
          <w:rFonts w:ascii="Andes" w:eastAsiaTheme="minorHAnsi" w:hAnsi="Andes" w:cs="Arial"/>
          <w:color w:val="000000"/>
          <w:sz w:val="22"/>
          <w:szCs w:val="22"/>
        </w:rPr>
        <w:t>ssier de sélection initiale</w:t>
      </w:r>
      <w:r w:rsidRPr="00D124D9">
        <w:rPr>
          <w:rFonts w:ascii="Andes" w:eastAsiaTheme="minorHAnsi" w:hAnsi="Andes" w:cs="Arial"/>
          <w:color w:val="000000"/>
          <w:sz w:val="22"/>
          <w:szCs w:val="22"/>
        </w:rPr>
        <w:t xml:space="preserve"> est prêt pour la di</w:t>
      </w:r>
      <w:r>
        <w:rPr>
          <w:rFonts w:ascii="Andes" w:eastAsiaTheme="minorHAnsi" w:hAnsi="Andes" w:cs="Arial"/>
          <w:color w:val="000000"/>
          <w:sz w:val="22"/>
          <w:szCs w:val="22"/>
        </w:rPr>
        <w:t>ffusion</w:t>
      </w:r>
      <w:r w:rsidRPr="00D124D9">
        <w:rPr>
          <w:rFonts w:ascii="Andes" w:eastAsiaTheme="minorHAnsi" w:hAnsi="Andes" w:cs="Arial"/>
          <w:color w:val="000000"/>
          <w:sz w:val="22"/>
          <w:szCs w:val="22"/>
        </w:rPr>
        <w:t xml:space="preserve">, publier l’APPM conformément aux paragraphes 5.23 et 5.24 </w:t>
      </w:r>
      <w:r w:rsidRPr="00F638E5">
        <w:rPr>
          <w:rFonts w:ascii="Andes" w:eastAsiaTheme="minorHAnsi" w:hAnsi="Andes" w:cs="Arial"/>
          <w:color w:val="000000"/>
          <w:sz w:val="22"/>
          <w:szCs w:val="22"/>
        </w:rPr>
        <w:t>(Avis de passation de marchés), en donnant aux cand</w:t>
      </w:r>
      <w:r w:rsidRPr="00D124D9">
        <w:rPr>
          <w:rFonts w:ascii="Andes" w:eastAsiaTheme="minorHAnsi" w:hAnsi="Andes" w:cs="Arial"/>
          <w:color w:val="000000"/>
          <w:sz w:val="22"/>
          <w:szCs w:val="22"/>
        </w:rPr>
        <w:t xml:space="preserve">idats suffisamment de temps </w:t>
      </w:r>
      <w:r>
        <w:rPr>
          <w:rFonts w:ascii="Andes" w:eastAsiaTheme="minorHAnsi" w:hAnsi="Andes" w:cs="Arial"/>
          <w:color w:val="000000"/>
          <w:sz w:val="22"/>
          <w:szCs w:val="22"/>
        </w:rPr>
        <w:t>pour se procurer le dossier de s</w:t>
      </w:r>
      <w:r w:rsidRPr="00D124D9">
        <w:rPr>
          <w:rFonts w:ascii="Andes" w:eastAsiaTheme="minorHAnsi" w:hAnsi="Andes" w:cs="Arial"/>
          <w:color w:val="000000"/>
          <w:sz w:val="22"/>
          <w:szCs w:val="22"/>
        </w:rPr>
        <w:t xml:space="preserve">élection </w:t>
      </w:r>
      <w:r>
        <w:rPr>
          <w:rFonts w:ascii="Andes" w:eastAsiaTheme="minorHAnsi" w:hAnsi="Andes" w:cs="Arial"/>
          <w:color w:val="000000"/>
          <w:sz w:val="22"/>
          <w:szCs w:val="22"/>
        </w:rPr>
        <w:t>initiale</w:t>
      </w:r>
      <w:r w:rsidRPr="00D124D9">
        <w:rPr>
          <w:rFonts w:ascii="Andes" w:eastAsiaTheme="minorHAnsi" w:hAnsi="Andes" w:cs="Arial"/>
          <w:color w:val="000000"/>
          <w:sz w:val="22"/>
          <w:szCs w:val="22"/>
        </w:rPr>
        <w:t>, préparer et soumettre leurs candidatures</w:t>
      </w:r>
      <w:r w:rsidRPr="00D124D9">
        <w:rPr>
          <w:rFonts w:eastAsiaTheme="minorHAnsi"/>
        </w:rPr>
        <w:t> </w:t>
      </w:r>
      <w:r w:rsidRPr="00D124D9">
        <w:rPr>
          <w:rFonts w:ascii="Andes" w:eastAsiaTheme="minorHAnsi" w:hAnsi="Andes" w:cs="Arial"/>
          <w:color w:val="000000"/>
          <w:sz w:val="22"/>
          <w:szCs w:val="22"/>
        </w:rPr>
        <w:t>;</w:t>
      </w:r>
    </w:p>
    <w:p w14:paraId="2A7E81AC" w14:textId="77777777" w:rsidR="00341E34" w:rsidRPr="00D124D9" w:rsidDel="006F5B17" w:rsidRDefault="00341E34" w:rsidP="00341E34">
      <w:pPr>
        <w:pStyle w:val="Paragraphedeliste"/>
        <w:numPr>
          <w:ilvl w:val="0"/>
          <w:numId w:val="226"/>
        </w:numPr>
        <w:spacing w:before="0" w:line="240" w:lineRule="auto"/>
        <w:ind w:left="1354"/>
        <w:contextualSpacing w:val="0"/>
        <w:rPr>
          <w:rFonts w:ascii="Andes" w:eastAsiaTheme="minorHAnsi" w:hAnsi="Andes" w:cs="Arial"/>
          <w:color w:val="000000"/>
          <w:sz w:val="22"/>
          <w:szCs w:val="22"/>
        </w:rPr>
      </w:pPr>
      <w:r>
        <w:rPr>
          <w:rFonts w:ascii="Andes" w:eastAsiaTheme="minorHAnsi" w:hAnsi="Andes" w:cs="Arial"/>
          <w:b/>
          <w:color w:val="000000"/>
          <w:sz w:val="22"/>
          <w:szCs w:val="22"/>
        </w:rPr>
        <w:t>É</w:t>
      </w:r>
      <w:r w:rsidRPr="00D124D9">
        <w:rPr>
          <w:rFonts w:ascii="Andes" w:eastAsiaTheme="minorHAnsi" w:hAnsi="Andes" w:cs="Arial"/>
          <w:b/>
          <w:color w:val="000000"/>
          <w:sz w:val="22"/>
          <w:szCs w:val="22"/>
        </w:rPr>
        <w:t>claircissements et avenants</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 xml:space="preserve">: </w:t>
      </w:r>
      <w:r w:rsidRPr="00D124D9">
        <w:rPr>
          <w:rFonts w:ascii="Andes" w:eastAsiaTheme="minorHAnsi" w:hAnsi="Andes" w:cs="Arial"/>
          <w:color w:val="000000"/>
          <w:sz w:val="22"/>
          <w:szCs w:val="22"/>
        </w:rPr>
        <w:t>r</w:t>
      </w:r>
      <w:r>
        <w:rPr>
          <w:rFonts w:ascii="Andes" w:eastAsiaTheme="minorHAnsi" w:hAnsi="Andes" w:cs="Arial"/>
          <w:color w:val="000000"/>
          <w:sz w:val="22"/>
          <w:szCs w:val="22"/>
        </w:rPr>
        <w:t>épondre Par É</w:t>
      </w:r>
      <w:r w:rsidRPr="00D124D9">
        <w:rPr>
          <w:rFonts w:ascii="Andes" w:eastAsiaTheme="minorHAnsi" w:hAnsi="Andes" w:cs="Arial"/>
          <w:color w:val="000000"/>
          <w:sz w:val="22"/>
          <w:szCs w:val="22"/>
        </w:rPr>
        <w:t xml:space="preserve">crit à toute </w:t>
      </w:r>
      <w:r>
        <w:rPr>
          <w:rFonts w:ascii="Andes" w:eastAsiaTheme="minorHAnsi" w:hAnsi="Andes" w:cs="Arial"/>
          <w:color w:val="000000"/>
          <w:sz w:val="22"/>
          <w:szCs w:val="22"/>
        </w:rPr>
        <w:t>demande d’éclaircissement d’un C</w:t>
      </w:r>
      <w:r w:rsidRPr="00D124D9">
        <w:rPr>
          <w:rFonts w:ascii="Andes" w:eastAsiaTheme="minorHAnsi" w:hAnsi="Andes" w:cs="Arial"/>
          <w:color w:val="000000"/>
          <w:sz w:val="22"/>
          <w:szCs w:val="22"/>
        </w:rPr>
        <w:t xml:space="preserve">andidat éventuel et faire suivre une </w:t>
      </w:r>
      <w:r>
        <w:rPr>
          <w:rFonts w:ascii="Andes" w:eastAsiaTheme="minorHAnsi" w:hAnsi="Andes" w:cs="Arial"/>
          <w:color w:val="000000"/>
          <w:sz w:val="22"/>
          <w:szCs w:val="22"/>
        </w:rPr>
        <w:t>copie de la réponse à tous les C</w:t>
      </w:r>
      <w:r w:rsidRPr="00D124D9">
        <w:rPr>
          <w:rFonts w:ascii="Andes" w:eastAsiaTheme="minorHAnsi" w:hAnsi="Andes" w:cs="Arial"/>
          <w:color w:val="000000"/>
          <w:sz w:val="22"/>
          <w:szCs w:val="22"/>
        </w:rPr>
        <w:t>andidat</w:t>
      </w:r>
      <w:r>
        <w:rPr>
          <w:rFonts w:ascii="Andes" w:eastAsiaTheme="minorHAnsi" w:hAnsi="Andes" w:cs="Arial"/>
          <w:color w:val="000000"/>
          <w:sz w:val="22"/>
          <w:szCs w:val="22"/>
        </w:rPr>
        <w:t>s éventuels. Toute modification au dossier de s</w:t>
      </w:r>
      <w:r w:rsidRPr="00D124D9">
        <w:rPr>
          <w:rFonts w:ascii="Andes" w:eastAsiaTheme="minorHAnsi" w:hAnsi="Andes" w:cs="Arial"/>
          <w:color w:val="000000"/>
          <w:sz w:val="22"/>
          <w:szCs w:val="22"/>
        </w:rPr>
        <w:t xml:space="preserve">élection </w:t>
      </w:r>
      <w:r>
        <w:rPr>
          <w:rFonts w:ascii="Andes" w:eastAsiaTheme="minorHAnsi" w:hAnsi="Andes" w:cs="Arial"/>
          <w:color w:val="000000"/>
          <w:sz w:val="22"/>
          <w:szCs w:val="22"/>
        </w:rPr>
        <w:t>initiale</w:t>
      </w:r>
      <w:r w:rsidRPr="00D124D9">
        <w:rPr>
          <w:rFonts w:ascii="Andes" w:eastAsiaTheme="minorHAnsi" w:hAnsi="Andes" w:cs="Arial"/>
          <w:color w:val="000000"/>
          <w:sz w:val="22"/>
          <w:szCs w:val="22"/>
        </w:rPr>
        <w:t xml:space="preserve"> que l’Emprunteur juge nécessaire en raison d’informations </w:t>
      </w:r>
      <w:r>
        <w:rPr>
          <w:rFonts w:ascii="Andes" w:eastAsiaTheme="minorHAnsi" w:hAnsi="Andes" w:cs="Arial"/>
          <w:color w:val="000000"/>
          <w:sz w:val="22"/>
          <w:szCs w:val="22"/>
        </w:rPr>
        <w:t>complémentaires</w:t>
      </w:r>
      <w:r w:rsidRPr="00D124D9">
        <w:rPr>
          <w:rFonts w:ascii="Andes" w:eastAsiaTheme="minorHAnsi" w:hAnsi="Andes" w:cs="Arial"/>
          <w:color w:val="000000"/>
          <w:sz w:val="22"/>
          <w:szCs w:val="22"/>
        </w:rPr>
        <w:t xml:space="preserve"> ou modifiées</w:t>
      </w:r>
      <w:r>
        <w:rPr>
          <w:rFonts w:ascii="Andes" w:eastAsiaTheme="minorHAnsi" w:hAnsi="Andes" w:cs="Arial"/>
          <w:color w:val="000000"/>
          <w:sz w:val="22"/>
          <w:szCs w:val="22"/>
        </w:rPr>
        <w:t xml:space="preserve"> ou d’éclaircissements se fait P</w:t>
      </w:r>
      <w:r w:rsidRPr="00D124D9">
        <w:rPr>
          <w:rFonts w:ascii="Andes" w:eastAsiaTheme="minorHAnsi" w:hAnsi="Andes" w:cs="Arial"/>
          <w:color w:val="000000"/>
          <w:sz w:val="22"/>
          <w:szCs w:val="22"/>
        </w:rPr>
        <w:t xml:space="preserve">ar </w:t>
      </w:r>
      <w:r>
        <w:rPr>
          <w:rFonts w:ascii="Andes" w:eastAsiaTheme="minorHAnsi" w:hAnsi="Andes" w:cs="Arial"/>
          <w:color w:val="000000"/>
          <w:sz w:val="22"/>
          <w:szCs w:val="22"/>
        </w:rPr>
        <w:t>É</w:t>
      </w:r>
      <w:r w:rsidRPr="00D124D9">
        <w:rPr>
          <w:rFonts w:ascii="Andes" w:eastAsiaTheme="minorHAnsi" w:hAnsi="Andes" w:cs="Arial"/>
          <w:color w:val="000000"/>
          <w:sz w:val="22"/>
          <w:szCs w:val="22"/>
        </w:rPr>
        <w:t>crit et se</w:t>
      </w:r>
      <w:r>
        <w:rPr>
          <w:rFonts w:ascii="Andes" w:eastAsiaTheme="minorHAnsi" w:hAnsi="Andes" w:cs="Arial"/>
          <w:color w:val="000000"/>
          <w:sz w:val="22"/>
          <w:szCs w:val="22"/>
        </w:rPr>
        <w:t xml:space="preserve"> communique de même à tous les C</w:t>
      </w:r>
      <w:r w:rsidRPr="00D124D9">
        <w:rPr>
          <w:rFonts w:ascii="Andes" w:eastAsiaTheme="minorHAnsi" w:hAnsi="Andes" w:cs="Arial"/>
          <w:color w:val="000000"/>
          <w:sz w:val="22"/>
          <w:szCs w:val="22"/>
        </w:rPr>
        <w:t>andidats éventuels ;</w:t>
      </w:r>
    </w:p>
    <w:p w14:paraId="5241778E" w14:textId="29AC5C06" w:rsidR="00341E34" w:rsidRPr="00D124D9" w:rsidRDefault="00341E34" w:rsidP="00341E34">
      <w:pPr>
        <w:pStyle w:val="Paragraphedeliste"/>
        <w:numPr>
          <w:ilvl w:val="0"/>
          <w:numId w:val="226"/>
        </w:numPr>
        <w:spacing w:before="0" w:line="240" w:lineRule="auto"/>
        <w:ind w:left="1354"/>
        <w:contextualSpacing w:val="0"/>
        <w:rPr>
          <w:rFonts w:ascii="Andes" w:hAnsi="Andes" w:cs="Arial"/>
          <w:b/>
          <w:color w:val="4F81BD"/>
        </w:rPr>
      </w:pPr>
      <w:r>
        <w:rPr>
          <w:rFonts w:ascii="Andes" w:eastAsiaTheme="minorHAnsi" w:hAnsi="Andes" w:cs="Arial"/>
          <w:b/>
          <w:color w:val="000000"/>
          <w:sz w:val="22"/>
          <w:szCs w:val="22"/>
        </w:rPr>
        <w:t xml:space="preserve">Remise et ouverture </w:t>
      </w:r>
      <w:r w:rsidRPr="00D124D9">
        <w:rPr>
          <w:rFonts w:ascii="Andes" w:eastAsiaTheme="minorHAnsi" w:hAnsi="Andes" w:cs="Arial"/>
          <w:b/>
          <w:color w:val="000000"/>
          <w:sz w:val="22"/>
          <w:szCs w:val="22"/>
        </w:rPr>
        <w:t>de</w:t>
      </w:r>
      <w:r>
        <w:rPr>
          <w:rFonts w:ascii="Andes" w:eastAsiaTheme="minorHAnsi" w:hAnsi="Andes" w:cs="Arial"/>
          <w:b/>
          <w:color w:val="000000"/>
          <w:sz w:val="22"/>
          <w:szCs w:val="22"/>
        </w:rPr>
        <w:t>s plis contenant les C</w:t>
      </w:r>
      <w:r w:rsidRPr="00D124D9">
        <w:rPr>
          <w:rFonts w:ascii="Andes" w:eastAsiaTheme="minorHAnsi" w:hAnsi="Andes" w:cs="Arial"/>
          <w:b/>
          <w:color w:val="000000"/>
          <w:sz w:val="22"/>
          <w:szCs w:val="22"/>
        </w:rPr>
        <w:t>andidature</w:t>
      </w:r>
      <w:r>
        <w:rPr>
          <w:rFonts w:ascii="Andes" w:eastAsiaTheme="minorHAnsi" w:hAnsi="Andes" w:cs="Arial"/>
          <w:b/>
          <w:color w:val="000000"/>
          <w:sz w:val="22"/>
          <w:szCs w:val="22"/>
        </w:rPr>
        <w:t>s</w:t>
      </w:r>
      <w:r w:rsidRPr="00D124D9">
        <w:rPr>
          <w:rFonts w:ascii="Andes" w:eastAsiaTheme="minorHAnsi" w:hAnsi="Andes" w:cs="Arial"/>
          <w:b/>
          <w:color w:val="000000"/>
          <w:sz w:val="22"/>
          <w:szCs w:val="22"/>
        </w:rPr>
        <w:t xml:space="preserve"> à la </w:t>
      </w:r>
      <w:r>
        <w:rPr>
          <w:rFonts w:ascii="Andes" w:eastAsiaTheme="minorHAnsi" w:hAnsi="Andes" w:cs="Arial"/>
          <w:b/>
          <w:color w:val="000000"/>
          <w:sz w:val="22"/>
          <w:szCs w:val="22"/>
        </w:rPr>
        <w:t>S</w:t>
      </w:r>
      <w:r w:rsidRPr="00D124D9">
        <w:rPr>
          <w:rFonts w:ascii="Andes" w:eastAsiaTheme="minorHAnsi" w:hAnsi="Andes" w:cs="Arial"/>
          <w:b/>
          <w:color w:val="000000"/>
          <w:sz w:val="22"/>
          <w:szCs w:val="22"/>
        </w:rPr>
        <w:t xml:space="preserve">élection </w:t>
      </w:r>
      <w:r>
        <w:rPr>
          <w:rFonts w:ascii="Andes" w:eastAsiaTheme="minorHAnsi" w:hAnsi="Andes" w:cs="Arial"/>
          <w:b/>
          <w:color w:val="000000"/>
          <w:sz w:val="22"/>
          <w:szCs w:val="22"/>
        </w:rPr>
        <w:t>Initiale</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 xml:space="preserve">: </w:t>
      </w:r>
      <w:r>
        <w:rPr>
          <w:rFonts w:ascii="Andes" w:eastAsiaTheme="minorHAnsi" w:hAnsi="Andes" w:cs="Arial"/>
          <w:color w:val="000000"/>
          <w:sz w:val="22"/>
          <w:szCs w:val="22"/>
        </w:rPr>
        <w:t>les C</w:t>
      </w:r>
      <w:r w:rsidRPr="00D124D9">
        <w:rPr>
          <w:rFonts w:ascii="Andes" w:eastAsiaTheme="minorHAnsi" w:hAnsi="Andes" w:cs="Arial"/>
          <w:color w:val="000000"/>
          <w:sz w:val="22"/>
          <w:szCs w:val="22"/>
        </w:rPr>
        <w:t xml:space="preserve">andidatures sont déposées dans les délais </w:t>
      </w:r>
      <w:r>
        <w:rPr>
          <w:rFonts w:ascii="Andes" w:eastAsiaTheme="minorHAnsi" w:hAnsi="Andes" w:cs="Arial"/>
          <w:color w:val="000000"/>
          <w:sz w:val="22"/>
          <w:szCs w:val="22"/>
        </w:rPr>
        <w:t>prescrits</w:t>
      </w:r>
      <w:r w:rsidRPr="00D124D9">
        <w:rPr>
          <w:rFonts w:ascii="Andes" w:eastAsiaTheme="minorHAnsi" w:hAnsi="Andes" w:cs="Arial"/>
          <w:color w:val="000000"/>
          <w:sz w:val="22"/>
          <w:szCs w:val="22"/>
        </w:rPr>
        <w:t xml:space="preserve"> ; toutefois, </w:t>
      </w:r>
      <w:r>
        <w:rPr>
          <w:rFonts w:ascii="Andes" w:eastAsiaTheme="minorHAnsi" w:hAnsi="Andes" w:cs="Arial"/>
          <w:color w:val="000000"/>
          <w:sz w:val="22"/>
          <w:szCs w:val="22"/>
        </w:rPr>
        <w:t xml:space="preserve">l’Emprunteur peut </w:t>
      </w:r>
      <w:r>
        <w:rPr>
          <w:rFonts w:ascii="Andes" w:eastAsiaTheme="minorHAnsi" w:hAnsi="Andes" w:cs="Arial"/>
          <w:color w:val="000000"/>
          <w:sz w:val="22"/>
          <w:szCs w:val="22"/>
        </w:rPr>
        <w:lastRenderedPageBreak/>
        <w:t>accepter les C</w:t>
      </w:r>
      <w:r w:rsidRPr="00D124D9">
        <w:rPr>
          <w:rFonts w:ascii="Andes" w:eastAsiaTheme="minorHAnsi" w:hAnsi="Andes" w:cs="Arial"/>
          <w:color w:val="000000"/>
          <w:sz w:val="22"/>
          <w:szCs w:val="22"/>
        </w:rPr>
        <w:t>andidatures déposées hors délai</w:t>
      </w:r>
      <w:r>
        <w:rPr>
          <w:rFonts w:ascii="Andes" w:eastAsiaTheme="minorHAnsi" w:hAnsi="Andes" w:cs="Arial"/>
          <w:color w:val="000000"/>
          <w:sz w:val="22"/>
          <w:szCs w:val="22"/>
        </w:rPr>
        <w:t>s</w:t>
      </w:r>
      <w:r w:rsidRPr="00D124D9">
        <w:rPr>
          <w:rFonts w:ascii="Andes" w:eastAsiaTheme="minorHAnsi" w:hAnsi="Andes" w:cs="Arial"/>
          <w:color w:val="000000"/>
          <w:sz w:val="22"/>
          <w:szCs w:val="22"/>
        </w:rPr>
        <w:t>, sauf indicatio</w:t>
      </w:r>
      <w:r>
        <w:rPr>
          <w:rFonts w:ascii="Andes" w:eastAsiaTheme="minorHAnsi" w:hAnsi="Andes" w:cs="Arial"/>
          <w:color w:val="000000"/>
          <w:sz w:val="22"/>
          <w:szCs w:val="22"/>
        </w:rPr>
        <w:t>n contraire dans le dossier de s</w:t>
      </w:r>
      <w:r w:rsidRPr="00D124D9">
        <w:rPr>
          <w:rFonts w:ascii="Andes" w:eastAsiaTheme="minorHAnsi" w:hAnsi="Andes" w:cs="Arial"/>
          <w:color w:val="000000"/>
          <w:sz w:val="22"/>
          <w:szCs w:val="22"/>
        </w:rPr>
        <w:t xml:space="preserve">élection </w:t>
      </w:r>
      <w:r>
        <w:rPr>
          <w:rFonts w:ascii="Andes" w:eastAsiaTheme="minorHAnsi" w:hAnsi="Andes" w:cs="Arial"/>
          <w:color w:val="000000"/>
          <w:sz w:val="22"/>
          <w:szCs w:val="22"/>
        </w:rPr>
        <w:t>initiale</w:t>
      </w:r>
      <w:r w:rsidRPr="00D124D9">
        <w:rPr>
          <w:rFonts w:ascii="Andes" w:eastAsiaTheme="minorHAnsi" w:hAnsi="Andes" w:cs="Arial"/>
          <w:color w:val="000000"/>
          <w:sz w:val="22"/>
          <w:szCs w:val="22"/>
        </w:rPr>
        <w:t xml:space="preserve">. L’Emprunteur dresse un procès-verbal de l’ouverture des </w:t>
      </w:r>
      <w:r>
        <w:rPr>
          <w:rFonts w:ascii="Andes" w:eastAsiaTheme="minorHAnsi" w:hAnsi="Andes" w:cs="Arial"/>
          <w:color w:val="000000"/>
          <w:sz w:val="22"/>
          <w:szCs w:val="22"/>
        </w:rPr>
        <w:t>plis contenant les</w:t>
      </w:r>
      <w:r w:rsidRPr="00D124D9">
        <w:rPr>
          <w:rFonts w:ascii="Andes" w:eastAsiaTheme="minorHAnsi" w:hAnsi="Andes" w:cs="Arial"/>
          <w:color w:val="000000"/>
          <w:sz w:val="22"/>
          <w:szCs w:val="22"/>
        </w:rPr>
        <w:t xml:space="preserve"> candidature</w:t>
      </w:r>
      <w:r>
        <w:rPr>
          <w:rFonts w:ascii="Andes" w:eastAsiaTheme="minorHAnsi" w:hAnsi="Andes" w:cs="Arial"/>
          <w:color w:val="000000"/>
          <w:sz w:val="22"/>
          <w:szCs w:val="22"/>
        </w:rPr>
        <w:t>s</w:t>
      </w:r>
      <w:r w:rsidRPr="00D124D9">
        <w:rPr>
          <w:rFonts w:ascii="Andes" w:eastAsiaTheme="minorHAnsi" w:hAnsi="Andes" w:cs="Arial"/>
          <w:color w:val="000000"/>
          <w:sz w:val="22"/>
          <w:szCs w:val="22"/>
        </w:rPr>
        <w:t xml:space="preserve"> et en fait tenir des copies à tous </w:t>
      </w:r>
      <w:r>
        <w:rPr>
          <w:rFonts w:ascii="Andes" w:eastAsiaTheme="minorHAnsi" w:hAnsi="Andes" w:cs="Arial"/>
          <w:color w:val="000000"/>
          <w:sz w:val="22"/>
          <w:szCs w:val="22"/>
        </w:rPr>
        <w:t>les C</w:t>
      </w:r>
      <w:r w:rsidRPr="00D124D9">
        <w:rPr>
          <w:rFonts w:ascii="Andes" w:eastAsiaTheme="minorHAnsi" w:hAnsi="Andes" w:cs="Arial"/>
          <w:color w:val="000000"/>
          <w:sz w:val="22"/>
          <w:szCs w:val="22"/>
        </w:rPr>
        <w:t>andidats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349454C9" w14:textId="3802F437" w:rsidR="00341E34" w:rsidRPr="00D124D9" w:rsidRDefault="00341E34" w:rsidP="00341E34">
      <w:pPr>
        <w:pStyle w:val="Paragraphedeliste"/>
        <w:numPr>
          <w:ilvl w:val="0"/>
          <w:numId w:val="226"/>
        </w:numPr>
        <w:spacing w:before="0" w:line="240" w:lineRule="auto"/>
        <w:ind w:left="1354"/>
        <w:contextualSpacing w:val="0"/>
        <w:rPr>
          <w:rFonts w:ascii="Andes" w:hAnsi="Andes" w:cs="Arial"/>
          <w:b/>
          <w:color w:val="4F81BD"/>
        </w:rPr>
      </w:pPr>
      <w:r>
        <w:rPr>
          <w:rFonts w:ascii="Andes" w:eastAsiaTheme="minorHAnsi" w:hAnsi="Andes" w:cs="Arial"/>
          <w:b/>
          <w:color w:val="000000"/>
          <w:sz w:val="22"/>
          <w:szCs w:val="22"/>
        </w:rPr>
        <w:t>É</w:t>
      </w:r>
      <w:r w:rsidRPr="00D124D9">
        <w:rPr>
          <w:rFonts w:ascii="Andes" w:eastAsiaTheme="minorHAnsi" w:hAnsi="Andes" w:cs="Arial"/>
          <w:b/>
          <w:color w:val="000000"/>
          <w:sz w:val="22"/>
          <w:szCs w:val="22"/>
        </w:rPr>
        <w:t xml:space="preserve">valuation </w:t>
      </w:r>
      <w:r>
        <w:rPr>
          <w:rFonts w:ascii="Andes" w:eastAsiaTheme="minorHAnsi" w:hAnsi="Andes" w:cs="Arial"/>
          <w:b/>
          <w:color w:val="000000"/>
          <w:sz w:val="22"/>
          <w:szCs w:val="22"/>
        </w:rPr>
        <w:t>des C</w:t>
      </w:r>
      <w:r w:rsidRPr="00D124D9">
        <w:rPr>
          <w:rFonts w:ascii="Andes" w:eastAsiaTheme="minorHAnsi" w:hAnsi="Andes" w:cs="Arial"/>
          <w:b/>
          <w:color w:val="000000"/>
          <w:sz w:val="22"/>
          <w:szCs w:val="22"/>
        </w:rPr>
        <w:t>andidatures</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 xml:space="preserve">: </w:t>
      </w:r>
      <w:r>
        <w:rPr>
          <w:rFonts w:ascii="Andes" w:eastAsiaTheme="minorHAnsi" w:hAnsi="Andes" w:cs="Arial"/>
          <w:color w:val="000000"/>
          <w:sz w:val="22"/>
          <w:szCs w:val="22"/>
        </w:rPr>
        <w:t>évaluer les Candidatures à la S</w:t>
      </w:r>
      <w:r w:rsidRPr="00D124D9">
        <w:rPr>
          <w:rFonts w:ascii="Andes" w:eastAsiaTheme="minorHAnsi" w:hAnsi="Andes" w:cs="Arial"/>
          <w:color w:val="000000"/>
          <w:sz w:val="22"/>
          <w:szCs w:val="22"/>
        </w:rPr>
        <w:t xml:space="preserve">élection </w:t>
      </w:r>
      <w:r>
        <w:rPr>
          <w:rFonts w:ascii="Andes" w:eastAsiaTheme="minorHAnsi" w:hAnsi="Andes" w:cs="Arial"/>
          <w:color w:val="000000"/>
          <w:sz w:val="22"/>
          <w:szCs w:val="22"/>
        </w:rPr>
        <w:t>Initiale</w:t>
      </w:r>
      <w:r w:rsidRPr="00D124D9">
        <w:rPr>
          <w:rFonts w:ascii="Andes" w:eastAsiaTheme="minorHAnsi" w:hAnsi="Andes" w:cs="Arial"/>
          <w:color w:val="000000"/>
          <w:sz w:val="22"/>
          <w:szCs w:val="22"/>
        </w:rPr>
        <w:t xml:space="preserve"> sur la base des critères définis dans le dossier de sé</w:t>
      </w:r>
      <w:r>
        <w:rPr>
          <w:rFonts w:ascii="Andes" w:eastAsiaTheme="minorHAnsi" w:hAnsi="Andes" w:cs="Arial"/>
          <w:color w:val="000000"/>
          <w:sz w:val="22"/>
          <w:szCs w:val="22"/>
        </w:rPr>
        <w:t>lection initiale. D’abord, les C</w:t>
      </w:r>
      <w:r w:rsidRPr="00D124D9">
        <w:rPr>
          <w:rFonts w:ascii="Andes" w:eastAsiaTheme="minorHAnsi" w:hAnsi="Andes" w:cs="Arial"/>
          <w:color w:val="000000"/>
          <w:sz w:val="22"/>
          <w:szCs w:val="22"/>
        </w:rPr>
        <w:t>andidats sont évalués à l’aune des critères d</w:t>
      </w:r>
      <w:r>
        <w:rPr>
          <w:rFonts w:ascii="Andes" w:eastAsiaTheme="minorHAnsi" w:hAnsi="Andes" w:cs="Arial"/>
          <w:color w:val="000000"/>
          <w:sz w:val="22"/>
          <w:szCs w:val="22"/>
        </w:rPr>
        <w:t>e qualification. Tous les C</w:t>
      </w:r>
      <w:r w:rsidRPr="00D124D9">
        <w:rPr>
          <w:rFonts w:ascii="Andes" w:eastAsiaTheme="minorHAnsi" w:hAnsi="Andes" w:cs="Arial"/>
          <w:color w:val="000000"/>
          <w:sz w:val="22"/>
          <w:szCs w:val="22"/>
        </w:rPr>
        <w:t>andidats qui franchissent cette étape sont classés d’après l’évalu</w:t>
      </w:r>
      <w:r>
        <w:rPr>
          <w:rFonts w:ascii="Andes" w:eastAsiaTheme="minorHAnsi" w:hAnsi="Andes" w:cs="Arial"/>
          <w:color w:val="000000"/>
          <w:sz w:val="22"/>
          <w:szCs w:val="22"/>
        </w:rPr>
        <w:t xml:space="preserve">ation sur la base des </w:t>
      </w:r>
      <w:r w:rsidR="00E20824">
        <w:rPr>
          <w:rFonts w:ascii="Andes" w:eastAsiaTheme="minorHAnsi" w:hAnsi="Andes" w:cs="Arial"/>
          <w:color w:val="000000"/>
          <w:sz w:val="22"/>
          <w:szCs w:val="22"/>
        </w:rPr>
        <w:t>C</w:t>
      </w:r>
      <w:r>
        <w:rPr>
          <w:rFonts w:ascii="Andes" w:eastAsiaTheme="minorHAnsi" w:hAnsi="Andes" w:cs="Arial"/>
          <w:color w:val="000000"/>
          <w:sz w:val="22"/>
          <w:szCs w:val="22"/>
        </w:rPr>
        <w:t xml:space="preserve">ritères </w:t>
      </w:r>
      <w:r w:rsidR="00E20824">
        <w:rPr>
          <w:rFonts w:ascii="Andes" w:eastAsiaTheme="minorHAnsi" w:hAnsi="Andes" w:cs="Arial"/>
          <w:color w:val="000000"/>
          <w:sz w:val="22"/>
          <w:szCs w:val="22"/>
        </w:rPr>
        <w:t>N</w:t>
      </w:r>
      <w:r>
        <w:rPr>
          <w:rFonts w:ascii="Andes" w:eastAsiaTheme="minorHAnsi" w:hAnsi="Andes" w:cs="Arial"/>
          <w:color w:val="000000"/>
          <w:sz w:val="22"/>
          <w:szCs w:val="22"/>
        </w:rPr>
        <w:t>otés. Les C</w:t>
      </w:r>
      <w:r w:rsidRPr="00D124D9">
        <w:rPr>
          <w:rFonts w:ascii="Andes" w:eastAsiaTheme="minorHAnsi" w:hAnsi="Andes" w:cs="Arial"/>
          <w:color w:val="000000"/>
          <w:sz w:val="22"/>
          <w:szCs w:val="22"/>
        </w:rPr>
        <w:t>andidats les mieux classés, qui seront invité</w:t>
      </w:r>
      <w:r>
        <w:rPr>
          <w:rFonts w:ascii="Andes" w:eastAsiaTheme="minorHAnsi" w:hAnsi="Andes" w:cs="Arial"/>
          <w:color w:val="000000"/>
          <w:sz w:val="22"/>
          <w:szCs w:val="22"/>
        </w:rPr>
        <w:t xml:space="preserve">s à concourir dans la </w:t>
      </w:r>
      <w:r w:rsidRPr="00D124D9">
        <w:rPr>
          <w:rFonts w:ascii="Andes" w:eastAsiaTheme="minorHAnsi" w:hAnsi="Andes" w:cs="Arial"/>
          <w:color w:val="000000"/>
          <w:sz w:val="22"/>
          <w:szCs w:val="22"/>
        </w:rPr>
        <w:t xml:space="preserve">phase </w:t>
      </w:r>
      <w:r>
        <w:rPr>
          <w:rFonts w:ascii="Andes" w:eastAsiaTheme="minorHAnsi" w:hAnsi="Andes" w:cs="Arial"/>
          <w:color w:val="000000"/>
          <w:sz w:val="22"/>
          <w:szCs w:val="22"/>
        </w:rPr>
        <w:t xml:space="preserve">suivante </w:t>
      </w:r>
      <w:r w:rsidRPr="00D124D9">
        <w:rPr>
          <w:rFonts w:ascii="Andes" w:eastAsiaTheme="minorHAnsi" w:hAnsi="Andes" w:cs="Arial"/>
          <w:color w:val="000000"/>
          <w:sz w:val="22"/>
          <w:szCs w:val="22"/>
        </w:rPr>
        <w:t xml:space="preserve">du processus de passation du marché, sont sélectionnés conformément aux procédures décrites dans le dossier de sélection </w:t>
      </w:r>
      <w:r>
        <w:rPr>
          <w:rFonts w:ascii="Andes" w:eastAsiaTheme="minorHAnsi" w:hAnsi="Andes" w:cs="Arial"/>
          <w:color w:val="000000"/>
          <w:sz w:val="22"/>
          <w:szCs w:val="22"/>
        </w:rPr>
        <w:t>initiale</w:t>
      </w:r>
      <w:r w:rsidRPr="00D124D9">
        <w:rPr>
          <w:rFonts w:ascii="Calibri" w:eastAsiaTheme="minorHAnsi" w:hAnsi="Calibri" w:cs="Arial"/>
          <w:color w:val="000000"/>
          <w:sz w:val="22"/>
          <w:szCs w:val="22"/>
        </w:rPr>
        <w:t xml:space="preserve"> ; </w:t>
      </w:r>
      <w:r w:rsidRPr="00D124D9">
        <w:rPr>
          <w:rFonts w:ascii="Andes" w:eastAsiaTheme="minorHAnsi" w:hAnsi="Andes" w:cs="Arial"/>
          <w:color w:val="000000"/>
          <w:sz w:val="22"/>
          <w:szCs w:val="22"/>
        </w:rPr>
        <w:t xml:space="preserve">et </w:t>
      </w:r>
    </w:p>
    <w:p w14:paraId="39856076" w14:textId="4D904F83" w:rsidR="00341E34" w:rsidRPr="00D124D9" w:rsidRDefault="00341E34" w:rsidP="00341E34">
      <w:pPr>
        <w:pStyle w:val="Paragraphedeliste"/>
        <w:numPr>
          <w:ilvl w:val="0"/>
          <w:numId w:val="226"/>
        </w:numPr>
        <w:spacing w:before="0" w:line="240" w:lineRule="auto"/>
        <w:ind w:left="1354"/>
        <w:contextualSpacing w:val="0"/>
        <w:rPr>
          <w:rFonts w:ascii="Andes" w:hAnsi="Andes" w:cs="Arial"/>
          <w:b/>
          <w:color w:val="4F81BD"/>
        </w:rPr>
      </w:pPr>
      <w:r w:rsidRPr="00D124D9">
        <w:rPr>
          <w:rFonts w:ascii="Andes" w:eastAsiaTheme="minorHAnsi" w:hAnsi="Andes" w:cs="Arial"/>
          <w:b/>
          <w:color w:val="000000"/>
          <w:sz w:val="22"/>
          <w:szCs w:val="22"/>
        </w:rPr>
        <w:t xml:space="preserve">Communication </w:t>
      </w:r>
      <w:r>
        <w:rPr>
          <w:rFonts w:ascii="Andes" w:eastAsiaTheme="minorHAnsi" w:hAnsi="Andes" w:cs="Arial"/>
          <w:b/>
          <w:color w:val="000000"/>
          <w:sz w:val="22"/>
          <w:szCs w:val="22"/>
        </w:rPr>
        <w:t>des résultats de la S</w:t>
      </w:r>
      <w:r w:rsidRPr="00D124D9">
        <w:rPr>
          <w:rFonts w:ascii="Andes" w:eastAsiaTheme="minorHAnsi" w:hAnsi="Andes" w:cs="Arial"/>
          <w:b/>
          <w:color w:val="000000"/>
          <w:sz w:val="22"/>
          <w:szCs w:val="22"/>
        </w:rPr>
        <w:t xml:space="preserve">élection </w:t>
      </w:r>
      <w:r>
        <w:rPr>
          <w:rFonts w:ascii="Andes" w:eastAsiaTheme="minorHAnsi" w:hAnsi="Andes" w:cs="Arial"/>
          <w:b/>
          <w:color w:val="000000"/>
          <w:sz w:val="22"/>
          <w:szCs w:val="22"/>
        </w:rPr>
        <w:t>Initiale</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 xml:space="preserve">: </w:t>
      </w:r>
      <w:r w:rsidRPr="00D124D9">
        <w:rPr>
          <w:rFonts w:ascii="Andes" w:eastAsiaTheme="minorHAnsi" w:hAnsi="Andes" w:cs="Arial"/>
          <w:color w:val="000000"/>
          <w:sz w:val="22"/>
          <w:szCs w:val="22"/>
        </w:rPr>
        <w:t>communiquer</w:t>
      </w:r>
      <w:r>
        <w:rPr>
          <w:rFonts w:ascii="Andes" w:eastAsiaTheme="minorHAnsi" w:hAnsi="Andes" w:cs="Arial"/>
          <w:color w:val="000000"/>
          <w:sz w:val="22"/>
          <w:szCs w:val="22"/>
        </w:rPr>
        <w:t xml:space="preserve"> les résultats du processus de Sélection Initiale à tous les C</w:t>
      </w:r>
      <w:r w:rsidRPr="00D124D9">
        <w:rPr>
          <w:rFonts w:ascii="Andes" w:eastAsiaTheme="minorHAnsi" w:hAnsi="Andes" w:cs="Arial"/>
          <w:color w:val="000000"/>
          <w:sz w:val="22"/>
          <w:szCs w:val="22"/>
        </w:rPr>
        <w:t>andidats.</w:t>
      </w:r>
    </w:p>
    <w:p w14:paraId="5E0578ED" w14:textId="77777777" w:rsidR="00D774AF" w:rsidRDefault="00D774AF">
      <w:pPr>
        <w:spacing w:before="0" w:after="200"/>
        <w:contextualSpacing w:val="0"/>
        <w:jc w:val="left"/>
        <w:rPr>
          <w:rFonts w:ascii="Andes" w:hAnsi="Andes" w:cs="Arial"/>
          <w:b/>
          <w:color w:val="17365D" w:themeColor="text2" w:themeShade="BF"/>
          <w:sz w:val="52"/>
          <w:szCs w:val="52"/>
        </w:rPr>
      </w:pPr>
      <w:r>
        <w:rPr>
          <w:rFonts w:ascii="Andes" w:hAnsi="Andes" w:cs="Arial"/>
          <w:b/>
          <w:color w:val="17365D" w:themeColor="text2" w:themeShade="BF"/>
          <w:sz w:val="52"/>
          <w:szCs w:val="52"/>
        </w:rPr>
        <w:br w:type="page"/>
      </w:r>
    </w:p>
    <w:p w14:paraId="24ECE976" w14:textId="732845EE" w:rsidR="00341E34" w:rsidRPr="00D124D9" w:rsidRDefault="00B30D79" w:rsidP="00B30D79">
      <w:pPr>
        <w:pStyle w:val="Paragraphedeliste"/>
        <w:spacing w:before="240" w:after="240" w:line="240" w:lineRule="auto"/>
        <w:ind w:left="450"/>
        <w:contextualSpacing w:val="0"/>
        <w:jc w:val="center"/>
        <w:rPr>
          <w:rFonts w:ascii="Andes" w:hAnsi="Andes" w:cs="Arial"/>
          <w:b/>
          <w:color w:val="4F81BD"/>
        </w:rPr>
      </w:pPr>
      <w:r w:rsidRPr="00B30D79">
        <w:rPr>
          <w:rFonts w:ascii="Andes" w:hAnsi="Andes" w:cs="Arial"/>
          <w:b/>
          <w:noProof/>
          <w:color w:val="4F81BD"/>
          <w:lang w:val="en-US"/>
        </w:rPr>
        <w:lastRenderedPageBreak/>
        <mc:AlternateContent>
          <mc:Choice Requires="wps">
            <w:drawing>
              <wp:anchor distT="45720" distB="45720" distL="114300" distR="114300" simplePos="0" relativeHeight="251620352" behindDoc="0" locked="0" layoutInCell="1" allowOverlap="1" wp14:anchorId="50A16063" wp14:editId="52B759BE">
                <wp:simplePos x="0" y="0"/>
                <wp:positionH relativeFrom="margin">
                  <wp:posOffset>456565</wp:posOffset>
                </wp:positionH>
                <wp:positionV relativeFrom="paragraph">
                  <wp:posOffset>116205</wp:posOffset>
                </wp:positionV>
                <wp:extent cx="4143375" cy="457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457200"/>
                        </a:xfrm>
                        <a:prstGeom prst="rect">
                          <a:avLst/>
                        </a:prstGeom>
                        <a:noFill/>
                        <a:ln w="9525">
                          <a:noFill/>
                          <a:miter lim="800000"/>
                          <a:headEnd/>
                          <a:tailEnd/>
                        </a:ln>
                      </wps:spPr>
                      <wps:txbx>
                        <w:txbxContent>
                          <w:p w14:paraId="6D98AF6D" w14:textId="3F31C59A" w:rsidR="00A41794" w:rsidRPr="00D124D9" w:rsidRDefault="00A41794" w:rsidP="00B30D79">
                            <w:pPr>
                              <w:spacing w:before="0" w:line="240" w:lineRule="auto"/>
                              <w:contextualSpacing w:val="0"/>
                              <w:jc w:val="left"/>
                              <w:rPr>
                                <w:rFonts w:ascii="Andes" w:eastAsiaTheme="minorHAnsi" w:hAnsi="Andes" w:cs="Arial"/>
                                <w:b/>
                                <w:sz w:val="22"/>
                                <w:szCs w:val="22"/>
                              </w:rPr>
                            </w:pPr>
                            <w:r w:rsidRPr="00D124D9">
                              <w:rPr>
                                <w:rFonts w:ascii="Andes" w:eastAsiaTheme="minorHAnsi" w:hAnsi="Andes" w:cs="Arial"/>
                                <w:b/>
                                <w:sz w:val="22"/>
                                <w:szCs w:val="22"/>
                                <w:u w:val="single"/>
                              </w:rPr>
                              <w:t>Figure 1</w:t>
                            </w:r>
                            <w:r w:rsidRPr="00D124D9">
                              <w:rPr>
                                <w:rFonts w:ascii="Calibri" w:eastAsiaTheme="minorHAnsi" w:hAnsi="Calibri" w:cs="Arial"/>
                                <w:b/>
                                <w:sz w:val="22"/>
                                <w:szCs w:val="22"/>
                                <w:u w:val="single"/>
                              </w:rPr>
                              <w:t> </w:t>
                            </w:r>
                            <w:r w:rsidRPr="00D124D9">
                              <w:rPr>
                                <w:rFonts w:ascii="Andes" w:eastAsiaTheme="minorHAnsi" w:hAnsi="Andes" w:cs="Arial"/>
                                <w:b/>
                                <w:sz w:val="22"/>
                                <w:szCs w:val="22"/>
                              </w:rPr>
                              <w:t xml:space="preserve">: </w:t>
                            </w:r>
                            <w:r>
                              <w:rPr>
                                <w:rFonts w:ascii="Andes" w:eastAsiaTheme="minorHAnsi" w:hAnsi="Andes" w:cs="Arial"/>
                                <w:b/>
                                <w:sz w:val="22"/>
                                <w:szCs w:val="22"/>
                              </w:rPr>
                              <w:t>schématisation du processus de S</w:t>
                            </w:r>
                            <w:r w:rsidRPr="00D124D9">
                              <w:rPr>
                                <w:rFonts w:ascii="Andes" w:eastAsiaTheme="minorHAnsi" w:hAnsi="Andes" w:cs="Arial"/>
                                <w:b/>
                                <w:sz w:val="22"/>
                                <w:szCs w:val="22"/>
                              </w:rPr>
                              <w:t xml:space="preserve">élection </w:t>
                            </w:r>
                            <w:r>
                              <w:rPr>
                                <w:rFonts w:ascii="Andes" w:eastAsiaTheme="minorHAnsi" w:hAnsi="Andes" w:cs="Arial"/>
                                <w:b/>
                                <w:sz w:val="22"/>
                                <w:szCs w:val="22"/>
                              </w:rPr>
                              <w:t>Initiale</w:t>
                            </w:r>
                          </w:p>
                          <w:p w14:paraId="105FE02E" w14:textId="5980D9D6" w:rsidR="00A41794" w:rsidRPr="00B30D79" w:rsidRDefault="00A417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A16063" id="_x0000_t202" coordsize="21600,21600" o:spt="202" path="m,l,21600r21600,l21600,xe">
                <v:stroke joinstyle="miter"/>
                <v:path gradientshapeok="t" o:connecttype="rect"/>
              </v:shapetype>
              <v:shape id="Text Box 2" o:spid="_x0000_s1049" type="#_x0000_t202" style="position:absolute;left:0;text-align:left;margin-left:35.95pt;margin-top:9.15pt;width:326.25pt;height:36pt;z-index:251620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" filled="f" stroked="f">
                <v:textbox>
                  <w:txbxContent>
                    <w:p w14:paraId="6D98AF6D" w14:textId="3F31C59A" w:rsidR="00A41794" w:rsidRPr="00D124D9" w:rsidRDefault="00A41794" w:rsidP="00B30D79">
                      <w:pPr>
                        <w:spacing w:before="0" w:line="240" w:lineRule="auto"/>
                        <w:contextualSpacing w:val="0"/>
                        <w:jc w:val="left"/>
                        <w:rPr>
                          <w:rFonts w:ascii="Andes" w:eastAsiaTheme="minorHAnsi" w:hAnsi="Andes" w:cs="Arial"/>
                          <w:b/>
                          <w:sz w:val="22"/>
                          <w:szCs w:val="22"/>
                        </w:rPr>
                      </w:pPr>
                      <w:r w:rsidRPr="00D124D9">
                        <w:rPr>
                          <w:rFonts w:ascii="Andes" w:eastAsiaTheme="minorHAnsi" w:hAnsi="Andes" w:cs="Arial"/>
                          <w:b/>
                          <w:sz w:val="22"/>
                          <w:szCs w:val="22"/>
                          <w:u w:val="single"/>
                        </w:rPr>
                        <w:t>Figure 1</w:t>
                      </w:r>
                      <w:r w:rsidRPr="00D124D9">
                        <w:rPr>
                          <w:rFonts w:ascii="Calibri" w:eastAsiaTheme="minorHAnsi" w:hAnsi="Calibri" w:cs="Arial"/>
                          <w:b/>
                          <w:sz w:val="22"/>
                          <w:szCs w:val="22"/>
                          <w:u w:val="single"/>
                        </w:rPr>
                        <w:t> </w:t>
                      </w:r>
                      <w:r w:rsidRPr="00D124D9">
                        <w:rPr>
                          <w:rFonts w:ascii="Andes" w:eastAsiaTheme="minorHAnsi" w:hAnsi="Andes" w:cs="Arial"/>
                          <w:b/>
                          <w:sz w:val="22"/>
                          <w:szCs w:val="22"/>
                        </w:rPr>
                        <w:t xml:space="preserve">: </w:t>
                      </w:r>
                      <w:r>
                        <w:rPr>
                          <w:rFonts w:ascii="Andes" w:eastAsiaTheme="minorHAnsi" w:hAnsi="Andes" w:cs="Arial"/>
                          <w:b/>
                          <w:sz w:val="22"/>
                          <w:szCs w:val="22"/>
                        </w:rPr>
                        <w:t>schématisation du processus de S</w:t>
                      </w:r>
                      <w:r w:rsidRPr="00D124D9">
                        <w:rPr>
                          <w:rFonts w:ascii="Andes" w:eastAsiaTheme="minorHAnsi" w:hAnsi="Andes" w:cs="Arial"/>
                          <w:b/>
                          <w:sz w:val="22"/>
                          <w:szCs w:val="22"/>
                        </w:rPr>
                        <w:t xml:space="preserve">élection </w:t>
                      </w:r>
                      <w:r>
                        <w:rPr>
                          <w:rFonts w:ascii="Andes" w:eastAsiaTheme="minorHAnsi" w:hAnsi="Andes" w:cs="Arial"/>
                          <w:b/>
                          <w:sz w:val="22"/>
                          <w:szCs w:val="22"/>
                        </w:rPr>
                        <w:t>Initiale</w:t>
                      </w:r>
                    </w:p>
                    <w:p w14:paraId="105FE02E" w14:textId="5980D9D6" w:rsidR="00A41794" w:rsidRPr="00B30D79" w:rsidRDefault="00A41794"/>
                  </w:txbxContent>
                </v:textbox>
                <w10:wrap type="square" anchorx="margin"/>
              </v:shape>
            </w:pict>
          </mc:Fallback>
        </mc:AlternateContent>
      </w:r>
    </w:p>
    <w:p w14:paraId="4D364D99" w14:textId="6DED297A" w:rsidR="00341E34" w:rsidRPr="00D124D9" w:rsidRDefault="00D774AF" w:rsidP="00243CA7">
      <w:pPr>
        <w:spacing w:before="240" w:after="240" w:line="240" w:lineRule="auto"/>
        <w:ind w:left="634"/>
        <w:contextualSpacing w:val="0"/>
        <w:jc w:val="left"/>
        <w:rPr>
          <w:rFonts w:ascii="Andes" w:hAnsi="Andes" w:cs="Arial"/>
          <w:b/>
          <w:color w:val="4F81BD"/>
        </w:rPr>
      </w:pPr>
      <w:r w:rsidRPr="00E35EEE">
        <w:rPr>
          <w:rFonts w:ascii="Andes" w:hAnsi="Andes" w:cs="Arial"/>
          <w:b/>
          <w:noProof/>
          <w:color w:val="4F81BD"/>
          <w:lang w:val="en-US"/>
        </w:rPr>
        <w:drawing>
          <wp:anchor distT="0" distB="0" distL="114300" distR="114300" simplePos="0" relativeHeight="251641856" behindDoc="0" locked="0" layoutInCell="1" allowOverlap="1" wp14:anchorId="0F468DA4" wp14:editId="5EFAA563">
            <wp:simplePos x="0" y="0"/>
            <wp:positionH relativeFrom="column">
              <wp:posOffset>575945</wp:posOffset>
            </wp:positionH>
            <wp:positionV relativeFrom="paragraph">
              <wp:posOffset>21162</wp:posOffset>
            </wp:positionV>
            <wp:extent cx="4953635" cy="432625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7229" t="1839" r="5297" b="39885"/>
                    <a:stretch/>
                  </pic:blipFill>
                  <pic:spPr bwMode="auto">
                    <a:xfrm>
                      <a:off x="0" y="0"/>
                      <a:ext cx="4953635" cy="4326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1E34" w:rsidRPr="00D124D9">
        <w:rPr>
          <w:rFonts w:ascii="Andes" w:hAnsi="Andes" w:cs="Arial"/>
          <w:b/>
          <w:sz w:val="28"/>
          <w:szCs w:val="28"/>
          <w:u w:val="single"/>
        </w:rPr>
        <w:t>Modèle 1 d’appel à propositions </w:t>
      </w:r>
      <w:r w:rsidR="00341E34" w:rsidRPr="00D124D9">
        <w:rPr>
          <w:rFonts w:ascii="Andes" w:hAnsi="Andes" w:cs="Arial"/>
          <w:b/>
          <w:sz w:val="28"/>
          <w:szCs w:val="28"/>
        </w:rPr>
        <w:t>: pro</w:t>
      </w:r>
      <w:r w:rsidR="00341E34">
        <w:rPr>
          <w:rFonts w:ascii="Andes" w:hAnsi="Andes" w:cs="Arial"/>
          <w:b/>
          <w:sz w:val="28"/>
          <w:szCs w:val="28"/>
        </w:rPr>
        <w:t>cessus en deux étapes après la S</w:t>
      </w:r>
      <w:r w:rsidR="00341E34" w:rsidRPr="00D124D9">
        <w:rPr>
          <w:rFonts w:ascii="Andes" w:hAnsi="Andes" w:cs="Arial"/>
          <w:b/>
          <w:sz w:val="28"/>
          <w:szCs w:val="28"/>
        </w:rPr>
        <w:t xml:space="preserve">élection </w:t>
      </w:r>
      <w:r w:rsidR="00341E34">
        <w:rPr>
          <w:rFonts w:ascii="Andes" w:hAnsi="Andes" w:cs="Arial"/>
          <w:b/>
          <w:sz w:val="28"/>
          <w:szCs w:val="28"/>
        </w:rPr>
        <w:t>Initiale</w:t>
      </w:r>
    </w:p>
    <w:p w14:paraId="374BB568" w14:textId="77777777" w:rsidR="00341E34" w:rsidRPr="00D124D9" w:rsidRDefault="00341E34" w:rsidP="00341E34">
      <w:pPr>
        <w:pStyle w:val="Paragraphedeliste"/>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Les caractéristiques du Modèle 1 sont les suivantes</w:t>
      </w:r>
      <w:r w:rsidRPr="00D124D9">
        <w:rPr>
          <w:rFonts w:ascii="Calibri" w:hAnsi="Calibri" w:cs="Arial"/>
          <w:sz w:val="22"/>
          <w:szCs w:val="22"/>
        </w:rPr>
        <w:t> </w:t>
      </w:r>
      <w:r w:rsidRPr="00D124D9">
        <w:rPr>
          <w:rFonts w:ascii="Andes" w:hAnsi="Andes" w:cs="Arial"/>
          <w:sz w:val="22"/>
          <w:szCs w:val="22"/>
        </w:rPr>
        <w:t>:</w:t>
      </w:r>
    </w:p>
    <w:p w14:paraId="6E7B33EA" w14:textId="77777777" w:rsidR="00341E34" w:rsidRPr="00D124D9" w:rsidRDefault="00341E34" w:rsidP="00341E34">
      <w:pPr>
        <w:pStyle w:val="Paragraphedeliste"/>
        <w:numPr>
          <w:ilvl w:val="0"/>
          <w:numId w:val="227"/>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Phase préliminaire</w:t>
      </w:r>
      <w:r w:rsidRPr="00D124D9">
        <w:rPr>
          <w:rFonts w:ascii="Calibri" w:eastAsiaTheme="minorHAnsi" w:hAnsi="Calibri" w:cs="Arial"/>
          <w:b/>
          <w:color w:val="000000"/>
          <w:sz w:val="22"/>
          <w:szCs w:val="22"/>
        </w:rPr>
        <w:t> </w:t>
      </w:r>
      <w:r>
        <w:rPr>
          <w:rFonts w:ascii="Andes" w:eastAsiaTheme="minorHAnsi" w:hAnsi="Andes" w:cs="Arial"/>
          <w:color w:val="000000"/>
          <w:sz w:val="22"/>
          <w:szCs w:val="22"/>
        </w:rPr>
        <w:t>: S</w:t>
      </w:r>
      <w:r w:rsidRPr="00D124D9">
        <w:rPr>
          <w:rFonts w:ascii="Andes" w:eastAsiaTheme="minorHAnsi" w:hAnsi="Andes" w:cs="Arial"/>
          <w:color w:val="000000"/>
          <w:sz w:val="22"/>
          <w:szCs w:val="22"/>
        </w:rPr>
        <w:t xml:space="preserve">élection </w:t>
      </w:r>
      <w:r>
        <w:rPr>
          <w:rFonts w:ascii="Andes" w:eastAsiaTheme="minorHAnsi" w:hAnsi="Andes" w:cs="Arial"/>
          <w:color w:val="000000"/>
          <w:sz w:val="22"/>
          <w:szCs w:val="22"/>
        </w:rPr>
        <w:t>Initiale</w:t>
      </w:r>
      <w:r w:rsidRPr="00D124D9">
        <w:rPr>
          <w:rFonts w:ascii="Andes" w:eastAsiaTheme="minorHAnsi" w:hAnsi="Andes" w:cs="Arial"/>
          <w:color w:val="000000"/>
          <w:sz w:val="22"/>
          <w:szCs w:val="22"/>
        </w:rPr>
        <w:t xml:space="preserve"> (décrite au paragraphe 3.1 de la présente annexe)</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07838FBF" w14:textId="77777777" w:rsidR="00341E34" w:rsidRPr="00D124D9" w:rsidRDefault="00341E34" w:rsidP="00341E34">
      <w:pPr>
        <w:pStyle w:val="Paragraphedeliste"/>
        <w:numPr>
          <w:ilvl w:val="0"/>
          <w:numId w:val="227"/>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Étape 1</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w:t>
      </w:r>
      <w:r w:rsidRPr="00D124D9">
        <w:rPr>
          <w:rFonts w:ascii="Andes" w:eastAsiaTheme="minorHAnsi" w:hAnsi="Andes" w:cs="Arial"/>
          <w:color w:val="000000"/>
          <w:sz w:val="22"/>
          <w:szCs w:val="22"/>
        </w:rPr>
        <w:t xml:space="preserve"> </w:t>
      </w:r>
      <w:r>
        <w:rPr>
          <w:rFonts w:ascii="Andes" w:eastAsiaTheme="minorHAnsi" w:hAnsi="Andes" w:cs="Arial"/>
          <w:color w:val="000000"/>
          <w:sz w:val="22"/>
          <w:szCs w:val="22"/>
        </w:rPr>
        <w:t>demande et évaluation des P</w:t>
      </w:r>
      <w:r w:rsidRPr="00D124D9">
        <w:rPr>
          <w:rFonts w:ascii="Andes" w:eastAsiaTheme="minorHAnsi" w:hAnsi="Andes" w:cs="Arial"/>
          <w:color w:val="000000"/>
          <w:sz w:val="22"/>
          <w:szCs w:val="22"/>
        </w:rPr>
        <w:t>ropositions tech</w:t>
      </w:r>
      <w:r>
        <w:rPr>
          <w:rFonts w:ascii="Andes" w:eastAsiaTheme="minorHAnsi" w:hAnsi="Andes" w:cs="Arial"/>
          <w:color w:val="000000"/>
          <w:sz w:val="22"/>
          <w:szCs w:val="22"/>
        </w:rPr>
        <w:t xml:space="preserve">niques. Au cours de cette étape, </w:t>
      </w:r>
      <w:r w:rsidRPr="00D124D9">
        <w:rPr>
          <w:rFonts w:ascii="Andes" w:eastAsiaTheme="minorHAnsi" w:hAnsi="Andes" w:cs="Arial"/>
          <w:color w:val="000000"/>
          <w:sz w:val="22"/>
          <w:szCs w:val="22"/>
        </w:rPr>
        <w:t xml:space="preserve">l’Emprunteur </w:t>
      </w:r>
      <w:r>
        <w:rPr>
          <w:rFonts w:ascii="Andes" w:eastAsiaTheme="minorHAnsi" w:hAnsi="Andes" w:cs="Arial"/>
          <w:color w:val="000000"/>
          <w:sz w:val="22"/>
          <w:szCs w:val="22"/>
        </w:rPr>
        <w:t>organise des rencontres</w:t>
      </w:r>
      <w:r w:rsidRPr="00D124D9">
        <w:rPr>
          <w:rFonts w:ascii="Andes" w:eastAsiaTheme="minorHAnsi" w:hAnsi="Andes" w:cs="Arial"/>
          <w:color w:val="000000"/>
          <w:sz w:val="22"/>
          <w:szCs w:val="22"/>
        </w:rPr>
        <w:t xml:space="preserve"> avec cha</w:t>
      </w:r>
      <w:r>
        <w:rPr>
          <w:rFonts w:ascii="Andes" w:eastAsiaTheme="minorHAnsi" w:hAnsi="Andes" w:cs="Arial"/>
          <w:color w:val="000000"/>
          <w:sz w:val="22"/>
          <w:szCs w:val="22"/>
        </w:rPr>
        <w:t>cun des p</w:t>
      </w:r>
      <w:r w:rsidRPr="00D124D9">
        <w:rPr>
          <w:rFonts w:ascii="Andes" w:eastAsiaTheme="minorHAnsi" w:hAnsi="Andes" w:cs="Arial"/>
          <w:color w:val="000000"/>
          <w:sz w:val="22"/>
          <w:szCs w:val="22"/>
        </w:rPr>
        <w:t>roposant</w:t>
      </w:r>
      <w:r>
        <w:rPr>
          <w:rFonts w:ascii="Andes" w:eastAsiaTheme="minorHAnsi" w:hAnsi="Andes" w:cs="Arial"/>
          <w:color w:val="000000"/>
          <w:sz w:val="22"/>
          <w:szCs w:val="22"/>
        </w:rPr>
        <w:t>s Initialement S</w:t>
      </w:r>
      <w:r w:rsidRPr="00D124D9">
        <w:rPr>
          <w:rFonts w:ascii="Andes" w:eastAsiaTheme="minorHAnsi" w:hAnsi="Andes" w:cs="Arial"/>
          <w:color w:val="000000"/>
          <w:sz w:val="22"/>
          <w:szCs w:val="22"/>
        </w:rPr>
        <w:t>électionné</w:t>
      </w:r>
      <w:r>
        <w:rPr>
          <w:rFonts w:ascii="Andes" w:eastAsiaTheme="minorHAnsi" w:hAnsi="Andes" w:cs="Arial"/>
          <w:color w:val="000000"/>
          <w:sz w:val="22"/>
          <w:szCs w:val="22"/>
        </w:rPr>
        <w:t>s</w:t>
      </w:r>
      <w:r w:rsidRPr="00D124D9">
        <w:rPr>
          <w:rFonts w:ascii="Andes" w:eastAsiaTheme="minorHAnsi" w:hAnsi="Andes" w:cs="Arial"/>
          <w:color w:val="000000"/>
          <w:sz w:val="22"/>
          <w:szCs w:val="22"/>
        </w:rPr>
        <w:t xml:space="preserve"> et peut réviser les exigences de performance commerciale ou fonctionnelle. Les exigences révisées sont communi</w:t>
      </w:r>
      <w:r>
        <w:rPr>
          <w:rFonts w:ascii="Andes" w:eastAsiaTheme="minorHAnsi" w:hAnsi="Andes" w:cs="Arial"/>
          <w:color w:val="000000"/>
          <w:sz w:val="22"/>
          <w:szCs w:val="22"/>
        </w:rPr>
        <w:t>quées simultanément à tous les P</w:t>
      </w:r>
      <w:r w:rsidRPr="00D124D9">
        <w:rPr>
          <w:rFonts w:ascii="Andes" w:eastAsiaTheme="minorHAnsi" w:hAnsi="Andes" w:cs="Arial"/>
          <w:color w:val="000000"/>
          <w:sz w:val="22"/>
          <w:szCs w:val="22"/>
        </w:rPr>
        <w:t>roposants. Ceux-ci ont la possibilité</w:t>
      </w:r>
      <w:r>
        <w:rPr>
          <w:rFonts w:ascii="Andes" w:eastAsiaTheme="minorHAnsi" w:hAnsi="Andes" w:cs="Arial"/>
          <w:color w:val="000000"/>
          <w:sz w:val="22"/>
          <w:szCs w:val="22"/>
        </w:rPr>
        <w:t xml:space="preserve"> de remettre leurs P</w:t>
      </w:r>
      <w:r w:rsidRPr="00D124D9">
        <w:rPr>
          <w:rFonts w:ascii="Andes" w:eastAsiaTheme="minorHAnsi" w:hAnsi="Andes" w:cs="Arial"/>
          <w:color w:val="000000"/>
          <w:sz w:val="22"/>
          <w:szCs w:val="22"/>
        </w:rPr>
        <w:t>ropositions modifiées en fonction des besoins révisés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5D2E500D" w14:textId="77777777" w:rsidR="00341E34" w:rsidRPr="00D124D9" w:rsidRDefault="00341E34" w:rsidP="00341E34">
      <w:pPr>
        <w:pStyle w:val="Paragraphedeliste"/>
        <w:numPr>
          <w:ilvl w:val="0"/>
          <w:numId w:val="227"/>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Étape 2</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w:t>
      </w:r>
      <w:r w:rsidRPr="00D124D9">
        <w:rPr>
          <w:rFonts w:ascii="Andes" w:eastAsiaTheme="minorHAnsi" w:hAnsi="Andes" w:cs="Arial"/>
          <w:color w:val="000000"/>
          <w:sz w:val="22"/>
          <w:szCs w:val="22"/>
        </w:rPr>
        <w:t xml:space="preserve"> </w:t>
      </w:r>
      <w:r>
        <w:rPr>
          <w:rFonts w:ascii="Andes" w:eastAsiaTheme="minorHAnsi" w:hAnsi="Andes" w:cs="Arial"/>
          <w:color w:val="000000"/>
          <w:sz w:val="22"/>
          <w:szCs w:val="22"/>
        </w:rPr>
        <w:t>demande et évaluation des P</w:t>
      </w:r>
      <w:r w:rsidRPr="00D124D9">
        <w:rPr>
          <w:rFonts w:ascii="Andes" w:eastAsiaTheme="minorHAnsi" w:hAnsi="Andes" w:cs="Arial"/>
          <w:color w:val="000000"/>
          <w:sz w:val="22"/>
          <w:szCs w:val="22"/>
        </w:rPr>
        <w:t xml:space="preserve">ropositions techniques et financières </w:t>
      </w:r>
      <w:r>
        <w:rPr>
          <w:rFonts w:ascii="Andes" w:eastAsiaTheme="minorHAnsi" w:hAnsi="Andes" w:cs="Arial"/>
          <w:color w:val="000000"/>
          <w:sz w:val="22"/>
          <w:szCs w:val="22"/>
        </w:rPr>
        <w:t>complètes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et</w:t>
      </w:r>
    </w:p>
    <w:p w14:paraId="54C1EF5E" w14:textId="18C66B7C" w:rsidR="00341E34" w:rsidRPr="00D124D9" w:rsidRDefault="00341E34" w:rsidP="00341E34">
      <w:pPr>
        <w:pStyle w:val="Paragraphedeliste"/>
        <w:numPr>
          <w:ilvl w:val="0"/>
          <w:numId w:val="227"/>
        </w:numPr>
        <w:spacing w:before="0" w:line="240" w:lineRule="auto"/>
        <w:contextualSpacing w:val="0"/>
        <w:rPr>
          <w:rFonts w:ascii="Andes" w:eastAsiaTheme="minorHAnsi" w:hAnsi="Andes" w:cs="Arial"/>
          <w:color w:val="000000"/>
          <w:sz w:val="22"/>
          <w:szCs w:val="22"/>
        </w:rPr>
      </w:pPr>
      <w:r>
        <w:rPr>
          <w:rFonts w:ascii="Andes" w:eastAsiaTheme="minorHAnsi" w:hAnsi="Andes" w:cs="Arial"/>
          <w:b/>
          <w:color w:val="000000"/>
          <w:sz w:val="22"/>
          <w:szCs w:val="22"/>
        </w:rPr>
        <w:t>M</w:t>
      </w:r>
      <w:r w:rsidRPr="00D124D9">
        <w:rPr>
          <w:rFonts w:ascii="Andes" w:eastAsiaTheme="minorHAnsi" w:hAnsi="Andes" w:cs="Arial"/>
          <w:b/>
          <w:color w:val="000000"/>
          <w:sz w:val="22"/>
          <w:szCs w:val="22"/>
        </w:rPr>
        <w:t>eilleure offre finale (</w:t>
      </w:r>
      <w:r w:rsidR="007A249C">
        <w:rPr>
          <w:rFonts w:ascii="Andes" w:eastAsiaTheme="minorHAnsi" w:hAnsi="Andes" w:cs="Arial"/>
          <w:b/>
          <w:color w:val="000000"/>
          <w:sz w:val="22"/>
          <w:szCs w:val="22"/>
        </w:rPr>
        <w:t>MOF</w:t>
      </w:r>
      <w:r w:rsidRPr="00D124D9">
        <w:rPr>
          <w:rFonts w:ascii="Andes" w:eastAsiaTheme="minorHAnsi" w:hAnsi="Andes" w:cs="Arial"/>
          <w:b/>
          <w:color w:val="000000"/>
          <w:sz w:val="22"/>
          <w:szCs w:val="22"/>
        </w:rPr>
        <w:t>) o</w:t>
      </w:r>
      <w:r>
        <w:rPr>
          <w:rFonts w:ascii="Andes" w:eastAsiaTheme="minorHAnsi" w:hAnsi="Andes" w:cs="Arial"/>
          <w:b/>
          <w:color w:val="000000"/>
          <w:sz w:val="22"/>
          <w:szCs w:val="22"/>
        </w:rPr>
        <w:t>u N</w:t>
      </w:r>
      <w:r w:rsidRPr="00D124D9">
        <w:rPr>
          <w:rFonts w:ascii="Andes" w:eastAsiaTheme="minorHAnsi" w:hAnsi="Andes" w:cs="Arial"/>
          <w:b/>
          <w:color w:val="000000"/>
          <w:sz w:val="22"/>
          <w:szCs w:val="22"/>
        </w:rPr>
        <w:t>égociation</w:t>
      </w:r>
      <w:r>
        <w:rPr>
          <w:rFonts w:ascii="Andes" w:eastAsiaTheme="minorHAnsi" w:hAnsi="Andes" w:cs="Arial"/>
          <w:b/>
          <w:color w:val="000000"/>
          <w:sz w:val="22"/>
          <w:szCs w:val="22"/>
        </w:rPr>
        <w:t>s</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w:t>
      </w:r>
      <w:r w:rsidRPr="00D124D9">
        <w:rPr>
          <w:rFonts w:ascii="Andes" w:eastAsiaTheme="minorHAnsi" w:hAnsi="Andes" w:cs="Arial"/>
          <w:color w:val="000000"/>
          <w:sz w:val="22"/>
          <w:szCs w:val="22"/>
        </w:rPr>
        <w:t xml:space="preserve"> ces deux procédures </w:t>
      </w:r>
      <w:r>
        <w:rPr>
          <w:rFonts w:ascii="Andes" w:eastAsiaTheme="minorHAnsi" w:hAnsi="Andes" w:cs="Arial"/>
          <w:color w:val="000000"/>
          <w:sz w:val="22"/>
          <w:szCs w:val="22"/>
        </w:rPr>
        <w:t xml:space="preserve">optionnelles </w:t>
      </w:r>
      <w:r w:rsidRPr="00D124D9">
        <w:rPr>
          <w:rFonts w:ascii="Andes" w:eastAsiaTheme="minorHAnsi" w:hAnsi="Andes" w:cs="Arial"/>
          <w:color w:val="000000"/>
          <w:sz w:val="22"/>
          <w:szCs w:val="22"/>
        </w:rPr>
        <w:t>sont mutuellement exclusives.</w:t>
      </w:r>
    </w:p>
    <w:p w14:paraId="2F08D186" w14:textId="77777777" w:rsidR="00341E34" w:rsidRPr="00D124D9" w:rsidRDefault="00341E34" w:rsidP="00341E34">
      <w:pPr>
        <w:pStyle w:val="Paragraphedeliste"/>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L’Emprunteur suit les étapes décrites ci-dessous pour passer un marché à l’aide du Modèle 1 de méthode de sélection </w:t>
      </w:r>
      <w:r>
        <w:rPr>
          <w:rFonts w:ascii="Andes" w:hAnsi="Andes" w:cs="Arial"/>
          <w:sz w:val="22"/>
          <w:szCs w:val="22"/>
        </w:rPr>
        <w:t xml:space="preserve">par </w:t>
      </w:r>
      <w:r w:rsidRPr="00D124D9">
        <w:rPr>
          <w:rFonts w:ascii="Andes" w:hAnsi="Andes" w:cs="Arial"/>
          <w:sz w:val="22"/>
          <w:szCs w:val="22"/>
        </w:rPr>
        <w:t>appel à propositions. Cette procédure n’</w:t>
      </w:r>
      <w:r>
        <w:rPr>
          <w:rFonts w:ascii="Andes" w:hAnsi="Andes" w:cs="Arial"/>
          <w:sz w:val="22"/>
          <w:szCs w:val="22"/>
        </w:rPr>
        <w:t>est applicable qu’en l’absence de</w:t>
      </w:r>
      <w:r w:rsidRPr="00D124D9">
        <w:rPr>
          <w:rFonts w:ascii="Andes" w:hAnsi="Andes" w:cs="Arial"/>
          <w:sz w:val="22"/>
          <w:szCs w:val="22"/>
        </w:rPr>
        <w:t xml:space="preserve"> MOF</w:t>
      </w:r>
      <w:r>
        <w:rPr>
          <w:rFonts w:ascii="Andes" w:hAnsi="Andes" w:cs="Arial"/>
          <w:sz w:val="22"/>
          <w:szCs w:val="22"/>
        </w:rPr>
        <w:t xml:space="preserve"> ou de N</w:t>
      </w:r>
      <w:r w:rsidRPr="00D124D9">
        <w:rPr>
          <w:rFonts w:ascii="Andes" w:hAnsi="Andes" w:cs="Arial"/>
          <w:sz w:val="22"/>
          <w:szCs w:val="22"/>
        </w:rPr>
        <w:t>égociations</w:t>
      </w:r>
      <w:r w:rsidRPr="00D124D9">
        <w:rPr>
          <w:rFonts w:ascii="Calibri" w:hAnsi="Calibri" w:cs="Arial"/>
          <w:sz w:val="22"/>
          <w:szCs w:val="22"/>
        </w:rPr>
        <w:t> </w:t>
      </w:r>
      <w:r w:rsidRPr="00D124D9">
        <w:rPr>
          <w:rFonts w:ascii="Andes" w:hAnsi="Andes" w:cs="Arial"/>
          <w:sz w:val="22"/>
          <w:szCs w:val="22"/>
        </w:rPr>
        <w:t>:</w:t>
      </w:r>
    </w:p>
    <w:p w14:paraId="005ADC7F" w14:textId="585276F2" w:rsidR="00341E34" w:rsidRPr="00D124D9" w:rsidRDefault="00341E34" w:rsidP="00341E34">
      <w:pPr>
        <w:pStyle w:val="Paragraphedeliste"/>
        <w:numPr>
          <w:ilvl w:val="0"/>
          <w:numId w:val="228"/>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lastRenderedPageBreak/>
        <w:t xml:space="preserve">Sélection </w:t>
      </w:r>
      <w:r>
        <w:rPr>
          <w:rFonts w:ascii="Andes" w:eastAsiaTheme="minorHAnsi" w:hAnsi="Andes" w:cs="Arial"/>
          <w:b/>
          <w:color w:val="000000"/>
          <w:sz w:val="22"/>
          <w:szCs w:val="22"/>
        </w:rPr>
        <w:t>Initiale</w:t>
      </w:r>
      <w:r w:rsidRPr="00D124D9">
        <w:rPr>
          <w:rFonts w:ascii="Andes" w:eastAsiaTheme="minorHAnsi" w:hAnsi="Andes" w:cs="Arial"/>
          <w:b/>
          <w:color w:val="000000"/>
          <w:sz w:val="22"/>
          <w:szCs w:val="22"/>
        </w:rPr>
        <w:t> :</w:t>
      </w:r>
      <w:r w:rsidRPr="00D124D9">
        <w:rPr>
          <w:rFonts w:ascii="Andes" w:eastAsiaTheme="minorHAnsi" w:hAnsi="Andes" w:cs="Arial"/>
          <w:color w:val="000000"/>
          <w:sz w:val="22"/>
          <w:szCs w:val="22"/>
        </w:rPr>
        <w:t xml:space="preserve"> appliquer les procédures décrites au paragraphe 3.1 de la prése</w:t>
      </w:r>
      <w:r>
        <w:rPr>
          <w:rFonts w:ascii="Andes" w:eastAsiaTheme="minorHAnsi" w:hAnsi="Andes" w:cs="Arial"/>
          <w:color w:val="000000"/>
          <w:sz w:val="22"/>
          <w:szCs w:val="22"/>
        </w:rPr>
        <w:t>nte annexe pour identifier les P</w:t>
      </w:r>
      <w:r w:rsidRPr="00D124D9">
        <w:rPr>
          <w:rFonts w:ascii="Andes" w:eastAsiaTheme="minorHAnsi" w:hAnsi="Andes" w:cs="Arial"/>
          <w:color w:val="000000"/>
          <w:sz w:val="22"/>
          <w:szCs w:val="22"/>
        </w:rPr>
        <w:t xml:space="preserve">roposants les mieux classés </w:t>
      </w:r>
      <w:r>
        <w:rPr>
          <w:rFonts w:ascii="Andes" w:eastAsiaTheme="minorHAnsi" w:hAnsi="Andes" w:cs="Arial"/>
          <w:color w:val="000000"/>
          <w:sz w:val="22"/>
          <w:szCs w:val="22"/>
        </w:rPr>
        <w:t>Initiale</w:t>
      </w:r>
      <w:r w:rsidRPr="00D124D9">
        <w:rPr>
          <w:rFonts w:ascii="Andes" w:eastAsiaTheme="minorHAnsi" w:hAnsi="Andes" w:cs="Arial"/>
          <w:color w:val="000000"/>
          <w:sz w:val="22"/>
          <w:szCs w:val="22"/>
        </w:rPr>
        <w:t>ment admis à passer à l’Étape 1</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38C9AD4F" w14:textId="77777777" w:rsidR="00341E34" w:rsidRPr="00D124D9" w:rsidRDefault="00341E34" w:rsidP="00341E34">
      <w:pPr>
        <w:pStyle w:val="Paragraphedeliste"/>
        <w:numPr>
          <w:ilvl w:val="0"/>
          <w:numId w:val="228"/>
        </w:numPr>
        <w:tabs>
          <w:tab w:val="left" w:pos="4320"/>
        </w:tabs>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Étape 1, appel à propositions</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w:t>
      </w:r>
      <w:r w:rsidRPr="00D124D9">
        <w:rPr>
          <w:rFonts w:ascii="Andes" w:eastAsiaTheme="minorHAnsi" w:hAnsi="Andes" w:cs="Arial"/>
          <w:color w:val="000000"/>
          <w:sz w:val="22"/>
          <w:szCs w:val="22"/>
        </w:rPr>
        <w:t xml:space="preserve"> préparer le dossier d’appel à propositions, sur le modèle du dossier type de la Banque en la matière ;</w:t>
      </w:r>
    </w:p>
    <w:p w14:paraId="2C0A79E2" w14:textId="0CFC24CE" w:rsidR="00341E34" w:rsidRPr="00D124D9" w:rsidRDefault="00341E34" w:rsidP="00341E34">
      <w:pPr>
        <w:pStyle w:val="Paragraphedeliste"/>
        <w:numPr>
          <w:ilvl w:val="0"/>
          <w:numId w:val="228"/>
        </w:numPr>
        <w:spacing w:before="0" w:line="240" w:lineRule="auto"/>
        <w:contextualSpacing w:val="0"/>
        <w:rPr>
          <w:rFonts w:ascii="Andes" w:eastAsiaTheme="minorHAnsi" w:hAnsi="Andes" w:cs="Arial"/>
          <w:color w:val="000000"/>
          <w:sz w:val="22"/>
          <w:szCs w:val="22"/>
        </w:rPr>
      </w:pPr>
      <w:r>
        <w:rPr>
          <w:rFonts w:ascii="Andes" w:eastAsiaTheme="minorHAnsi" w:hAnsi="Andes" w:cs="Arial"/>
          <w:b/>
          <w:color w:val="000000"/>
          <w:sz w:val="22"/>
          <w:szCs w:val="22"/>
        </w:rPr>
        <w:t>Diffus</w:t>
      </w:r>
      <w:r w:rsidRPr="00D124D9">
        <w:rPr>
          <w:rFonts w:ascii="Andes" w:eastAsiaTheme="minorHAnsi" w:hAnsi="Andes" w:cs="Arial"/>
          <w:b/>
          <w:color w:val="000000"/>
          <w:sz w:val="22"/>
          <w:szCs w:val="22"/>
        </w:rPr>
        <w:t>ion de l’appel à propositions</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w:t>
      </w:r>
      <w:r w:rsidRPr="00D124D9">
        <w:rPr>
          <w:rFonts w:ascii="Andes" w:eastAsiaTheme="minorHAnsi" w:hAnsi="Andes" w:cs="Arial"/>
          <w:color w:val="000000"/>
          <w:sz w:val="22"/>
          <w:szCs w:val="22"/>
        </w:rPr>
        <w:t xml:space="preserve"> communiquer le dossier d’</w:t>
      </w:r>
      <w:r w:rsidR="00613913">
        <w:rPr>
          <w:rFonts w:ascii="Andes" w:eastAsiaTheme="minorHAnsi" w:hAnsi="Andes" w:cs="Arial"/>
          <w:color w:val="000000"/>
          <w:sz w:val="22"/>
          <w:szCs w:val="22"/>
        </w:rPr>
        <w:t>A</w:t>
      </w:r>
      <w:r>
        <w:rPr>
          <w:rFonts w:ascii="Andes" w:eastAsiaTheme="minorHAnsi" w:hAnsi="Andes" w:cs="Arial"/>
          <w:color w:val="000000"/>
          <w:sz w:val="22"/>
          <w:szCs w:val="22"/>
        </w:rPr>
        <w:t xml:space="preserve">ppel à </w:t>
      </w:r>
      <w:r w:rsidR="00613913">
        <w:rPr>
          <w:rFonts w:ascii="Andes" w:eastAsiaTheme="minorHAnsi" w:hAnsi="Andes" w:cs="Arial"/>
          <w:color w:val="000000"/>
          <w:sz w:val="22"/>
          <w:szCs w:val="22"/>
        </w:rPr>
        <w:t>P</w:t>
      </w:r>
      <w:r>
        <w:rPr>
          <w:rFonts w:ascii="Andes" w:eastAsiaTheme="minorHAnsi" w:hAnsi="Andes" w:cs="Arial"/>
          <w:color w:val="000000"/>
          <w:sz w:val="22"/>
          <w:szCs w:val="22"/>
        </w:rPr>
        <w:t>ropositions à tous les C</w:t>
      </w:r>
      <w:r w:rsidRPr="00D124D9">
        <w:rPr>
          <w:rFonts w:ascii="Andes" w:eastAsiaTheme="minorHAnsi" w:hAnsi="Andes" w:cs="Arial"/>
          <w:color w:val="000000"/>
          <w:sz w:val="22"/>
          <w:szCs w:val="22"/>
        </w:rPr>
        <w:t>a</w:t>
      </w:r>
      <w:r>
        <w:rPr>
          <w:rFonts w:ascii="Andes" w:eastAsiaTheme="minorHAnsi" w:hAnsi="Andes" w:cs="Arial"/>
          <w:color w:val="000000"/>
          <w:sz w:val="22"/>
          <w:szCs w:val="22"/>
        </w:rPr>
        <w:t>ndidats Initialement S</w:t>
      </w:r>
      <w:r w:rsidRPr="00D124D9">
        <w:rPr>
          <w:rFonts w:ascii="Andes" w:eastAsiaTheme="minorHAnsi" w:hAnsi="Andes" w:cs="Arial"/>
          <w:color w:val="000000"/>
          <w:sz w:val="22"/>
          <w:szCs w:val="22"/>
        </w:rPr>
        <w:t>électionnés en les invit</w:t>
      </w:r>
      <w:r>
        <w:rPr>
          <w:rFonts w:ascii="Andes" w:eastAsiaTheme="minorHAnsi" w:hAnsi="Andes" w:cs="Arial"/>
          <w:color w:val="000000"/>
          <w:sz w:val="22"/>
          <w:szCs w:val="22"/>
        </w:rPr>
        <w:t>ant à soumettre uniquement les P</w:t>
      </w:r>
      <w:r w:rsidRPr="00D124D9">
        <w:rPr>
          <w:rFonts w:ascii="Andes" w:eastAsiaTheme="minorHAnsi" w:hAnsi="Andes" w:cs="Arial"/>
          <w:color w:val="000000"/>
          <w:sz w:val="22"/>
          <w:szCs w:val="22"/>
        </w:rPr>
        <w:t>ropositions techniques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28F28E39" w14:textId="77777777" w:rsidR="00341E34" w:rsidRPr="00F638E5" w:rsidRDefault="00341E34" w:rsidP="00341E34">
      <w:pPr>
        <w:pStyle w:val="Paragraphedeliste"/>
        <w:numPr>
          <w:ilvl w:val="0"/>
          <w:numId w:val="228"/>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Éclaircissement et modification(s)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xml:space="preserve">: procéder aux éclaircissements et aux modifications conformément aux paragraphes 5.31 et 5.32 </w:t>
      </w:r>
      <w:r w:rsidRPr="00F638E5">
        <w:rPr>
          <w:rFonts w:ascii="Andes" w:eastAsiaTheme="minorHAnsi" w:hAnsi="Andes" w:cs="Arial"/>
          <w:color w:val="000000"/>
          <w:sz w:val="22"/>
          <w:szCs w:val="22"/>
        </w:rPr>
        <w:t>(Éclaircissements sur les Dossiers de Passation des Marchés)</w:t>
      </w:r>
      <w:r w:rsidRPr="00F638E5">
        <w:rPr>
          <w:rFonts w:ascii="Calibri" w:eastAsiaTheme="minorHAnsi" w:hAnsi="Calibri" w:cs="Arial"/>
          <w:color w:val="000000"/>
          <w:sz w:val="22"/>
          <w:szCs w:val="22"/>
        </w:rPr>
        <w:t> </w:t>
      </w:r>
      <w:r w:rsidRPr="00F638E5">
        <w:rPr>
          <w:rFonts w:ascii="Andes" w:eastAsiaTheme="minorHAnsi" w:hAnsi="Andes" w:cs="Arial"/>
          <w:color w:val="000000"/>
          <w:sz w:val="22"/>
          <w:szCs w:val="22"/>
        </w:rPr>
        <w:t>;</w:t>
      </w:r>
    </w:p>
    <w:p w14:paraId="7C46E03E" w14:textId="77777777" w:rsidR="00341E34" w:rsidRPr="00D124D9" w:rsidRDefault="00341E34" w:rsidP="00341E34">
      <w:pPr>
        <w:pStyle w:val="Paragraphedeliste"/>
        <w:numPr>
          <w:ilvl w:val="0"/>
          <w:numId w:val="228"/>
        </w:numPr>
        <w:spacing w:before="0" w:line="240" w:lineRule="auto"/>
        <w:contextualSpacing w:val="0"/>
        <w:rPr>
          <w:rFonts w:ascii="Andes" w:eastAsiaTheme="minorHAnsi" w:hAnsi="Andes" w:cs="Arial"/>
          <w:color w:val="000000"/>
          <w:sz w:val="22"/>
          <w:szCs w:val="22"/>
        </w:rPr>
      </w:pPr>
      <w:r w:rsidRPr="00F638E5">
        <w:rPr>
          <w:rFonts w:ascii="Andes" w:eastAsiaTheme="minorHAnsi" w:hAnsi="Andes" w:cs="Arial"/>
          <w:b/>
          <w:color w:val="000000"/>
          <w:sz w:val="22"/>
          <w:szCs w:val="22"/>
        </w:rPr>
        <w:t>Délai de remise et ouverture des plis contenant les Propositions techniques</w:t>
      </w:r>
      <w:r w:rsidRPr="00F638E5">
        <w:rPr>
          <w:rFonts w:ascii="Calibri" w:eastAsiaTheme="minorHAnsi" w:hAnsi="Calibri" w:cs="Arial"/>
          <w:b/>
          <w:color w:val="000000"/>
          <w:sz w:val="22"/>
          <w:szCs w:val="22"/>
        </w:rPr>
        <w:t> </w:t>
      </w:r>
      <w:r w:rsidRPr="00F638E5">
        <w:rPr>
          <w:rFonts w:ascii="Andes" w:eastAsiaTheme="minorHAnsi" w:hAnsi="Andes" w:cs="Arial"/>
          <w:color w:val="000000"/>
          <w:sz w:val="22"/>
          <w:szCs w:val="22"/>
        </w:rPr>
        <w:t xml:space="preserve">: suivant les dispositions des paragraphes 5.36 et 5.37 (Délai de préparation et </w:t>
      </w:r>
      <w:r>
        <w:rPr>
          <w:rFonts w:ascii="Andes" w:eastAsiaTheme="minorHAnsi" w:hAnsi="Andes" w:cs="Arial"/>
          <w:color w:val="000000"/>
          <w:sz w:val="22"/>
          <w:szCs w:val="22"/>
        </w:rPr>
        <w:t>de remise des O</w:t>
      </w:r>
      <w:r w:rsidRPr="00F638E5">
        <w:rPr>
          <w:rFonts w:ascii="Andes" w:eastAsiaTheme="minorHAnsi" w:hAnsi="Andes" w:cs="Arial"/>
          <w:color w:val="000000"/>
          <w:sz w:val="22"/>
          <w:szCs w:val="22"/>
        </w:rPr>
        <w:t>ffres</w:t>
      </w:r>
      <w:r>
        <w:rPr>
          <w:rFonts w:ascii="Andes" w:eastAsiaTheme="minorHAnsi" w:hAnsi="Andes" w:cs="Arial"/>
          <w:color w:val="000000"/>
          <w:sz w:val="22"/>
          <w:szCs w:val="22"/>
        </w:rPr>
        <w:t>/P</w:t>
      </w:r>
      <w:r w:rsidRPr="00F638E5">
        <w:rPr>
          <w:rFonts w:ascii="Andes" w:eastAsiaTheme="minorHAnsi" w:hAnsi="Andes" w:cs="Arial"/>
          <w:color w:val="000000"/>
          <w:sz w:val="22"/>
          <w:szCs w:val="22"/>
        </w:rPr>
        <w:t>ropositions), et 5.40 à 5.48 (Ouverture des plis),</w:t>
      </w:r>
      <w:r w:rsidRPr="00D124D9">
        <w:rPr>
          <w:rFonts w:ascii="Andes" w:eastAsiaTheme="minorHAnsi" w:hAnsi="Andes" w:cs="Arial"/>
          <w:color w:val="000000"/>
          <w:sz w:val="22"/>
          <w:szCs w:val="22"/>
        </w:rPr>
        <w:t xml:space="preserve"> selon les cas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4615ABED" w14:textId="60D9DB9F" w:rsidR="00341E34" w:rsidRPr="00D124D9" w:rsidRDefault="00341E34" w:rsidP="00341E34">
      <w:pPr>
        <w:pStyle w:val="Paragraphedeliste"/>
        <w:numPr>
          <w:ilvl w:val="0"/>
          <w:numId w:val="228"/>
        </w:numPr>
        <w:spacing w:before="0" w:line="240" w:lineRule="auto"/>
        <w:contextualSpacing w:val="0"/>
        <w:rPr>
          <w:rFonts w:ascii="Andes" w:eastAsiaTheme="minorHAnsi" w:hAnsi="Andes" w:cs="Arial"/>
          <w:color w:val="000000"/>
          <w:sz w:val="22"/>
          <w:szCs w:val="22"/>
        </w:rPr>
      </w:pPr>
      <w:r>
        <w:rPr>
          <w:rFonts w:ascii="Andes" w:eastAsiaTheme="minorHAnsi" w:hAnsi="Andes" w:cs="Arial"/>
          <w:b/>
          <w:color w:val="000000"/>
          <w:sz w:val="22"/>
          <w:szCs w:val="22"/>
        </w:rPr>
        <w:t>Évaluation de la P</w:t>
      </w:r>
      <w:r w:rsidRPr="00D124D9">
        <w:rPr>
          <w:rFonts w:ascii="Andes" w:eastAsiaTheme="minorHAnsi" w:hAnsi="Andes" w:cs="Arial"/>
          <w:b/>
          <w:color w:val="000000"/>
          <w:sz w:val="22"/>
          <w:szCs w:val="22"/>
        </w:rPr>
        <w:t>roposition</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xml:space="preserve">: conformément aux </w:t>
      </w:r>
      <w:r w:rsidR="00975BE8">
        <w:rPr>
          <w:rFonts w:ascii="Andes" w:eastAsiaTheme="minorHAnsi" w:hAnsi="Andes" w:cs="Arial"/>
          <w:color w:val="000000"/>
          <w:sz w:val="22"/>
          <w:szCs w:val="22"/>
        </w:rPr>
        <w:t>C</w:t>
      </w:r>
      <w:r w:rsidRPr="00D124D9">
        <w:rPr>
          <w:rFonts w:ascii="Andes" w:eastAsiaTheme="minorHAnsi" w:hAnsi="Andes" w:cs="Arial"/>
          <w:color w:val="000000"/>
          <w:sz w:val="22"/>
          <w:szCs w:val="22"/>
        </w:rPr>
        <w:t>ritères d’</w:t>
      </w:r>
      <w:r w:rsidR="00975BE8">
        <w:rPr>
          <w:rFonts w:ascii="Andes" w:eastAsiaTheme="minorHAnsi" w:hAnsi="Andes" w:cs="Arial"/>
          <w:color w:val="000000"/>
          <w:sz w:val="22"/>
          <w:szCs w:val="22"/>
        </w:rPr>
        <w:t>E</w:t>
      </w:r>
      <w:r w:rsidRPr="00D124D9">
        <w:rPr>
          <w:rFonts w:ascii="Andes" w:eastAsiaTheme="minorHAnsi" w:hAnsi="Andes" w:cs="Arial"/>
          <w:color w:val="000000"/>
          <w:sz w:val="22"/>
          <w:szCs w:val="22"/>
        </w:rPr>
        <w:t>valuation définis dans le dossier d’</w:t>
      </w:r>
      <w:r w:rsidR="00E26C36">
        <w:rPr>
          <w:rFonts w:ascii="Andes" w:eastAsiaTheme="minorHAnsi" w:hAnsi="Andes" w:cs="Arial"/>
          <w:color w:val="000000"/>
          <w:sz w:val="22"/>
          <w:szCs w:val="22"/>
        </w:rPr>
        <w:t>A</w:t>
      </w:r>
      <w:r w:rsidRPr="00D124D9">
        <w:rPr>
          <w:rFonts w:ascii="Andes" w:eastAsiaTheme="minorHAnsi" w:hAnsi="Andes" w:cs="Arial"/>
          <w:color w:val="000000"/>
          <w:sz w:val="22"/>
          <w:szCs w:val="22"/>
        </w:rPr>
        <w:t xml:space="preserve">ppel à </w:t>
      </w:r>
      <w:r w:rsidR="00E26C36">
        <w:rPr>
          <w:rFonts w:ascii="Andes" w:eastAsiaTheme="minorHAnsi" w:hAnsi="Andes" w:cs="Arial"/>
          <w:color w:val="000000"/>
          <w:sz w:val="22"/>
          <w:szCs w:val="22"/>
        </w:rPr>
        <w:t>P</w:t>
      </w:r>
      <w:r w:rsidRPr="00D124D9">
        <w:rPr>
          <w:rFonts w:ascii="Andes" w:eastAsiaTheme="minorHAnsi" w:hAnsi="Andes" w:cs="Arial"/>
          <w:color w:val="000000"/>
          <w:sz w:val="22"/>
          <w:szCs w:val="22"/>
        </w:rPr>
        <w:t>ropositions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4871713F" w14:textId="33E00394" w:rsidR="00341E34" w:rsidRPr="00D124D9" w:rsidRDefault="00341E34" w:rsidP="00341E34">
      <w:pPr>
        <w:pStyle w:val="Paragraphedeliste"/>
        <w:numPr>
          <w:ilvl w:val="0"/>
          <w:numId w:val="228"/>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Détermination de la conformité</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selon les exigences définies dans le dossier d’</w:t>
      </w:r>
      <w:r w:rsidR="00975BE8">
        <w:rPr>
          <w:rFonts w:ascii="Andes" w:eastAsiaTheme="minorHAnsi" w:hAnsi="Andes" w:cs="Arial"/>
          <w:color w:val="000000"/>
          <w:sz w:val="22"/>
          <w:szCs w:val="22"/>
        </w:rPr>
        <w:t>A</w:t>
      </w:r>
      <w:r w:rsidRPr="00D124D9">
        <w:rPr>
          <w:rFonts w:ascii="Andes" w:eastAsiaTheme="minorHAnsi" w:hAnsi="Andes" w:cs="Arial"/>
          <w:color w:val="000000"/>
          <w:sz w:val="22"/>
          <w:szCs w:val="22"/>
        </w:rPr>
        <w:t xml:space="preserve">ppel à </w:t>
      </w:r>
      <w:r w:rsidR="00975BE8">
        <w:rPr>
          <w:rFonts w:ascii="Andes" w:eastAsiaTheme="minorHAnsi" w:hAnsi="Andes" w:cs="Arial"/>
          <w:color w:val="000000"/>
          <w:sz w:val="22"/>
          <w:szCs w:val="22"/>
        </w:rPr>
        <w:t>P</w:t>
      </w:r>
      <w:r w:rsidRPr="00D124D9">
        <w:rPr>
          <w:rFonts w:ascii="Andes" w:eastAsiaTheme="minorHAnsi" w:hAnsi="Andes" w:cs="Arial"/>
          <w:color w:val="000000"/>
          <w:sz w:val="22"/>
          <w:szCs w:val="22"/>
        </w:rPr>
        <w:t>ropositions</w:t>
      </w:r>
      <w:r w:rsidRPr="00D124D9">
        <w:rPr>
          <w:rFonts w:eastAsiaTheme="minorHAnsi"/>
        </w:rPr>
        <w:t> </w:t>
      </w:r>
      <w:r w:rsidRPr="00D124D9">
        <w:rPr>
          <w:rFonts w:ascii="Andes" w:eastAsiaTheme="minorHAnsi" w:hAnsi="Andes" w:cs="Arial"/>
          <w:color w:val="000000"/>
          <w:sz w:val="22"/>
          <w:szCs w:val="22"/>
        </w:rPr>
        <w:t>;</w:t>
      </w:r>
    </w:p>
    <w:p w14:paraId="43126909" w14:textId="6A0AF1DF" w:rsidR="00341E34" w:rsidRPr="00D124D9" w:rsidRDefault="00341E34" w:rsidP="00341E34">
      <w:pPr>
        <w:pStyle w:val="Paragraphedeliste"/>
        <w:numPr>
          <w:ilvl w:val="0"/>
          <w:numId w:val="228"/>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Phase préparatoire (réunions, éclaircissements et avenant des modifications)</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w:t>
      </w:r>
      <w:r w:rsidRPr="00D124D9">
        <w:rPr>
          <w:rFonts w:ascii="Andes" w:eastAsiaTheme="minorHAnsi" w:hAnsi="Andes" w:cs="Arial"/>
          <w:color w:val="000000"/>
          <w:sz w:val="22"/>
          <w:szCs w:val="22"/>
        </w:rPr>
        <w:t xml:space="preserve"> l’Emprunteur examine les </w:t>
      </w:r>
      <w:r>
        <w:rPr>
          <w:rFonts w:ascii="Andes" w:eastAsiaTheme="minorHAnsi" w:hAnsi="Andes" w:cs="Arial"/>
          <w:color w:val="000000"/>
          <w:sz w:val="22"/>
          <w:szCs w:val="22"/>
        </w:rPr>
        <w:t>P</w:t>
      </w:r>
      <w:r w:rsidRPr="00D124D9">
        <w:rPr>
          <w:rFonts w:ascii="Andes" w:eastAsiaTheme="minorHAnsi" w:hAnsi="Andes" w:cs="Arial"/>
          <w:color w:val="000000"/>
          <w:sz w:val="22"/>
          <w:szCs w:val="22"/>
        </w:rPr>
        <w:t xml:space="preserve">ropositions techniques et peut </w:t>
      </w:r>
      <w:r>
        <w:rPr>
          <w:rFonts w:ascii="Andes" w:eastAsiaTheme="minorHAnsi" w:hAnsi="Andes" w:cs="Arial"/>
          <w:color w:val="000000"/>
          <w:sz w:val="22"/>
          <w:szCs w:val="22"/>
        </w:rPr>
        <w:t>demander des précisions P</w:t>
      </w:r>
      <w:r w:rsidRPr="00D124D9">
        <w:rPr>
          <w:rFonts w:ascii="Andes" w:eastAsiaTheme="minorHAnsi" w:hAnsi="Andes" w:cs="Arial"/>
          <w:color w:val="000000"/>
          <w:sz w:val="22"/>
          <w:szCs w:val="22"/>
        </w:rPr>
        <w:t xml:space="preserve">ar </w:t>
      </w:r>
      <w:r>
        <w:rPr>
          <w:rFonts w:ascii="Andes" w:eastAsiaTheme="minorHAnsi" w:hAnsi="Andes" w:cs="Arial"/>
          <w:color w:val="000000"/>
          <w:sz w:val="22"/>
          <w:szCs w:val="22"/>
        </w:rPr>
        <w:t>É</w:t>
      </w:r>
      <w:r w:rsidRPr="00D124D9">
        <w:rPr>
          <w:rFonts w:ascii="Andes" w:eastAsiaTheme="minorHAnsi" w:hAnsi="Andes" w:cs="Arial"/>
          <w:color w:val="000000"/>
          <w:sz w:val="22"/>
          <w:szCs w:val="22"/>
        </w:rPr>
        <w:t>crit au</w:t>
      </w:r>
      <w:r>
        <w:rPr>
          <w:rFonts w:ascii="Andes" w:eastAsiaTheme="minorHAnsi" w:hAnsi="Andes" w:cs="Arial"/>
          <w:color w:val="000000"/>
          <w:sz w:val="22"/>
          <w:szCs w:val="22"/>
        </w:rPr>
        <w:t>x P</w:t>
      </w:r>
      <w:r w:rsidRPr="00D124D9">
        <w:rPr>
          <w:rFonts w:ascii="Andes" w:eastAsiaTheme="minorHAnsi" w:hAnsi="Andes" w:cs="Arial"/>
          <w:color w:val="000000"/>
          <w:sz w:val="22"/>
          <w:szCs w:val="22"/>
        </w:rPr>
        <w:t>roposants. Il rencontre i</w:t>
      </w:r>
      <w:r>
        <w:rPr>
          <w:rFonts w:ascii="Andes" w:eastAsiaTheme="minorHAnsi" w:hAnsi="Andes" w:cs="Arial"/>
          <w:color w:val="000000"/>
          <w:sz w:val="22"/>
          <w:szCs w:val="22"/>
        </w:rPr>
        <w:t>ndividuellement les différents P</w:t>
      </w:r>
      <w:r w:rsidRPr="00D124D9">
        <w:rPr>
          <w:rFonts w:ascii="Andes" w:eastAsiaTheme="minorHAnsi" w:hAnsi="Andes" w:cs="Arial"/>
          <w:color w:val="000000"/>
          <w:sz w:val="22"/>
          <w:szCs w:val="22"/>
        </w:rPr>
        <w:t>roposants pour étudier de manière appr</w:t>
      </w:r>
      <w:r>
        <w:rPr>
          <w:rFonts w:ascii="Andes" w:eastAsiaTheme="minorHAnsi" w:hAnsi="Andes" w:cs="Arial"/>
          <w:color w:val="000000"/>
          <w:sz w:val="22"/>
          <w:szCs w:val="22"/>
        </w:rPr>
        <w:t>ofondie, éprouver le projet de P</w:t>
      </w:r>
      <w:r w:rsidRPr="00D124D9">
        <w:rPr>
          <w:rFonts w:ascii="Andes" w:eastAsiaTheme="minorHAnsi" w:hAnsi="Andes" w:cs="Arial"/>
          <w:color w:val="000000"/>
          <w:sz w:val="22"/>
          <w:szCs w:val="22"/>
        </w:rPr>
        <w:t xml:space="preserve">roposition technique et en obtenir des précisions. Après ces </w:t>
      </w:r>
      <w:r>
        <w:rPr>
          <w:rFonts w:ascii="Andes" w:eastAsiaTheme="minorHAnsi" w:hAnsi="Andes" w:cs="Arial"/>
          <w:color w:val="000000"/>
          <w:sz w:val="22"/>
          <w:szCs w:val="22"/>
        </w:rPr>
        <w:t xml:space="preserve">éclaircissements et </w:t>
      </w:r>
      <w:r w:rsidRPr="00D124D9">
        <w:rPr>
          <w:rFonts w:ascii="Andes" w:eastAsiaTheme="minorHAnsi" w:hAnsi="Andes" w:cs="Arial"/>
          <w:color w:val="000000"/>
          <w:sz w:val="22"/>
          <w:szCs w:val="22"/>
        </w:rPr>
        <w:t>rencontres individuelles, l’Emprunteur</w:t>
      </w:r>
      <w:r w:rsidR="00DE7C22">
        <w:rPr>
          <w:rFonts w:ascii="Andes" w:eastAsiaTheme="minorHAnsi" w:hAnsi="Andes" w:cs="Arial"/>
          <w:color w:val="000000"/>
          <w:sz w:val="22"/>
          <w:szCs w:val="22"/>
        </w:rPr>
        <w:t xml:space="preserve"> doit</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xml:space="preserve">: </w:t>
      </w:r>
    </w:p>
    <w:p w14:paraId="34544E5E" w14:textId="028B42CC" w:rsidR="00341E34" w:rsidRPr="00D124D9" w:rsidRDefault="00341E34" w:rsidP="00341E34">
      <w:pPr>
        <w:pStyle w:val="Paragraphedeliste"/>
        <w:numPr>
          <w:ilvl w:val="2"/>
          <w:numId w:val="238"/>
        </w:numPr>
        <w:spacing w:before="0" w:line="240" w:lineRule="auto"/>
        <w:ind w:left="2070" w:hanging="270"/>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pré</w:t>
      </w:r>
      <w:r>
        <w:rPr>
          <w:rFonts w:ascii="Andes" w:eastAsiaTheme="minorHAnsi" w:hAnsi="Andes" w:cs="Arial"/>
          <w:color w:val="000000"/>
          <w:sz w:val="22"/>
          <w:szCs w:val="22"/>
        </w:rPr>
        <w:t>pare</w:t>
      </w:r>
      <w:r w:rsidR="00DE7C22">
        <w:rPr>
          <w:rFonts w:ascii="Andes" w:eastAsiaTheme="minorHAnsi" w:hAnsi="Andes" w:cs="Arial"/>
          <w:color w:val="000000"/>
          <w:sz w:val="22"/>
          <w:szCs w:val="22"/>
        </w:rPr>
        <w:t>r</w:t>
      </w:r>
      <w:r>
        <w:rPr>
          <w:rFonts w:ascii="Andes" w:eastAsiaTheme="minorHAnsi" w:hAnsi="Andes" w:cs="Arial"/>
          <w:color w:val="000000"/>
          <w:sz w:val="22"/>
          <w:szCs w:val="22"/>
        </w:rPr>
        <w:t xml:space="preserve"> un A</w:t>
      </w:r>
      <w:r w:rsidRPr="00D124D9">
        <w:rPr>
          <w:rFonts w:ascii="Andes" w:eastAsiaTheme="minorHAnsi" w:hAnsi="Andes" w:cs="Arial"/>
          <w:color w:val="000000"/>
          <w:sz w:val="22"/>
          <w:szCs w:val="22"/>
        </w:rPr>
        <w:t>venant contenant les modifications apportées au dossier d’</w:t>
      </w:r>
      <w:r w:rsidR="00E26C36">
        <w:rPr>
          <w:rFonts w:ascii="Andes" w:eastAsiaTheme="minorHAnsi" w:hAnsi="Andes" w:cs="Arial"/>
          <w:color w:val="000000"/>
          <w:sz w:val="22"/>
          <w:szCs w:val="22"/>
        </w:rPr>
        <w:t>A</w:t>
      </w:r>
      <w:r w:rsidRPr="00D124D9">
        <w:rPr>
          <w:rFonts w:ascii="Andes" w:eastAsiaTheme="minorHAnsi" w:hAnsi="Andes" w:cs="Arial"/>
          <w:color w:val="000000"/>
          <w:sz w:val="22"/>
          <w:szCs w:val="22"/>
        </w:rPr>
        <w:t xml:space="preserve">ppel à </w:t>
      </w:r>
      <w:r w:rsidR="00E26C36">
        <w:rPr>
          <w:rFonts w:ascii="Andes" w:eastAsiaTheme="minorHAnsi" w:hAnsi="Andes" w:cs="Arial"/>
          <w:color w:val="000000"/>
          <w:sz w:val="22"/>
          <w:szCs w:val="22"/>
        </w:rPr>
        <w:t>P</w:t>
      </w:r>
      <w:r w:rsidRPr="00D124D9">
        <w:rPr>
          <w:rFonts w:ascii="Andes" w:eastAsiaTheme="minorHAnsi" w:hAnsi="Andes" w:cs="Arial"/>
          <w:color w:val="000000"/>
          <w:sz w:val="22"/>
          <w:szCs w:val="22"/>
        </w:rPr>
        <w:t>ropositions</w:t>
      </w:r>
      <w:r>
        <w:rPr>
          <w:rFonts w:ascii="Andes" w:eastAsiaTheme="minorHAnsi" w:hAnsi="Andes" w:cs="Arial"/>
          <w:color w:val="000000"/>
          <w:sz w:val="22"/>
          <w:szCs w:val="22"/>
        </w:rPr>
        <w:t xml:space="preserve"> et le communique à tous les P</w:t>
      </w:r>
      <w:r w:rsidRPr="00D124D9">
        <w:rPr>
          <w:rFonts w:ascii="Andes" w:eastAsiaTheme="minorHAnsi" w:hAnsi="Andes" w:cs="Arial"/>
          <w:color w:val="000000"/>
          <w:sz w:val="22"/>
          <w:szCs w:val="22"/>
        </w:rPr>
        <w:t>roposants, conformément à la réglementation</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214F4CA9" w14:textId="3F669CB2" w:rsidR="00341E34" w:rsidRPr="00D124D9" w:rsidRDefault="00341E34" w:rsidP="00341E34">
      <w:pPr>
        <w:pStyle w:val="Paragraphedeliste"/>
        <w:numPr>
          <w:ilvl w:val="2"/>
          <w:numId w:val="238"/>
        </w:numPr>
        <w:spacing w:before="0" w:line="240" w:lineRule="auto"/>
        <w:ind w:left="2070" w:hanging="270"/>
        <w:contextualSpacing w:val="0"/>
        <w:rPr>
          <w:rFonts w:ascii="Andes" w:eastAsiaTheme="minorHAnsi" w:hAnsi="Andes" w:cs="Arial"/>
          <w:color w:val="000000"/>
          <w:sz w:val="22"/>
          <w:szCs w:val="22"/>
        </w:rPr>
      </w:pPr>
      <w:r>
        <w:rPr>
          <w:rFonts w:ascii="Andes" w:eastAsiaTheme="minorHAnsi" w:hAnsi="Andes" w:cs="Arial"/>
          <w:color w:val="000000"/>
          <w:sz w:val="22"/>
          <w:szCs w:val="22"/>
        </w:rPr>
        <w:t>prépare</w:t>
      </w:r>
      <w:r w:rsidR="00DE7C22">
        <w:rPr>
          <w:rFonts w:ascii="Andes" w:eastAsiaTheme="minorHAnsi" w:hAnsi="Andes" w:cs="Arial"/>
          <w:color w:val="000000"/>
          <w:sz w:val="22"/>
          <w:szCs w:val="22"/>
        </w:rPr>
        <w:t>r</w:t>
      </w:r>
      <w:r>
        <w:rPr>
          <w:rFonts w:ascii="Andes" w:eastAsiaTheme="minorHAnsi" w:hAnsi="Andes" w:cs="Arial"/>
          <w:color w:val="000000"/>
          <w:sz w:val="22"/>
          <w:szCs w:val="22"/>
        </w:rPr>
        <w:t xml:space="preserve"> un M</w:t>
      </w:r>
      <w:r w:rsidRPr="00D124D9">
        <w:rPr>
          <w:rFonts w:ascii="Andes" w:eastAsiaTheme="minorHAnsi" w:hAnsi="Andes" w:cs="Arial"/>
          <w:color w:val="000000"/>
          <w:sz w:val="22"/>
          <w:szCs w:val="22"/>
        </w:rPr>
        <w:t>émorandum des modifications relatives à une Proposition particulière et le communique au Proposant concerné, conformément à la réglementation</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xml:space="preserve">; et </w:t>
      </w:r>
    </w:p>
    <w:p w14:paraId="7A3CA112" w14:textId="77777777" w:rsidR="00341E34" w:rsidRPr="00D124D9" w:rsidRDefault="00341E34" w:rsidP="00341E34">
      <w:pPr>
        <w:pStyle w:val="Paragraphedeliste"/>
        <w:numPr>
          <w:ilvl w:val="2"/>
          <w:numId w:val="238"/>
        </w:numPr>
        <w:spacing w:before="0" w:line="240" w:lineRule="auto"/>
        <w:ind w:left="2070" w:hanging="270"/>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invite tous les Proposants ayant </w:t>
      </w:r>
      <w:r>
        <w:rPr>
          <w:rFonts w:ascii="Andes" w:eastAsiaTheme="minorHAnsi" w:hAnsi="Andes" w:cs="Arial"/>
          <w:color w:val="000000"/>
          <w:sz w:val="22"/>
          <w:szCs w:val="22"/>
        </w:rPr>
        <w:t>remis</w:t>
      </w:r>
      <w:r w:rsidRPr="00D124D9">
        <w:rPr>
          <w:rFonts w:ascii="Andes" w:eastAsiaTheme="minorHAnsi" w:hAnsi="Andes" w:cs="Arial"/>
          <w:color w:val="000000"/>
          <w:sz w:val="22"/>
          <w:szCs w:val="22"/>
        </w:rPr>
        <w:t xml:space="preserve"> des Propositions conformes au niveau de l’</w:t>
      </w:r>
      <w:r>
        <w:rPr>
          <w:rFonts w:ascii="Andes" w:eastAsiaTheme="minorHAnsi" w:hAnsi="Andes" w:cs="Arial"/>
          <w:color w:val="000000"/>
          <w:sz w:val="22"/>
          <w:szCs w:val="22"/>
        </w:rPr>
        <w:t>É</w:t>
      </w:r>
      <w:r w:rsidRPr="00D124D9">
        <w:rPr>
          <w:rFonts w:ascii="Andes" w:eastAsiaTheme="minorHAnsi" w:hAnsi="Andes" w:cs="Arial"/>
          <w:color w:val="000000"/>
          <w:sz w:val="22"/>
          <w:szCs w:val="22"/>
        </w:rPr>
        <w:t>tape 1 à déposer des Propositions techniques et financières pour la seconde étape.</w:t>
      </w:r>
    </w:p>
    <w:p w14:paraId="02FC19CB" w14:textId="5DC66146" w:rsidR="00341E34" w:rsidRPr="00D124D9" w:rsidRDefault="00341E34" w:rsidP="00341E34">
      <w:pPr>
        <w:pStyle w:val="Paragraphedeliste"/>
        <w:numPr>
          <w:ilvl w:val="0"/>
          <w:numId w:val="228"/>
        </w:numPr>
        <w:spacing w:before="0" w:line="240" w:lineRule="auto"/>
        <w:contextualSpacing w:val="0"/>
        <w:rPr>
          <w:rFonts w:ascii="Andes" w:eastAsiaTheme="minorHAnsi" w:hAnsi="Andes" w:cs="Arial"/>
          <w:color w:val="000000"/>
          <w:sz w:val="22"/>
          <w:szCs w:val="22"/>
        </w:rPr>
      </w:pPr>
      <w:r w:rsidRPr="00995C63">
        <w:rPr>
          <w:rFonts w:ascii="Andes" w:eastAsiaTheme="minorHAnsi" w:hAnsi="Andes" w:cs="Arial"/>
          <w:b/>
          <w:color w:val="000000"/>
          <w:sz w:val="22"/>
          <w:szCs w:val="22"/>
        </w:rPr>
        <w:t>Étape 2, Propositions techniques et financières (Délai de remise et ouverture des plis)</w:t>
      </w:r>
      <w:r w:rsidRPr="00995C63">
        <w:rPr>
          <w:rFonts w:ascii="Calibri" w:eastAsiaTheme="minorHAnsi" w:hAnsi="Calibri" w:cs="Arial"/>
          <w:bCs/>
          <w:color w:val="000000"/>
          <w:sz w:val="22"/>
          <w:szCs w:val="22"/>
        </w:rPr>
        <w:t> </w:t>
      </w:r>
      <w:r w:rsidRPr="00995C63">
        <w:rPr>
          <w:rFonts w:ascii="Andes" w:eastAsiaTheme="minorHAnsi" w:hAnsi="Andes" w:cs="Arial"/>
          <w:bCs/>
          <w:color w:val="000000"/>
          <w:sz w:val="22"/>
          <w:szCs w:val="22"/>
        </w:rPr>
        <w:t>:</w:t>
      </w:r>
      <w:r w:rsidRPr="00D124D9">
        <w:rPr>
          <w:rFonts w:ascii="Andes" w:eastAsiaTheme="minorHAnsi" w:hAnsi="Andes" w:cs="Arial"/>
          <w:color w:val="000000"/>
          <w:sz w:val="22"/>
          <w:szCs w:val="22"/>
        </w:rPr>
        <w:t xml:space="preserve"> suivant les dispositions des paragraphes 5.36 et 5.37 </w:t>
      </w:r>
      <w:r w:rsidRPr="00F638E5">
        <w:rPr>
          <w:rFonts w:ascii="Andes" w:eastAsiaTheme="minorHAnsi" w:hAnsi="Andes" w:cs="Arial"/>
          <w:color w:val="000000"/>
          <w:sz w:val="22"/>
          <w:szCs w:val="22"/>
        </w:rPr>
        <w:t>(Délai de préparation et de remise des Offres/Propositions), et 5.40 à 5.48 (Ouverture des plis), selon</w:t>
      </w:r>
      <w:r w:rsidRPr="00D124D9">
        <w:rPr>
          <w:rFonts w:ascii="Andes" w:eastAsiaTheme="minorHAnsi" w:hAnsi="Andes" w:cs="Arial"/>
          <w:color w:val="000000"/>
          <w:sz w:val="22"/>
          <w:szCs w:val="22"/>
        </w:rPr>
        <w:t xml:space="preserve"> les cas.  Les Propositions sont </w:t>
      </w:r>
      <w:r>
        <w:rPr>
          <w:rFonts w:ascii="Andes" w:eastAsiaTheme="minorHAnsi" w:hAnsi="Andes" w:cs="Arial"/>
          <w:color w:val="000000"/>
          <w:sz w:val="22"/>
          <w:szCs w:val="22"/>
        </w:rPr>
        <w:t>remises</w:t>
      </w:r>
      <w:r w:rsidRPr="00D124D9">
        <w:rPr>
          <w:rFonts w:ascii="Andes" w:eastAsiaTheme="minorHAnsi" w:hAnsi="Andes" w:cs="Arial"/>
          <w:color w:val="000000"/>
          <w:sz w:val="22"/>
          <w:szCs w:val="22"/>
        </w:rPr>
        <w:t xml:space="preserve"> avant l’expiration du délai fixé à cet effet. Les plis sont ouverts et l</w:t>
      </w:r>
      <w:r>
        <w:rPr>
          <w:rFonts w:ascii="Andes" w:eastAsiaTheme="minorHAnsi" w:hAnsi="Andes" w:cs="Arial"/>
          <w:color w:val="000000"/>
          <w:sz w:val="22"/>
          <w:szCs w:val="22"/>
        </w:rPr>
        <w:t>eur contenu lu à haute voix au cours d’une</w:t>
      </w:r>
      <w:r w:rsidRPr="00D124D9">
        <w:rPr>
          <w:rFonts w:ascii="Andes" w:eastAsiaTheme="minorHAnsi" w:hAnsi="Andes" w:cs="Arial"/>
          <w:color w:val="000000"/>
          <w:sz w:val="22"/>
          <w:szCs w:val="22"/>
        </w:rPr>
        <w:t xml:space="preserve"> séance publique. Les Propositions financières ne sont pas ouvertes au même moment. </w:t>
      </w:r>
      <w:r>
        <w:rPr>
          <w:rFonts w:ascii="Andes" w:eastAsiaTheme="minorHAnsi" w:hAnsi="Andes" w:cs="Arial"/>
          <w:color w:val="000000"/>
          <w:sz w:val="22"/>
          <w:szCs w:val="22"/>
        </w:rPr>
        <w:t>À</w:t>
      </w:r>
      <w:r w:rsidRPr="00D124D9">
        <w:rPr>
          <w:rFonts w:ascii="Andes" w:eastAsiaTheme="minorHAnsi" w:hAnsi="Andes" w:cs="Arial"/>
          <w:color w:val="000000"/>
          <w:sz w:val="22"/>
          <w:szCs w:val="22"/>
        </w:rPr>
        <w:t xml:space="preserve"> l’issue de l’évaluation des Propositions techniques, les Propositions financières sont ouvertes au cours d’une séance publique et sont alors évaluées conformément aux </w:t>
      </w:r>
      <w:r w:rsidR="00FE124F">
        <w:rPr>
          <w:rFonts w:ascii="Andes" w:eastAsiaTheme="minorHAnsi" w:hAnsi="Andes" w:cs="Arial"/>
          <w:color w:val="000000"/>
          <w:sz w:val="22"/>
          <w:szCs w:val="22"/>
        </w:rPr>
        <w:t>C</w:t>
      </w:r>
      <w:r w:rsidRPr="00D124D9">
        <w:rPr>
          <w:rFonts w:ascii="Andes" w:eastAsiaTheme="minorHAnsi" w:hAnsi="Andes" w:cs="Arial"/>
          <w:color w:val="000000"/>
          <w:sz w:val="22"/>
          <w:szCs w:val="22"/>
        </w:rPr>
        <w:t xml:space="preserve">ritères </w:t>
      </w:r>
      <w:r w:rsidR="00FE124F">
        <w:rPr>
          <w:rFonts w:ascii="Andes" w:eastAsiaTheme="minorHAnsi" w:hAnsi="Andes" w:cs="Arial"/>
          <w:color w:val="000000"/>
          <w:sz w:val="22"/>
          <w:szCs w:val="22"/>
        </w:rPr>
        <w:t xml:space="preserve">d’Evaluation </w:t>
      </w:r>
      <w:r w:rsidRPr="00D124D9">
        <w:rPr>
          <w:rFonts w:ascii="Andes" w:eastAsiaTheme="minorHAnsi" w:hAnsi="Andes" w:cs="Arial"/>
          <w:color w:val="000000"/>
          <w:sz w:val="22"/>
          <w:szCs w:val="22"/>
        </w:rPr>
        <w:t>définis dans le dossier d’</w:t>
      </w:r>
      <w:r w:rsidR="00C20F3B">
        <w:rPr>
          <w:rFonts w:ascii="Andes" w:eastAsiaTheme="minorHAnsi" w:hAnsi="Andes" w:cs="Arial"/>
          <w:color w:val="000000"/>
          <w:sz w:val="22"/>
          <w:szCs w:val="22"/>
        </w:rPr>
        <w:t>A</w:t>
      </w:r>
      <w:r w:rsidRPr="00D124D9">
        <w:rPr>
          <w:rFonts w:ascii="Andes" w:eastAsiaTheme="minorHAnsi" w:hAnsi="Andes" w:cs="Arial"/>
          <w:color w:val="000000"/>
          <w:sz w:val="22"/>
          <w:szCs w:val="22"/>
        </w:rPr>
        <w:t xml:space="preserve">ppel à </w:t>
      </w:r>
      <w:r w:rsidR="00C20F3B">
        <w:rPr>
          <w:rFonts w:ascii="Andes" w:eastAsiaTheme="minorHAnsi" w:hAnsi="Andes" w:cs="Arial"/>
          <w:color w:val="000000"/>
          <w:sz w:val="22"/>
          <w:szCs w:val="22"/>
        </w:rPr>
        <w:t>P</w:t>
      </w:r>
      <w:r w:rsidRPr="00D124D9">
        <w:rPr>
          <w:rFonts w:ascii="Andes" w:eastAsiaTheme="minorHAnsi" w:hAnsi="Andes" w:cs="Arial"/>
          <w:color w:val="000000"/>
          <w:sz w:val="22"/>
          <w:szCs w:val="22"/>
        </w:rPr>
        <w:t xml:space="preserve">ropositions. L’Emprunteur retient la Proposition la </w:t>
      </w:r>
      <w:r>
        <w:rPr>
          <w:rFonts w:ascii="Andes" w:eastAsiaTheme="minorHAnsi" w:hAnsi="Andes" w:cs="Arial"/>
          <w:color w:val="000000"/>
          <w:sz w:val="22"/>
          <w:szCs w:val="22"/>
        </w:rPr>
        <w:t>Plus A</w:t>
      </w:r>
      <w:r w:rsidRPr="00D124D9">
        <w:rPr>
          <w:rFonts w:ascii="Andes" w:eastAsiaTheme="minorHAnsi" w:hAnsi="Andes" w:cs="Arial"/>
          <w:color w:val="000000"/>
          <w:sz w:val="22"/>
          <w:szCs w:val="22"/>
        </w:rPr>
        <w:t>vantageuse ;</w:t>
      </w:r>
    </w:p>
    <w:p w14:paraId="1C7623BD" w14:textId="1E8E9CF6" w:rsidR="00341E34" w:rsidRPr="0057238C" w:rsidRDefault="00341E34" w:rsidP="00341E34">
      <w:pPr>
        <w:pStyle w:val="Paragraphedeliste"/>
        <w:numPr>
          <w:ilvl w:val="0"/>
          <w:numId w:val="228"/>
        </w:numPr>
        <w:spacing w:before="0" w:line="240" w:lineRule="auto"/>
        <w:contextualSpacing w:val="0"/>
        <w:rPr>
          <w:rFonts w:ascii="Andes" w:eastAsiaTheme="minorHAnsi" w:hAnsi="Andes" w:cs="Arial"/>
          <w:color w:val="000000"/>
          <w:sz w:val="22"/>
          <w:szCs w:val="22"/>
        </w:rPr>
      </w:pPr>
      <w:r w:rsidRPr="00995C63">
        <w:rPr>
          <w:rFonts w:ascii="Andes" w:eastAsiaTheme="minorHAnsi" w:hAnsi="Andes" w:cs="Arial"/>
          <w:b/>
          <w:color w:val="000000"/>
          <w:sz w:val="22"/>
          <w:szCs w:val="22"/>
        </w:rPr>
        <w:lastRenderedPageBreak/>
        <w:t>Notification d’intention d’attribution de marché et délai de suspension</w:t>
      </w:r>
      <w:r w:rsidRPr="00995C63">
        <w:rPr>
          <w:rFonts w:ascii="Calibri" w:eastAsiaTheme="minorHAnsi" w:hAnsi="Calibri" w:cs="Arial"/>
          <w:b/>
          <w:color w:val="000000"/>
          <w:sz w:val="22"/>
          <w:szCs w:val="22"/>
        </w:rPr>
        <w:t> </w:t>
      </w:r>
      <w:r w:rsidRPr="00995C63">
        <w:rPr>
          <w:rFonts w:ascii="Andes" w:eastAsiaTheme="minorHAnsi" w:hAnsi="Andes" w:cs="Arial"/>
          <w:b/>
          <w:color w:val="000000"/>
          <w:sz w:val="22"/>
          <w:szCs w:val="22"/>
        </w:rPr>
        <w:t>:</w:t>
      </w:r>
      <w:r w:rsidRPr="00D124D9">
        <w:rPr>
          <w:rFonts w:ascii="Andes" w:eastAsiaTheme="minorHAnsi" w:hAnsi="Andes" w:cs="Arial"/>
          <w:color w:val="000000"/>
          <w:sz w:val="22"/>
          <w:szCs w:val="22"/>
        </w:rPr>
        <w:t xml:space="preserve"> l’Emprunteur transmet aux Proposants un</w:t>
      </w:r>
      <w:r w:rsidR="00E84523">
        <w:rPr>
          <w:rFonts w:ascii="Andes" w:eastAsiaTheme="minorHAnsi" w:hAnsi="Andes" w:cs="Arial"/>
          <w:color w:val="000000"/>
          <w:sz w:val="22"/>
          <w:szCs w:val="22"/>
        </w:rPr>
        <w:t xml:space="preserve">e Notification </w:t>
      </w:r>
      <w:r w:rsidRPr="00D124D9">
        <w:rPr>
          <w:rFonts w:ascii="Andes" w:eastAsiaTheme="minorHAnsi" w:hAnsi="Andes" w:cs="Arial"/>
          <w:color w:val="000000"/>
          <w:sz w:val="22"/>
          <w:szCs w:val="22"/>
        </w:rPr>
        <w:t>de son intention d’attribuer le marché. Cette démarche déclenche le délai d</w:t>
      </w:r>
      <w:r w:rsidR="007A249C">
        <w:rPr>
          <w:rFonts w:ascii="Andes" w:eastAsiaTheme="minorHAnsi" w:hAnsi="Andes" w:cs="Arial"/>
          <w:color w:val="000000"/>
          <w:sz w:val="22"/>
          <w:szCs w:val="22"/>
        </w:rPr>
        <w:t>’</w:t>
      </w:r>
      <w:r w:rsidR="00E74B91">
        <w:rPr>
          <w:rFonts w:ascii="Andes" w:eastAsiaTheme="minorHAnsi" w:hAnsi="Andes" w:cs="Arial"/>
          <w:color w:val="000000"/>
          <w:sz w:val="22"/>
          <w:szCs w:val="22"/>
        </w:rPr>
        <w:t>a</w:t>
      </w:r>
      <w:r w:rsidR="007A249C">
        <w:rPr>
          <w:rFonts w:ascii="Andes" w:eastAsiaTheme="minorHAnsi" w:hAnsi="Andes" w:cs="Arial"/>
          <w:color w:val="000000"/>
          <w:sz w:val="22"/>
          <w:szCs w:val="22"/>
        </w:rPr>
        <w:t>ttente</w:t>
      </w:r>
      <w:r w:rsidRPr="00D124D9">
        <w:rPr>
          <w:rFonts w:ascii="Andes" w:eastAsiaTheme="minorHAnsi" w:hAnsi="Andes" w:cs="Arial"/>
          <w:color w:val="000000"/>
          <w:sz w:val="22"/>
          <w:szCs w:val="22"/>
        </w:rPr>
        <w:t>. Le cas échéant, l’Emprunteur f</w:t>
      </w:r>
      <w:r>
        <w:rPr>
          <w:rFonts w:ascii="Andes" w:eastAsiaTheme="minorHAnsi" w:hAnsi="Andes" w:cs="Arial"/>
          <w:color w:val="000000"/>
          <w:sz w:val="22"/>
          <w:szCs w:val="22"/>
        </w:rPr>
        <w:t>ait un débriefing</w:t>
      </w:r>
      <w:r w:rsidRPr="00D124D9">
        <w:rPr>
          <w:rFonts w:ascii="Andes" w:eastAsiaTheme="minorHAnsi" w:hAnsi="Andes" w:cs="Arial"/>
          <w:color w:val="000000"/>
          <w:sz w:val="22"/>
          <w:szCs w:val="22"/>
        </w:rPr>
        <w:t xml:space="preserve"> et gère toutes les plaintes reç</w:t>
      </w:r>
      <w:r>
        <w:rPr>
          <w:rFonts w:ascii="Andes" w:eastAsiaTheme="minorHAnsi" w:hAnsi="Andes" w:cs="Arial"/>
          <w:color w:val="000000"/>
          <w:sz w:val="22"/>
          <w:szCs w:val="22"/>
        </w:rPr>
        <w:t>ues relativement à s</w:t>
      </w:r>
      <w:r w:rsidRPr="00D124D9">
        <w:rPr>
          <w:rFonts w:ascii="Andes" w:eastAsiaTheme="minorHAnsi" w:hAnsi="Andes" w:cs="Arial"/>
          <w:color w:val="000000"/>
          <w:sz w:val="22"/>
          <w:szCs w:val="22"/>
        </w:rPr>
        <w:t>a décision d’attribuer le marché. Il doit ainsi satisfaire aux exigences des paragraphes 5.72 à 5.</w:t>
      </w:r>
      <w:r w:rsidRPr="0057238C">
        <w:rPr>
          <w:rFonts w:ascii="Andes" w:eastAsiaTheme="minorHAnsi" w:hAnsi="Andes" w:cs="Arial"/>
          <w:color w:val="000000"/>
          <w:sz w:val="22"/>
          <w:szCs w:val="22"/>
        </w:rPr>
        <w:t>7</w:t>
      </w:r>
      <w:r w:rsidR="00560015">
        <w:rPr>
          <w:rFonts w:ascii="Andes" w:eastAsiaTheme="minorHAnsi" w:hAnsi="Andes" w:cs="Arial"/>
          <w:color w:val="000000"/>
          <w:sz w:val="22"/>
          <w:szCs w:val="22"/>
        </w:rPr>
        <w:t>4</w:t>
      </w:r>
      <w:r w:rsidRPr="0057238C">
        <w:rPr>
          <w:rFonts w:ascii="Andes" w:eastAsiaTheme="minorHAnsi" w:hAnsi="Andes" w:cs="Arial"/>
          <w:color w:val="000000"/>
          <w:sz w:val="22"/>
          <w:szCs w:val="22"/>
        </w:rPr>
        <w:t xml:space="preserve"> (Notification d’Intention d’Attribution de Marché/Contrat), et 5.78 à 5.80 (Délai de suspension).  Le dé</w:t>
      </w:r>
      <w:r w:rsidRPr="0057238C">
        <w:rPr>
          <w:rFonts w:ascii="Andes" w:eastAsiaTheme="minorHAnsi" w:hAnsi="Andes" w:cs="Calibri"/>
          <w:color w:val="000000"/>
          <w:sz w:val="22"/>
          <w:szCs w:val="22"/>
        </w:rPr>
        <w:t>briefing se fait</w:t>
      </w:r>
      <w:r w:rsidRPr="0057238C">
        <w:rPr>
          <w:rFonts w:ascii="Andes" w:eastAsiaTheme="minorHAnsi" w:hAnsi="Andes" w:cs="Arial"/>
          <w:color w:val="000000"/>
          <w:sz w:val="22"/>
          <w:szCs w:val="22"/>
        </w:rPr>
        <w:t xml:space="preserve"> conformément aux dispositions des paragraphes 5.81 à 5.87 (Débriefing par l’Emprunteur)</w:t>
      </w:r>
      <w:r w:rsidRPr="0057238C">
        <w:rPr>
          <w:rFonts w:ascii="Calibri" w:eastAsiaTheme="minorHAnsi" w:hAnsi="Calibri" w:cs="Arial"/>
          <w:color w:val="000000"/>
          <w:sz w:val="22"/>
          <w:szCs w:val="22"/>
        </w:rPr>
        <w:t> </w:t>
      </w:r>
      <w:r w:rsidRPr="0057238C">
        <w:rPr>
          <w:rFonts w:ascii="Andes" w:eastAsiaTheme="minorHAnsi" w:hAnsi="Andes" w:cs="Arial"/>
          <w:color w:val="000000"/>
          <w:sz w:val="22"/>
          <w:szCs w:val="22"/>
        </w:rPr>
        <w:t>; et</w:t>
      </w:r>
    </w:p>
    <w:p w14:paraId="7B45DCD4" w14:textId="5F561898" w:rsidR="00341E34" w:rsidRPr="00D124D9" w:rsidRDefault="00341E34" w:rsidP="00341E34">
      <w:pPr>
        <w:pStyle w:val="Paragraphedeliste"/>
        <w:numPr>
          <w:ilvl w:val="0"/>
          <w:numId w:val="228"/>
        </w:numPr>
        <w:spacing w:before="0" w:line="240" w:lineRule="auto"/>
        <w:contextualSpacing w:val="0"/>
        <w:rPr>
          <w:rFonts w:ascii="Andes" w:eastAsiaTheme="minorHAnsi" w:hAnsi="Andes" w:cs="Arial"/>
          <w:color w:val="000000"/>
          <w:sz w:val="22"/>
          <w:szCs w:val="22"/>
        </w:rPr>
      </w:pPr>
      <w:r w:rsidRPr="0057238C">
        <w:rPr>
          <w:rFonts w:ascii="Andes" w:eastAsiaTheme="minorHAnsi" w:hAnsi="Andes" w:cs="Arial"/>
          <w:b/>
          <w:color w:val="000000"/>
          <w:sz w:val="22"/>
          <w:szCs w:val="22"/>
        </w:rPr>
        <w:t>Attribution et Avis d’attribution du marché</w:t>
      </w:r>
      <w:r w:rsidRPr="0057238C">
        <w:rPr>
          <w:rFonts w:ascii="Calibri" w:eastAsiaTheme="minorHAnsi" w:hAnsi="Calibri" w:cs="Arial"/>
          <w:b/>
          <w:color w:val="000000"/>
          <w:sz w:val="22"/>
          <w:szCs w:val="22"/>
        </w:rPr>
        <w:t> </w:t>
      </w:r>
      <w:r w:rsidRPr="0057238C">
        <w:rPr>
          <w:rFonts w:ascii="Andes" w:eastAsiaTheme="minorHAnsi" w:hAnsi="Andes" w:cs="Arial"/>
          <w:color w:val="000000"/>
          <w:sz w:val="22"/>
          <w:szCs w:val="22"/>
        </w:rPr>
        <w:t xml:space="preserve">: à l’expiration du délai </w:t>
      </w:r>
      <w:r w:rsidR="007A249C">
        <w:rPr>
          <w:rFonts w:ascii="Andes" w:eastAsiaTheme="minorHAnsi" w:hAnsi="Andes" w:cs="Arial"/>
          <w:color w:val="000000"/>
          <w:sz w:val="22"/>
          <w:szCs w:val="22"/>
        </w:rPr>
        <w:t>d’</w:t>
      </w:r>
      <w:r w:rsidR="00E74B91">
        <w:rPr>
          <w:rFonts w:ascii="Andes" w:eastAsiaTheme="minorHAnsi" w:hAnsi="Andes" w:cs="Arial"/>
          <w:color w:val="000000"/>
          <w:sz w:val="22"/>
          <w:szCs w:val="22"/>
        </w:rPr>
        <w:t>a</w:t>
      </w:r>
      <w:r w:rsidR="007A249C">
        <w:rPr>
          <w:rFonts w:ascii="Andes" w:eastAsiaTheme="minorHAnsi" w:hAnsi="Andes" w:cs="Arial"/>
          <w:color w:val="000000"/>
          <w:sz w:val="22"/>
          <w:szCs w:val="22"/>
        </w:rPr>
        <w:t>ttente,</w:t>
      </w:r>
      <w:r w:rsidRPr="0057238C">
        <w:rPr>
          <w:rFonts w:ascii="Andes" w:eastAsiaTheme="minorHAnsi" w:hAnsi="Andes" w:cs="Arial"/>
          <w:color w:val="000000"/>
          <w:sz w:val="22"/>
          <w:szCs w:val="22"/>
        </w:rPr>
        <w:t xml:space="preserve"> l’Emprunteur peut attribuer le marché. Il publie pour ce faire un avis d’attribution de marché, conformément aux dispositions des paragraphes 5.93 à 5.95 (Avis d’Attribution de Marché/Contrat</w:t>
      </w:r>
      <w:r w:rsidRPr="00D124D9">
        <w:rPr>
          <w:rFonts w:ascii="Andes" w:eastAsiaTheme="minorHAnsi" w:hAnsi="Andes" w:cs="Arial"/>
          <w:color w:val="000000"/>
          <w:sz w:val="22"/>
          <w:szCs w:val="22"/>
        </w:rPr>
        <w:t xml:space="preserve">).  </w:t>
      </w:r>
    </w:p>
    <w:p w14:paraId="4235B9AF" w14:textId="77777777" w:rsidR="00341E34" w:rsidRPr="00D124D9" w:rsidRDefault="00341E34" w:rsidP="00341E34">
      <w:pPr>
        <w:spacing w:before="0" w:line="240" w:lineRule="auto"/>
        <w:contextualSpacing w:val="0"/>
        <w:jc w:val="left"/>
        <w:rPr>
          <w:rFonts w:ascii="Andes" w:eastAsiaTheme="minorHAnsi" w:hAnsi="Andes" w:cs="Arial"/>
          <w:color w:val="000000"/>
          <w:sz w:val="22"/>
          <w:szCs w:val="22"/>
        </w:rPr>
      </w:pPr>
    </w:p>
    <w:p w14:paraId="22215467" w14:textId="77777777" w:rsidR="00341E34" w:rsidRPr="00D124D9" w:rsidRDefault="00341E34" w:rsidP="00341E34">
      <w:pPr>
        <w:spacing w:before="0" w:line="240" w:lineRule="auto"/>
        <w:contextualSpacing w:val="0"/>
        <w:jc w:val="left"/>
        <w:rPr>
          <w:rFonts w:ascii="Andes" w:eastAsiaTheme="minorHAnsi" w:hAnsi="Andes" w:cs="Arial"/>
          <w:color w:val="000000"/>
          <w:sz w:val="22"/>
          <w:szCs w:val="22"/>
        </w:rPr>
      </w:pPr>
      <w:r w:rsidRPr="00D124D9">
        <w:rPr>
          <w:rFonts w:ascii="Andes" w:eastAsiaTheme="minorHAnsi" w:hAnsi="Andes" w:cs="Arial"/>
          <w:color w:val="000000"/>
          <w:sz w:val="22"/>
          <w:szCs w:val="22"/>
        </w:rPr>
        <w:br w:type="page"/>
      </w:r>
    </w:p>
    <w:p w14:paraId="73AFC77C" w14:textId="77777777" w:rsidR="00341E34" w:rsidRPr="00D124D9" w:rsidRDefault="00341E34" w:rsidP="00341E34">
      <w:pPr>
        <w:spacing w:before="0" w:line="240" w:lineRule="auto"/>
        <w:contextualSpacing w:val="0"/>
        <w:jc w:val="left"/>
        <w:rPr>
          <w:rFonts w:ascii="Andes" w:eastAsiaTheme="minorHAnsi" w:hAnsi="Andes" w:cs="Arial"/>
          <w:b/>
          <w:sz w:val="22"/>
          <w:szCs w:val="22"/>
        </w:rPr>
      </w:pPr>
      <w:r w:rsidRPr="00D124D9">
        <w:rPr>
          <w:rFonts w:ascii="Andes" w:eastAsiaTheme="minorHAnsi" w:hAnsi="Andes" w:cs="Arial"/>
          <w:b/>
          <w:sz w:val="22"/>
          <w:szCs w:val="22"/>
          <w:u w:val="single"/>
        </w:rPr>
        <w:lastRenderedPageBreak/>
        <w:t>Figure 2</w:t>
      </w:r>
      <w:r w:rsidRPr="00D124D9">
        <w:rPr>
          <w:rFonts w:ascii="Calibri" w:eastAsiaTheme="minorHAnsi" w:hAnsi="Calibri" w:cs="Arial"/>
          <w:b/>
          <w:sz w:val="22"/>
          <w:szCs w:val="22"/>
          <w:u w:val="single"/>
        </w:rPr>
        <w:t> </w:t>
      </w:r>
      <w:r w:rsidRPr="00D124D9">
        <w:rPr>
          <w:rFonts w:ascii="Andes" w:eastAsiaTheme="minorHAnsi" w:hAnsi="Andes" w:cs="Arial"/>
          <w:b/>
          <w:sz w:val="22"/>
          <w:szCs w:val="22"/>
        </w:rPr>
        <w:t>: Schématisation du processus du Modèle 1 d’appel à propositions</w:t>
      </w:r>
    </w:p>
    <w:p w14:paraId="3984D89B" w14:textId="04FA5936" w:rsidR="00341E34" w:rsidRPr="00D124D9" w:rsidRDefault="00CE32D1" w:rsidP="00341E34">
      <w:pPr>
        <w:spacing w:before="0" w:line="240" w:lineRule="auto"/>
        <w:contextualSpacing w:val="0"/>
        <w:jc w:val="center"/>
        <w:rPr>
          <w:rFonts w:ascii="Andes" w:eastAsiaTheme="minorHAnsi" w:hAnsi="Andes" w:cs="Arial"/>
          <w:color w:val="000000"/>
          <w:sz w:val="22"/>
          <w:szCs w:val="22"/>
        </w:rPr>
      </w:pPr>
      <w:r>
        <w:rPr>
          <w:noProof/>
          <w:lang w:val="en-US"/>
        </w:rPr>
        <w:drawing>
          <wp:inline distT="0" distB="0" distL="0" distR="0" wp14:anchorId="473B5F58" wp14:editId="50A7BF39">
            <wp:extent cx="3952875" cy="64389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52875" cy="6438900"/>
                    </a:xfrm>
                    <a:prstGeom prst="rect">
                      <a:avLst/>
                    </a:prstGeom>
                  </pic:spPr>
                </pic:pic>
              </a:graphicData>
            </a:graphic>
          </wp:inline>
        </w:drawing>
      </w:r>
    </w:p>
    <w:p w14:paraId="38769630" w14:textId="1101FEC4" w:rsidR="00341E34" w:rsidRPr="00D124D9" w:rsidRDefault="00341E34" w:rsidP="00341E34">
      <w:pPr>
        <w:pStyle w:val="Paragraphedeliste"/>
        <w:spacing w:before="240" w:line="240" w:lineRule="auto"/>
        <w:contextualSpacing w:val="0"/>
        <w:jc w:val="left"/>
        <w:rPr>
          <w:rFonts w:ascii="Andes" w:hAnsi="Andes" w:cs="Arial"/>
          <w:b/>
          <w:sz w:val="28"/>
          <w:szCs w:val="28"/>
        </w:rPr>
      </w:pPr>
      <w:r w:rsidRPr="00D124D9">
        <w:rPr>
          <w:rFonts w:ascii="Andes" w:hAnsi="Andes" w:cs="Arial"/>
          <w:b/>
          <w:sz w:val="28"/>
          <w:szCs w:val="28"/>
        </w:rPr>
        <w:t>Varia</w:t>
      </w:r>
      <w:r>
        <w:rPr>
          <w:rFonts w:ascii="Andes" w:hAnsi="Andes" w:cs="Arial"/>
          <w:b/>
          <w:sz w:val="28"/>
          <w:szCs w:val="28"/>
        </w:rPr>
        <w:t xml:space="preserve">tion </w:t>
      </w:r>
      <w:r w:rsidRPr="00D124D9">
        <w:rPr>
          <w:rFonts w:ascii="Andes" w:hAnsi="Andes" w:cs="Arial"/>
          <w:b/>
          <w:sz w:val="28"/>
          <w:szCs w:val="28"/>
        </w:rPr>
        <w:t>du processus en cas d’</w:t>
      </w:r>
      <w:r>
        <w:rPr>
          <w:rFonts w:ascii="Andes" w:hAnsi="Andes" w:cs="Arial"/>
          <w:b/>
          <w:sz w:val="28"/>
          <w:szCs w:val="28"/>
        </w:rPr>
        <w:t>applicabilité de la procédure de MOF ou de N</w:t>
      </w:r>
      <w:r w:rsidRPr="00D124D9">
        <w:rPr>
          <w:rFonts w:ascii="Andes" w:hAnsi="Andes" w:cs="Arial"/>
          <w:b/>
          <w:sz w:val="28"/>
          <w:szCs w:val="28"/>
        </w:rPr>
        <w:t>égociations</w:t>
      </w:r>
    </w:p>
    <w:p w14:paraId="386C8E26" w14:textId="77777777" w:rsidR="00341E34" w:rsidRPr="00D124D9" w:rsidRDefault="00341E34" w:rsidP="00341E34">
      <w:pPr>
        <w:pStyle w:val="Paragraphedeliste"/>
        <w:numPr>
          <w:ilvl w:val="1"/>
          <w:numId w:val="225"/>
        </w:numPr>
        <w:spacing w:before="0" w:line="240" w:lineRule="auto"/>
        <w:ind w:left="630" w:hanging="630"/>
        <w:contextualSpacing w:val="0"/>
        <w:rPr>
          <w:rFonts w:ascii="Andes" w:hAnsi="Andes" w:cs="Arial"/>
          <w:sz w:val="22"/>
          <w:szCs w:val="22"/>
        </w:rPr>
      </w:pPr>
      <w:r>
        <w:rPr>
          <w:rFonts w:ascii="Andes" w:hAnsi="Andes" w:cs="Arial"/>
          <w:b/>
          <w:sz w:val="22"/>
          <w:szCs w:val="22"/>
        </w:rPr>
        <w:t>MOF ou N</w:t>
      </w:r>
      <w:r w:rsidRPr="00D124D9">
        <w:rPr>
          <w:rFonts w:ascii="Andes" w:hAnsi="Andes" w:cs="Arial"/>
          <w:b/>
          <w:sz w:val="22"/>
          <w:szCs w:val="22"/>
        </w:rPr>
        <w:t>égociations</w:t>
      </w:r>
      <w:r w:rsidRPr="00D124D9">
        <w:rPr>
          <w:rFonts w:ascii="Calibri" w:hAnsi="Calibri" w:cs="Arial"/>
          <w:b/>
          <w:sz w:val="22"/>
          <w:szCs w:val="22"/>
        </w:rPr>
        <w:t> </w:t>
      </w:r>
      <w:r w:rsidRPr="00D124D9">
        <w:rPr>
          <w:rFonts w:ascii="Andes" w:hAnsi="Andes" w:cs="Arial"/>
          <w:b/>
          <w:sz w:val="22"/>
          <w:szCs w:val="22"/>
        </w:rPr>
        <w:t>:</w:t>
      </w:r>
      <w:r w:rsidRPr="00D124D9">
        <w:rPr>
          <w:rFonts w:ascii="Andes" w:hAnsi="Andes" w:cs="Arial"/>
          <w:sz w:val="22"/>
          <w:szCs w:val="22"/>
        </w:rPr>
        <w:t xml:space="preserve"> une varia</w:t>
      </w:r>
      <w:r>
        <w:rPr>
          <w:rFonts w:ascii="Andes" w:hAnsi="Andes" w:cs="Arial"/>
          <w:sz w:val="22"/>
          <w:szCs w:val="22"/>
        </w:rPr>
        <w:t>nte</w:t>
      </w:r>
      <w:r w:rsidRPr="00D124D9">
        <w:rPr>
          <w:rFonts w:ascii="Andes" w:hAnsi="Andes" w:cs="Arial"/>
          <w:sz w:val="22"/>
          <w:szCs w:val="22"/>
        </w:rPr>
        <w:t xml:space="preserve"> du processus décrit plus haut</w:t>
      </w:r>
      <w:r>
        <w:rPr>
          <w:rFonts w:ascii="Andes" w:hAnsi="Andes" w:cs="Arial"/>
          <w:sz w:val="22"/>
          <w:szCs w:val="22"/>
        </w:rPr>
        <w:t xml:space="preserve"> est exécutée si la procédure de MOF ou les N</w:t>
      </w:r>
      <w:r w:rsidRPr="00D124D9">
        <w:rPr>
          <w:rFonts w:ascii="Andes" w:hAnsi="Andes" w:cs="Arial"/>
          <w:sz w:val="22"/>
          <w:szCs w:val="22"/>
        </w:rPr>
        <w:t xml:space="preserve">égociations sont applicables. Les deux </w:t>
      </w:r>
      <w:r>
        <w:rPr>
          <w:rFonts w:ascii="Andes" w:hAnsi="Andes" w:cs="Arial"/>
          <w:sz w:val="22"/>
          <w:szCs w:val="22"/>
        </w:rPr>
        <w:t>procédures</w:t>
      </w:r>
      <w:r w:rsidRPr="00D124D9">
        <w:rPr>
          <w:rFonts w:ascii="Andes" w:hAnsi="Andes" w:cs="Arial"/>
          <w:sz w:val="22"/>
          <w:szCs w:val="22"/>
        </w:rPr>
        <w:t xml:space="preserve"> sont mutuellement exclusives. </w:t>
      </w:r>
      <w:r w:rsidRPr="00D124D9">
        <w:rPr>
          <w:rFonts w:ascii="Andes" w:hAnsi="Andes" w:cs="Arial"/>
          <w:sz w:val="22"/>
          <w:szCs w:val="22"/>
        </w:rPr>
        <w:lastRenderedPageBreak/>
        <w:t xml:space="preserve">L’Emprunteur applique la </w:t>
      </w:r>
      <w:r>
        <w:rPr>
          <w:rFonts w:ascii="Andes" w:hAnsi="Andes" w:cs="Arial"/>
          <w:sz w:val="22"/>
          <w:szCs w:val="22"/>
        </w:rPr>
        <w:t xml:space="preserve">procédure de </w:t>
      </w:r>
      <w:r w:rsidRPr="00D124D9">
        <w:rPr>
          <w:rFonts w:ascii="Andes" w:hAnsi="Andes" w:cs="Arial"/>
          <w:sz w:val="22"/>
          <w:szCs w:val="22"/>
        </w:rPr>
        <w:t xml:space="preserve">MOF conformément aux dispositions des paragraphes 6.32 et 6.33.  </w:t>
      </w:r>
      <w:r>
        <w:rPr>
          <w:rFonts w:ascii="Andes" w:hAnsi="Andes" w:cs="Arial"/>
          <w:sz w:val="22"/>
          <w:szCs w:val="22"/>
        </w:rPr>
        <w:t>Les N</w:t>
      </w:r>
      <w:r w:rsidRPr="00D124D9">
        <w:rPr>
          <w:rFonts w:ascii="Andes" w:hAnsi="Andes" w:cs="Arial"/>
          <w:sz w:val="22"/>
          <w:szCs w:val="22"/>
        </w:rPr>
        <w:t xml:space="preserve">égociations se déroulent conformément aux paragraphes 6.34 à 6.36.  </w:t>
      </w:r>
    </w:p>
    <w:p w14:paraId="3796120F" w14:textId="77777777" w:rsidR="00341E34" w:rsidRPr="00D124D9" w:rsidRDefault="00341E34" w:rsidP="00341E34">
      <w:pPr>
        <w:pStyle w:val="Paragraphedeliste"/>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b/>
          <w:sz w:val="22"/>
          <w:szCs w:val="22"/>
        </w:rPr>
        <w:t>Vérificateur de probité</w:t>
      </w:r>
      <w:r w:rsidRPr="00D124D9">
        <w:rPr>
          <w:rFonts w:ascii="Calibri" w:hAnsi="Calibri" w:cs="Arial"/>
          <w:b/>
          <w:sz w:val="22"/>
          <w:szCs w:val="22"/>
        </w:rPr>
        <w:t> </w:t>
      </w:r>
      <w:r w:rsidRPr="00D124D9">
        <w:rPr>
          <w:rFonts w:ascii="Andes" w:hAnsi="Andes" w:cs="Arial"/>
          <w:b/>
          <w:sz w:val="22"/>
          <w:szCs w:val="22"/>
        </w:rPr>
        <w:t>:</w:t>
      </w:r>
      <w:r w:rsidRPr="00D124D9">
        <w:rPr>
          <w:rFonts w:ascii="Andes" w:hAnsi="Andes" w:cs="Arial"/>
          <w:sz w:val="22"/>
          <w:szCs w:val="22"/>
        </w:rPr>
        <w:t xml:space="preserve"> en cas d’applicabilité de la </w:t>
      </w:r>
      <w:r>
        <w:rPr>
          <w:rFonts w:ascii="Andes" w:hAnsi="Andes" w:cs="Arial"/>
          <w:sz w:val="22"/>
          <w:szCs w:val="22"/>
        </w:rPr>
        <w:t>procédure de MOF ou des N</w:t>
      </w:r>
      <w:r w:rsidRPr="00D124D9">
        <w:rPr>
          <w:rFonts w:ascii="Andes" w:hAnsi="Andes" w:cs="Arial"/>
          <w:sz w:val="22"/>
          <w:szCs w:val="22"/>
        </w:rPr>
        <w:t>égociations, l’Emprunteur désigne un Garant de probité (Vérificateur de probité) jugé acceptable par la Banque, pour veiller à l’intégrité du processus de passation d</w:t>
      </w:r>
      <w:r>
        <w:rPr>
          <w:rFonts w:ascii="Andes" w:hAnsi="Andes" w:cs="Arial"/>
          <w:sz w:val="22"/>
          <w:szCs w:val="22"/>
        </w:rPr>
        <w:t>u</w:t>
      </w:r>
      <w:r w:rsidRPr="00D124D9">
        <w:rPr>
          <w:rFonts w:ascii="Andes" w:hAnsi="Andes" w:cs="Arial"/>
          <w:sz w:val="22"/>
          <w:szCs w:val="22"/>
        </w:rPr>
        <w:t xml:space="preserve"> marché et, plus particulièrement, sur la conduite de la </w:t>
      </w:r>
      <w:r>
        <w:rPr>
          <w:rFonts w:ascii="Andes" w:hAnsi="Andes" w:cs="Arial"/>
          <w:sz w:val="22"/>
          <w:szCs w:val="22"/>
        </w:rPr>
        <w:t>procédure de MOF ou des N</w:t>
      </w:r>
      <w:r w:rsidRPr="00D124D9">
        <w:rPr>
          <w:rFonts w:ascii="Andes" w:hAnsi="Andes" w:cs="Arial"/>
          <w:sz w:val="22"/>
          <w:szCs w:val="22"/>
        </w:rPr>
        <w:t xml:space="preserve">égociations. Le Vérificateur de probité </w:t>
      </w:r>
      <w:r>
        <w:rPr>
          <w:rFonts w:ascii="Andes" w:hAnsi="Andes" w:cs="Arial"/>
          <w:sz w:val="22"/>
          <w:szCs w:val="22"/>
        </w:rPr>
        <w:t>doit être</w:t>
      </w:r>
      <w:r w:rsidRPr="00D124D9">
        <w:rPr>
          <w:rFonts w:ascii="Andes" w:hAnsi="Andes" w:cs="Arial"/>
          <w:sz w:val="22"/>
          <w:szCs w:val="22"/>
        </w:rPr>
        <w:t xml:space="preserve"> agréé par la Banque. Pour </w:t>
      </w:r>
      <w:r>
        <w:rPr>
          <w:rFonts w:ascii="Andes" w:hAnsi="Andes" w:cs="Arial"/>
          <w:sz w:val="22"/>
          <w:szCs w:val="22"/>
        </w:rPr>
        <w:t xml:space="preserve">ce qui est de </w:t>
      </w:r>
      <w:r w:rsidRPr="00D124D9">
        <w:rPr>
          <w:rFonts w:ascii="Andes" w:hAnsi="Andes" w:cs="Arial"/>
          <w:sz w:val="22"/>
          <w:szCs w:val="22"/>
        </w:rPr>
        <w:t xml:space="preserve">l’ouverture des deuxièmes </w:t>
      </w:r>
      <w:r>
        <w:rPr>
          <w:rFonts w:ascii="Andes" w:hAnsi="Andes" w:cs="Arial"/>
          <w:sz w:val="22"/>
          <w:szCs w:val="22"/>
        </w:rPr>
        <w:t>plis à</w:t>
      </w:r>
      <w:r w:rsidRPr="00D124D9">
        <w:rPr>
          <w:rFonts w:ascii="Andes" w:hAnsi="Andes" w:cs="Arial"/>
          <w:sz w:val="22"/>
          <w:szCs w:val="22"/>
        </w:rPr>
        <w:t xml:space="preserve"> l’</w:t>
      </w:r>
      <w:r>
        <w:rPr>
          <w:rFonts w:ascii="Andes" w:hAnsi="Andes" w:cs="Arial"/>
          <w:sz w:val="22"/>
          <w:szCs w:val="22"/>
        </w:rPr>
        <w:t>É</w:t>
      </w:r>
      <w:r w:rsidRPr="00D124D9">
        <w:rPr>
          <w:rFonts w:ascii="Andes" w:hAnsi="Andes" w:cs="Arial"/>
          <w:sz w:val="22"/>
          <w:szCs w:val="22"/>
        </w:rPr>
        <w:t>tape 2 (Propositions financières)</w:t>
      </w:r>
      <w:r w:rsidRPr="00D124D9">
        <w:rPr>
          <w:rFonts w:ascii="Calibri" w:hAnsi="Calibri" w:cs="Arial"/>
          <w:sz w:val="22"/>
          <w:szCs w:val="22"/>
        </w:rPr>
        <w:t> </w:t>
      </w:r>
      <w:r w:rsidRPr="00D124D9">
        <w:rPr>
          <w:rFonts w:ascii="Andes" w:hAnsi="Andes" w:cs="Arial"/>
          <w:sz w:val="22"/>
          <w:szCs w:val="22"/>
        </w:rPr>
        <w:t>:</w:t>
      </w:r>
    </w:p>
    <w:p w14:paraId="133FA384" w14:textId="77777777" w:rsidR="00341E34" w:rsidRPr="00D124D9" w:rsidRDefault="00341E34" w:rsidP="00341E34">
      <w:pPr>
        <w:pStyle w:val="Paragraphedeliste"/>
        <w:numPr>
          <w:ilvl w:val="0"/>
          <w:numId w:val="229"/>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les deuxièmes </w:t>
      </w:r>
      <w:r>
        <w:rPr>
          <w:rFonts w:ascii="Andes" w:eastAsiaTheme="minorHAnsi" w:hAnsi="Andes" w:cs="Arial"/>
          <w:color w:val="000000"/>
          <w:sz w:val="22"/>
          <w:szCs w:val="22"/>
        </w:rPr>
        <w:t xml:space="preserve">plis </w:t>
      </w:r>
      <w:r w:rsidRPr="00D124D9">
        <w:rPr>
          <w:rFonts w:ascii="Andes" w:eastAsiaTheme="minorHAnsi" w:hAnsi="Andes" w:cs="Arial"/>
          <w:color w:val="000000"/>
          <w:sz w:val="22"/>
          <w:szCs w:val="22"/>
        </w:rPr>
        <w:t xml:space="preserve">ne sont pas ouverts en séance publique, mais en présence du Vérificateur de probité ; et </w:t>
      </w:r>
    </w:p>
    <w:p w14:paraId="0B70BF2C" w14:textId="77777777" w:rsidR="00341E34" w:rsidRPr="00D124D9" w:rsidRDefault="00341E34" w:rsidP="00341E34">
      <w:pPr>
        <w:pStyle w:val="Paragraphedeliste"/>
        <w:numPr>
          <w:ilvl w:val="0"/>
          <w:numId w:val="229"/>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l’Emprunteur </w:t>
      </w:r>
      <w:r>
        <w:rPr>
          <w:rFonts w:ascii="Andes" w:eastAsiaTheme="minorHAnsi" w:hAnsi="Andes" w:cs="Arial"/>
          <w:color w:val="000000"/>
          <w:sz w:val="22"/>
          <w:szCs w:val="22"/>
        </w:rPr>
        <w:t>dresse</w:t>
      </w:r>
      <w:r w:rsidRPr="00D124D9">
        <w:rPr>
          <w:rFonts w:ascii="Andes" w:eastAsiaTheme="minorHAnsi" w:hAnsi="Andes" w:cs="Arial"/>
          <w:color w:val="000000"/>
          <w:sz w:val="22"/>
          <w:szCs w:val="22"/>
        </w:rPr>
        <w:t xml:space="preserve"> un procès-verbal de l’ouverture des plis de la partie financière qui </w:t>
      </w:r>
      <w:r>
        <w:rPr>
          <w:rFonts w:ascii="Andes" w:eastAsiaTheme="minorHAnsi" w:hAnsi="Andes" w:cs="Arial"/>
          <w:color w:val="000000"/>
          <w:sz w:val="22"/>
          <w:szCs w:val="22"/>
        </w:rPr>
        <w:t>doit être</w:t>
      </w:r>
      <w:r w:rsidRPr="00D124D9">
        <w:rPr>
          <w:rFonts w:ascii="Andes" w:eastAsiaTheme="minorHAnsi" w:hAnsi="Andes" w:cs="Arial"/>
          <w:color w:val="000000"/>
          <w:sz w:val="22"/>
          <w:szCs w:val="22"/>
        </w:rPr>
        <w:t xml:space="preserve"> signé par le Vérificateur de probité.  </w:t>
      </w:r>
    </w:p>
    <w:p w14:paraId="7F62A1A5" w14:textId="26C7D5FC" w:rsidR="00341E34" w:rsidRPr="00D124D9" w:rsidRDefault="00341E34" w:rsidP="00341E34">
      <w:pPr>
        <w:pStyle w:val="Paragraphedeliste"/>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b/>
          <w:sz w:val="22"/>
          <w:szCs w:val="22"/>
        </w:rPr>
        <w:t>Rapport de probité</w:t>
      </w:r>
      <w:r w:rsidRPr="00D124D9">
        <w:rPr>
          <w:rFonts w:ascii="Calibri" w:hAnsi="Calibri" w:cs="Arial"/>
          <w:b/>
          <w:sz w:val="22"/>
          <w:szCs w:val="22"/>
        </w:rPr>
        <w:t> </w:t>
      </w:r>
      <w:r w:rsidRPr="00D124D9">
        <w:rPr>
          <w:rFonts w:ascii="Andes" w:hAnsi="Andes" w:cs="Arial"/>
          <w:b/>
          <w:sz w:val="22"/>
          <w:szCs w:val="22"/>
        </w:rPr>
        <w:t>:</w:t>
      </w:r>
      <w:r w:rsidRPr="00D124D9">
        <w:rPr>
          <w:rFonts w:ascii="Andes" w:hAnsi="Andes" w:cs="Arial"/>
          <w:sz w:val="22"/>
          <w:szCs w:val="22"/>
        </w:rPr>
        <w:t xml:space="preserve"> une fois que l’Emprunteur prend la décision d’attribuer le marché, le Vérificateur de probité prépare son rapport, qui sera remis à l’Emprunteur et une copie transmise à la Banque. </w:t>
      </w:r>
      <w:r>
        <w:rPr>
          <w:rFonts w:ascii="Andes" w:hAnsi="Andes" w:cs="Arial"/>
          <w:sz w:val="22"/>
          <w:szCs w:val="22"/>
        </w:rPr>
        <w:t xml:space="preserve">Pour remplir les conditions </w:t>
      </w:r>
      <w:r w:rsidRPr="00D124D9">
        <w:rPr>
          <w:rFonts w:ascii="Andes" w:hAnsi="Andes" w:cs="Arial"/>
          <w:sz w:val="22"/>
          <w:szCs w:val="22"/>
        </w:rPr>
        <w:t>de transparence et d’éthique de responsabilité, l’Emprunteur adresse une copie du rapport du Vérificateur de probité à tous les Proposants (ceux qui déposé des Propositions à l’</w:t>
      </w:r>
      <w:r>
        <w:rPr>
          <w:rFonts w:ascii="Andes" w:hAnsi="Andes" w:cs="Arial"/>
          <w:sz w:val="22"/>
          <w:szCs w:val="22"/>
        </w:rPr>
        <w:t>É</w:t>
      </w:r>
      <w:r w:rsidRPr="00D124D9">
        <w:rPr>
          <w:rFonts w:ascii="Andes" w:hAnsi="Andes" w:cs="Arial"/>
          <w:sz w:val="22"/>
          <w:szCs w:val="22"/>
        </w:rPr>
        <w:t xml:space="preserve">tape 2, qu’ils aient ou non été invités à soumettre une MOF ou à négocier) et le publie sur son site </w:t>
      </w:r>
      <w:r w:rsidR="00D828D3">
        <w:rPr>
          <w:rFonts w:ascii="Andes" w:hAnsi="Andes" w:cs="Arial"/>
          <w:sz w:val="22"/>
          <w:szCs w:val="22"/>
        </w:rPr>
        <w:t>internet</w:t>
      </w:r>
      <w:r w:rsidRPr="00D124D9">
        <w:rPr>
          <w:rFonts w:ascii="Calibri" w:hAnsi="Calibri" w:cs="Calibri"/>
          <w:sz w:val="22"/>
          <w:szCs w:val="22"/>
        </w:rPr>
        <w:t xml:space="preserve">. </w:t>
      </w:r>
      <w:r w:rsidRPr="00D124D9">
        <w:rPr>
          <w:rFonts w:ascii="Andes" w:hAnsi="Andes" w:cs="Calibri"/>
          <w:sz w:val="22"/>
          <w:szCs w:val="22"/>
        </w:rPr>
        <w:t xml:space="preserve">La Notification d’intention d’attribution de marché </w:t>
      </w:r>
      <w:r w:rsidR="003E41C7">
        <w:rPr>
          <w:rFonts w:ascii="Andes" w:hAnsi="Andes" w:cs="Calibri"/>
          <w:sz w:val="22"/>
          <w:szCs w:val="22"/>
        </w:rPr>
        <w:t>doit être</w:t>
      </w:r>
      <w:r w:rsidRPr="00D124D9">
        <w:rPr>
          <w:rFonts w:ascii="Andes" w:hAnsi="Andes" w:cs="Calibri"/>
          <w:sz w:val="22"/>
          <w:szCs w:val="22"/>
        </w:rPr>
        <w:t xml:space="preserve"> transmise au même moment</w:t>
      </w:r>
      <w:r w:rsidRPr="00D124D9">
        <w:rPr>
          <w:rFonts w:ascii="Andes" w:hAnsi="Andes" w:cs="Arial"/>
          <w:sz w:val="22"/>
          <w:szCs w:val="22"/>
        </w:rPr>
        <w:t xml:space="preserve">.  </w:t>
      </w:r>
    </w:p>
    <w:p w14:paraId="05E02CA8" w14:textId="77777777" w:rsidR="00341E34" w:rsidRPr="00D124D9" w:rsidRDefault="00341E34" w:rsidP="00341E34">
      <w:pPr>
        <w:spacing w:before="0" w:line="240" w:lineRule="auto"/>
        <w:contextualSpacing w:val="0"/>
        <w:jc w:val="left"/>
        <w:rPr>
          <w:rFonts w:ascii="Andes" w:eastAsiaTheme="minorHAnsi" w:hAnsi="Andes" w:cs="Arial"/>
          <w:b/>
          <w:sz w:val="22"/>
          <w:szCs w:val="22"/>
          <w:u w:val="single"/>
        </w:rPr>
      </w:pPr>
      <w:r w:rsidRPr="00D124D9">
        <w:rPr>
          <w:rFonts w:ascii="Andes" w:eastAsiaTheme="minorHAnsi" w:hAnsi="Andes" w:cs="Arial"/>
          <w:b/>
          <w:sz w:val="22"/>
          <w:szCs w:val="22"/>
          <w:u w:val="single"/>
        </w:rPr>
        <w:br w:type="page"/>
      </w:r>
    </w:p>
    <w:p w14:paraId="041DEA4C" w14:textId="4088FCCC" w:rsidR="00341E34" w:rsidRPr="00D124D9" w:rsidRDefault="00341E34" w:rsidP="00341E34">
      <w:pPr>
        <w:spacing w:before="0" w:line="240" w:lineRule="auto"/>
        <w:contextualSpacing w:val="0"/>
        <w:jc w:val="left"/>
        <w:rPr>
          <w:rFonts w:ascii="Andes" w:eastAsiaTheme="minorHAnsi" w:hAnsi="Andes" w:cs="Arial"/>
          <w:b/>
          <w:sz w:val="22"/>
          <w:szCs w:val="22"/>
        </w:rPr>
      </w:pPr>
      <w:r w:rsidRPr="00D124D9">
        <w:rPr>
          <w:rFonts w:ascii="Andes" w:eastAsiaTheme="minorHAnsi" w:hAnsi="Andes" w:cs="Arial"/>
          <w:b/>
          <w:sz w:val="22"/>
          <w:szCs w:val="22"/>
          <w:u w:val="single"/>
        </w:rPr>
        <w:lastRenderedPageBreak/>
        <w:t>Figure 3</w:t>
      </w:r>
      <w:r w:rsidRPr="00D124D9">
        <w:rPr>
          <w:rFonts w:ascii="Calibri" w:eastAsiaTheme="minorHAnsi" w:hAnsi="Calibri" w:cs="Arial"/>
          <w:b/>
          <w:sz w:val="22"/>
          <w:szCs w:val="22"/>
          <w:u w:val="single"/>
        </w:rPr>
        <w:t> </w:t>
      </w:r>
      <w:r w:rsidRPr="00D124D9">
        <w:rPr>
          <w:rFonts w:ascii="Andes" w:eastAsiaTheme="minorHAnsi" w:hAnsi="Andes" w:cs="Arial"/>
          <w:b/>
          <w:sz w:val="22"/>
          <w:szCs w:val="22"/>
        </w:rPr>
        <w:t>: MOF</w:t>
      </w:r>
      <w:r w:rsidRPr="00D124D9">
        <w:rPr>
          <w:rFonts w:ascii="Calibri" w:eastAsiaTheme="minorHAnsi" w:hAnsi="Calibri" w:cs="Arial"/>
          <w:b/>
          <w:sz w:val="22"/>
          <w:szCs w:val="22"/>
        </w:rPr>
        <w:t> </w:t>
      </w:r>
      <w:r w:rsidRPr="00D124D9">
        <w:rPr>
          <w:rFonts w:ascii="Andes" w:eastAsiaTheme="minorHAnsi" w:hAnsi="Andes" w:cs="Arial"/>
          <w:b/>
          <w:sz w:val="22"/>
          <w:szCs w:val="22"/>
        </w:rPr>
        <w:t>: principales variations du processus du Modèle 1 d’appel à propositions</w:t>
      </w:r>
    </w:p>
    <w:p w14:paraId="0AB2211B" w14:textId="5113285F" w:rsidR="00341E34" w:rsidRPr="00D124D9" w:rsidRDefault="00832E64" w:rsidP="00341E34">
      <w:pPr>
        <w:jc w:val="left"/>
        <w:rPr>
          <w:rFonts w:ascii="Andes" w:eastAsiaTheme="minorHAnsi" w:hAnsi="Andes"/>
        </w:rPr>
      </w:pPr>
      <w:r w:rsidRPr="00D124D9">
        <w:rPr>
          <w:rFonts w:ascii="Andes" w:eastAsiaTheme="minorHAnsi" w:hAnsi="Andes"/>
          <w:noProof/>
          <w:lang w:val="en-US"/>
        </w:rPr>
        <mc:AlternateContent>
          <mc:Choice Requires="wps">
            <w:drawing>
              <wp:anchor distT="0" distB="0" distL="114300" distR="114300" simplePos="0" relativeHeight="251617280" behindDoc="0" locked="0" layoutInCell="1" allowOverlap="1" wp14:anchorId="55C5F9B7" wp14:editId="4E5FDC00">
                <wp:simplePos x="0" y="0"/>
                <wp:positionH relativeFrom="column">
                  <wp:posOffset>3657172</wp:posOffset>
                </wp:positionH>
                <wp:positionV relativeFrom="paragraph">
                  <wp:posOffset>1144802</wp:posOffset>
                </wp:positionV>
                <wp:extent cx="1887322" cy="548640"/>
                <wp:effectExtent l="0" t="0" r="0" b="0"/>
                <wp:wrapNone/>
                <wp:docPr id="43" name="Rectangle 43"/>
                <wp:cNvGraphicFramePr/>
                <a:graphic xmlns:a="http://schemas.openxmlformats.org/drawingml/2006/main">
                  <a:graphicData uri="http://schemas.microsoft.com/office/word/2010/wordprocessingShape">
                    <wps:wsp>
                      <wps:cNvSpPr/>
                      <wps:spPr>
                        <a:xfrm>
                          <a:off x="0" y="0"/>
                          <a:ext cx="1887322" cy="54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758AEB" w14:textId="69C9D109" w:rsidR="00A41794" w:rsidRPr="00D5431A" w:rsidRDefault="00A41794" w:rsidP="00341E34">
                            <w:pPr>
                              <w:spacing w:before="0" w:line="240" w:lineRule="auto"/>
                              <w:contextualSpacing w:val="0"/>
                              <w:jc w:val="left"/>
                              <w:rPr>
                                <w:rFonts w:ascii="Andes" w:eastAsiaTheme="minorHAnsi" w:hAnsi="Andes"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5F9B7" id="Rectangle 43" o:spid="_x0000_s1050" style="position:absolute;margin-left:287.95pt;margin-top:90.15pt;width:148.6pt;height:43.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" filled="f" stroked="f" strokeweight="2pt">
                <v:textbox>
                  <w:txbxContent>
                    <w:p w14:paraId="0F758AEB" w14:textId="69C9D109" w:rsidR="00A41794" w:rsidRPr="00D5431A" w:rsidRDefault="00A41794" w:rsidP="00341E34">
                      <w:pPr>
                        <w:spacing w:before="0" w:line="240" w:lineRule="auto"/>
                        <w:contextualSpacing w:val="0"/>
                        <w:jc w:val="left"/>
                        <w:rPr>
                          <w:rFonts w:ascii="Andes" w:eastAsiaTheme="minorHAnsi" w:hAnsi="Andes" w:cs="Arial"/>
                          <w:color w:val="000000" w:themeColor="text1"/>
                          <w:sz w:val="18"/>
                          <w:szCs w:val="18"/>
                        </w:rPr>
                      </w:pPr>
                    </w:p>
                  </w:txbxContent>
                </v:textbox>
              </v:rect>
            </w:pict>
          </mc:Fallback>
        </mc:AlternateContent>
      </w:r>
      <w:r w:rsidR="00084C63">
        <w:rPr>
          <w:noProof/>
          <w:lang w:val="en-US"/>
        </w:rPr>
        <w:drawing>
          <wp:inline distT="0" distB="0" distL="0" distR="0" wp14:anchorId="0772AE6E" wp14:editId="4E87D43A">
            <wp:extent cx="3200400" cy="33242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00400" cy="3324225"/>
                    </a:xfrm>
                    <a:prstGeom prst="rect">
                      <a:avLst/>
                    </a:prstGeom>
                  </pic:spPr>
                </pic:pic>
              </a:graphicData>
            </a:graphic>
          </wp:inline>
        </w:drawing>
      </w:r>
      <w:r w:rsidR="00F7222D">
        <w:rPr>
          <w:rFonts w:ascii="Andes" w:eastAsiaTheme="minorHAnsi" w:hAnsi="Andes"/>
        </w:rPr>
        <w:t xml:space="preserve">Note : les variations clés </w:t>
      </w:r>
      <w:r w:rsidR="001674B0">
        <w:rPr>
          <w:rFonts w:ascii="Andes" w:eastAsiaTheme="minorHAnsi" w:hAnsi="Andes"/>
        </w:rPr>
        <w:t>du processus sont indiquées en jaune</w:t>
      </w:r>
    </w:p>
    <w:p w14:paraId="6EACC4D3" w14:textId="24CDCC88" w:rsidR="00341E34" w:rsidRPr="00D124D9" w:rsidRDefault="00341E34" w:rsidP="00341E34">
      <w:pPr>
        <w:spacing w:before="360" w:after="360" w:line="240" w:lineRule="auto"/>
        <w:contextualSpacing w:val="0"/>
        <w:jc w:val="left"/>
        <w:rPr>
          <w:rFonts w:ascii="Andes" w:eastAsiaTheme="minorHAnsi" w:hAnsi="Andes" w:cs="Arial"/>
          <w:b/>
          <w:sz w:val="22"/>
          <w:szCs w:val="22"/>
        </w:rPr>
      </w:pPr>
      <w:r w:rsidRPr="00D124D9">
        <w:rPr>
          <w:rFonts w:ascii="Andes" w:eastAsiaTheme="minorHAnsi" w:hAnsi="Andes" w:cs="Arial"/>
          <w:b/>
          <w:sz w:val="22"/>
          <w:szCs w:val="22"/>
          <w:u w:val="single"/>
        </w:rPr>
        <w:t>Figure 4</w:t>
      </w:r>
      <w:r w:rsidRPr="00D124D9">
        <w:rPr>
          <w:rFonts w:ascii="Calibri" w:eastAsiaTheme="minorHAnsi" w:hAnsi="Calibri" w:cs="Arial"/>
          <w:b/>
          <w:sz w:val="22"/>
          <w:szCs w:val="22"/>
          <w:u w:val="single"/>
        </w:rPr>
        <w:t> </w:t>
      </w:r>
      <w:r w:rsidRPr="00D124D9">
        <w:rPr>
          <w:rFonts w:ascii="Andes" w:eastAsiaTheme="minorHAnsi" w:hAnsi="Andes" w:cs="Arial"/>
          <w:b/>
          <w:sz w:val="22"/>
          <w:szCs w:val="22"/>
        </w:rPr>
        <w:t>: NÉGOCIATIONS: principales variations du processus du Modèle 1 d’appel à propositions</w:t>
      </w:r>
    </w:p>
    <w:p w14:paraId="3BFD123D" w14:textId="146D71A8" w:rsidR="00006F5E" w:rsidRPr="00D124D9" w:rsidRDefault="00341E34" w:rsidP="00006F5E">
      <w:pPr>
        <w:jc w:val="left"/>
        <w:rPr>
          <w:rFonts w:ascii="Andes" w:eastAsiaTheme="minorHAnsi" w:hAnsi="Andes"/>
        </w:rPr>
      </w:pPr>
      <w:r w:rsidRPr="00D124D9">
        <w:rPr>
          <w:rFonts w:ascii="Andes" w:eastAsiaTheme="minorHAnsi" w:hAnsi="Andes"/>
          <w:noProof/>
          <w:lang w:val="en-US"/>
        </w:rPr>
        <mc:AlternateContent>
          <mc:Choice Requires="wps">
            <w:drawing>
              <wp:anchor distT="0" distB="0" distL="114300" distR="114300" simplePos="0" relativeHeight="251696128" behindDoc="0" locked="0" layoutInCell="1" allowOverlap="1" wp14:anchorId="4BD9494F" wp14:editId="4BE581F2">
                <wp:simplePos x="0" y="0"/>
                <wp:positionH relativeFrom="margin">
                  <wp:posOffset>3606298</wp:posOffset>
                </wp:positionH>
                <wp:positionV relativeFrom="paragraph">
                  <wp:posOffset>1053701</wp:posOffset>
                </wp:positionV>
                <wp:extent cx="1887322" cy="548640"/>
                <wp:effectExtent l="0" t="0" r="0" b="0"/>
                <wp:wrapNone/>
                <wp:docPr id="44" name="Rectangle 44"/>
                <wp:cNvGraphicFramePr/>
                <a:graphic xmlns:a="http://schemas.openxmlformats.org/drawingml/2006/main">
                  <a:graphicData uri="http://schemas.microsoft.com/office/word/2010/wordprocessingShape">
                    <wps:wsp>
                      <wps:cNvSpPr/>
                      <wps:spPr>
                        <a:xfrm>
                          <a:off x="0" y="0"/>
                          <a:ext cx="1887322" cy="548640"/>
                        </a:xfrm>
                        <a:prstGeom prst="rect">
                          <a:avLst/>
                        </a:prstGeom>
                        <a:noFill/>
                        <a:ln w="25400" cap="flat" cmpd="sng" algn="ctr">
                          <a:noFill/>
                          <a:prstDash val="solid"/>
                        </a:ln>
                        <a:effectLst/>
                      </wps:spPr>
                      <wps:txbx>
                        <w:txbxContent>
                          <w:p w14:paraId="7973E761" w14:textId="77777777" w:rsidR="00A41794" w:rsidRPr="00D5431A" w:rsidRDefault="00A41794" w:rsidP="00341E34">
                            <w:pPr>
                              <w:spacing w:before="0" w:line="240" w:lineRule="auto"/>
                              <w:ind w:left="-90"/>
                              <w:contextualSpacing w:val="0"/>
                              <w:jc w:val="left"/>
                              <w:rPr>
                                <w:rFonts w:ascii="Andes" w:eastAsiaTheme="minorHAnsi" w:hAnsi="Andes"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9494F" id="Rectangle 44" o:spid="_x0000_s1051" style="position:absolute;margin-left:283.95pt;margin-top:82.95pt;width:148.6pt;height:43.2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" filled="f" stroked="f" strokeweight="2pt">
                <v:textbox>
                  <w:txbxContent>
                    <w:p w14:paraId="7973E761" w14:textId="77777777" w:rsidR="00A41794" w:rsidRPr="00D5431A" w:rsidRDefault="00A41794" w:rsidP="00341E34">
                      <w:pPr>
                        <w:spacing w:before="0" w:line="240" w:lineRule="auto"/>
                        <w:ind w:left="-90"/>
                        <w:contextualSpacing w:val="0"/>
                        <w:jc w:val="left"/>
                        <w:rPr>
                          <w:rFonts w:ascii="Andes" w:eastAsiaTheme="minorHAnsi" w:hAnsi="Andes" w:cs="Arial"/>
                          <w:color w:val="000000" w:themeColor="text1"/>
                          <w:sz w:val="18"/>
                          <w:szCs w:val="18"/>
                        </w:rPr>
                      </w:pPr>
                    </w:p>
                  </w:txbxContent>
                </v:textbox>
                <w10:wrap anchorx="margin"/>
              </v:rect>
            </w:pict>
          </mc:Fallback>
        </mc:AlternateContent>
      </w:r>
      <w:r w:rsidR="00683B76">
        <w:rPr>
          <w:noProof/>
          <w:lang w:val="en-US"/>
        </w:rPr>
        <w:drawing>
          <wp:inline distT="0" distB="0" distL="0" distR="0" wp14:anchorId="1F0A4500" wp14:editId="3EB708B1">
            <wp:extent cx="3114675" cy="31337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14675" cy="3133725"/>
                    </a:xfrm>
                    <a:prstGeom prst="rect">
                      <a:avLst/>
                    </a:prstGeom>
                  </pic:spPr>
                </pic:pic>
              </a:graphicData>
            </a:graphic>
          </wp:inline>
        </w:drawing>
      </w:r>
      <w:r w:rsidR="00006F5E" w:rsidRPr="00006F5E">
        <w:rPr>
          <w:rFonts w:ascii="Andes" w:eastAsiaTheme="minorHAnsi" w:hAnsi="Andes"/>
        </w:rPr>
        <w:t xml:space="preserve"> </w:t>
      </w:r>
      <w:r w:rsidR="00006F5E">
        <w:rPr>
          <w:rFonts w:ascii="Andes" w:eastAsiaTheme="minorHAnsi" w:hAnsi="Andes"/>
        </w:rPr>
        <w:t>Note : les variations clés du processus sont indiquées en jaune</w:t>
      </w:r>
    </w:p>
    <w:p w14:paraId="45486EBA" w14:textId="77777777" w:rsidR="00341E34" w:rsidRPr="00D124D9" w:rsidRDefault="00341E34" w:rsidP="00341E34">
      <w:pPr>
        <w:pStyle w:val="Paragraphedeliste"/>
        <w:spacing w:before="240" w:line="240" w:lineRule="auto"/>
        <w:contextualSpacing w:val="0"/>
        <w:jc w:val="left"/>
        <w:rPr>
          <w:rFonts w:ascii="Andes" w:hAnsi="Andes" w:cs="Arial"/>
          <w:b/>
          <w:sz w:val="28"/>
          <w:szCs w:val="28"/>
        </w:rPr>
      </w:pPr>
      <w:r w:rsidRPr="00D124D9">
        <w:rPr>
          <w:rFonts w:ascii="Andes" w:hAnsi="Andes" w:cs="Arial"/>
          <w:b/>
          <w:sz w:val="28"/>
          <w:szCs w:val="28"/>
          <w:u w:val="single"/>
        </w:rPr>
        <w:lastRenderedPageBreak/>
        <w:t>Modèle 2 d’appel à propositions </w:t>
      </w:r>
      <w:r w:rsidRPr="00D124D9">
        <w:rPr>
          <w:rFonts w:ascii="Andes" w:hAnsi="Andes" w:cs="Arial"/>
          <w:b/>
          <w:sz w:val="28"/>
          <w:szCs w:val="28"/>
        </w:rPr>
        <w:t xml:space="preserve">: simplifié </w:t>
      </w:r>
    </w:p>
    <w:p w14:paraId="06CCA838" w14:textId="77777777" w:rsidR="00341E34" w:rsidRPr="00D124D9" w:rsidRDefault="00341E34" w:rsidP="00341E34">
      <w:pPr>
        <w:pStyle w:val="Paragraphedeliste"/>
        <w:numPr>
          <w:ilvl w:val="1"/>
          <w:numId w:val="225"/>
        </w:numPr>
        <w:spacing w:before="0" w:line="240" w:lineRule="auto"/>
        <w:ind w:left="630" w:hanging="630"/>
        <w:contextualSpacing w:val="0"/>
        <w:rPr>
          <w:rFonts w:ascii="Andes" w:hAnsi="Andes" w:cs="Arial"/>
          <w:sz w:val="22"/>
          <w:szCs w:val="22"/>
        </w:rPr>
      </w:pPr>
      <w:r>
        <w:rPr>
          <w:rFonts w:ascii="Andes" w:hAnsi="Andes" w:cs="Arial"/>
          <w:sz w:val="22"/>
          <w:szCs w:val="22"/>
        </w:rPr>
        <w:t>Après la S</w:t>
      </w:r>
      <w:r w:rsidRPr="00D124D9">
        <w:rPr>
          <w:rFonts w:ascii="Andes" w:hAnsi="Andes" w:cs="Arial"/>
          <w:sz w:val="22"/>
          <w:szCs w:val="22"/>
        </w:rPr>
        <w:t xml:space="preserve">élection </w:t>
      </w:r>
      <w:r>
        <w:rPr>
          <w:rFonts w:ascii="Andes" w:hAnsi="Andes" w:cs="Arial"/>
          <w:sz w:val="22"/>
          <w:szCs w:val="22"/>
        </w:rPr>
        <w:t>Initiale</w:t>
      </w:r>
      <w:r w:rsidRPr="00D124D9">
        <w:rPr>
          <w:rFonts w:ascii="Andes" w:hAnsi="Andes" w:cs="Arial"/>
          <w:sz w:val="22"/>
          <w:szCs w:val="22"/>
        </w:rPr>
        <w:t>, l’Emprunteur suit les étapes décrites ci-dessous pour passer un marché à l’aide d’une méthode de sélection par appel à propositions</w:t>
      </w:r>
      <w:r w:rsidRPr="00D124D9">
        <w:rPr>
          <w:rFonts w:ascii="Calibri" w:hAnsi="Calibri" w:cs="Arial"/>
          <w:sz w:val="22"/>
          <w:szCs w:val="22"/>
        </w:rPr>
        <w:t> </w:t>
      </w:r>
      <w:r w:rsidRPr="00D124D9">
        <w:rPr>
          <w:rFonts w:ascii="Andes" w:hAnsi="Andes" w:cs="Arial"/>
          <w:sz w:val="22"/>
          <w:szCs w:val="22"/>
        </w:rPr>
        <w:t>:</w:t>
      </w:r>
    </w:p>
    <w:p w14:paraId="745E2D3B" w14:textId="46D3C07F" w:rsidR="00341E34" w:rsidRPr="00D124D9" w:rsidRDefault="00341E34" w:rsidP="00341E34">
      <w:pPr>
        <w:pStyle w:val="Paragraphedeliste"/>
        <w:numPr>
          <w:ilvl w:val="0"/>
          <w:numId w:val="230"/>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Dossier d’</w:t>
      </w:r>
      <w:r w:rsidR="00AC4F66">
        <w:rPr>
          <w:rFonts w:ascii="Andes" w:eastAsiaTheme="minorHAnsi" w:hAnsi="Andes" w:cs="Arial"/>
          <w:b/>
          <w:color w:val="000000"/>
          <w:sz w:val="22"/>
          <w:szCs w:val="22"/>
        </w:rPr>
        <w:t>A</w:t>
      </w:r>
      <w:r w:rsidRPr="00D124D9">
        <w:rPr>
          <w:rFonts w:ascii="Andes" w:eastAsiaTheme="minorHAnsi" w:hAnsi="Andes" w:cs="Arial"/>
          <w:b/>
          <w:color w:val="000000"/>
          <w:sz w:val="22"/>
          <w:szCs w:val="22"/>
        </w:rPr>
        <w:t xml:space="preserve">ppel à </w:t>
      </w:r>
      <w:r w:rsidR="00AC4F66">
        <w:rPr>
          <w:rFonts w:ascii="Andes" w:eastAsiaTheme="minorHAnsi" w:hAnsi="Andes" w:cs="Arial"/>
          <w:b/>
          <w:color w:val="000000"/>
          <w:sz w:val="22"/>
          <w:szCs w:val="22"/>
        </w:rPr>
        <w:t>P</w:t>
      </w:r>
      <w:r w:rsidRPr="00D124D9">
        <w:rPr>
          <w:rFonts w:ascii="Andes" w:eastAsiaTheme="minorHAnsi" w:hAnsi="Andes" w:cs="Arial"/>
          <w:b/>
          <w:color w:val="000000"/>
          <w:sz w:val="22"/>
          <w:szCs w:val="22"/>
        </w:rPr>
        <w:t>ropositions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xml:space="preserve">: préparer suivant le </w:t>
      </w:r>
      <w:r>
        <w:rPr>
          <w:rFonts w:ascii="Andes" w:eastAsiaTheme="minorHAnsi" w:hAnsi="Andes" w:cs="Arial"/>
          <w:color w:val="000000"/>
          <w:sz w:val="22"/>
          <w:szCs w:val="22"/>
        </w:rPr>
        <w:t xml:space="preserve">Dossier </w:t>
      </w:r>
      <w:r w:rsidRPr="00D124D9">
        <w:rPr>
          <w:rFonts w:ascii="Andes" w:eastAsiaTheme="minorHAnsi" w:hAnsi="Andes" w:cs="Arial"/>
          <w:color w:val="000000"/>
          <w:sz w:val="22"/>
          <w:szCs w:val="22"/>
        </w:rPr>
        <w:t xml:space="preserve">type </w:t>
      </w:r>
      <w:r>
        <w:rPr>
          <w:rFonts w:ascii="Andes" w:eastAsiaTheme="minorHAnsi" w:hAnsi="Andes" w:cs="Arial"/>
          <w:color w:val="000000"/>
          <w:sz w:val="22"/>
          <w:szCs w:val="22"/>
        </w:rPr>
        <w:t xml:space="preserve">d’appel à propositions </w:t>
      </w:r>
      <w:r w:rsidRPr="00D124D9">
        <w:rPr>
          <w:rFonts w:ascii="Andes" w:eastAsiaTheme="minorHAnsi" w:hAnsi="Andes" w:cs="Arial"/>
          <w:color w:val="000000"/>
          <w:sz w:val="22"/>
          <w:szCs w:val="22"/>
        </w:rPr>
        <w:t>élaboré par la Banque</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5BFA15CF" w14:textId="61403039" w:rsidR="00341E34" w:rsidRPr="00D124D9" w:rsidRDefault="00341E34" w:rsidP="00341E34">
      <w:pPr>
        <w:pStyle w:val="Paragraphedeliste"/>
        <w:numPr>
          <w:ilvl w:val="0"/>
          <w:numId w:val="230"/>
        </w:numPr>
        <w:spacing w:before="0" w:line="240" w:lineRule="auto"/>
        <w:contextualSpacing w:val="0"/>
        <w:rPr>
          <w:rFonts w:ascii="Andes" w:eastAsiaTheme="minorHAnsi" w:hAnsi="Andes" w:cs="Arial"/>
          <w:color w:val="000000"/>
          <w:sz w:val="22"/>
          <w:szCs w:val="22"/>
        </w:rPr>
      </w:pPr>
      <w:r>
        <w:rPr>
          <w:rFonts w:ascii="Andes" w:eastAsiaTheme="minorHAnsi" w:hAnsi="Andes" w:cs="Arial"/>
          <w:b/>
          <w:color w:val="000000"/>
          <w:sz w:val="22"/>
          <w:szCs w:val="22"/>
        </w:rPr>
        <w:t>Diffus</w:t>
      </w:r>
      <w:r w:rsidRPr="00D124D9">
        <w:rPr>
          <w:rFonts w:ascii="Andes" w:eastAsiaTheme="minorHAnsi" w:hAnsi="Andes" w:cs="Arial"/>
          <w:b/>
          <w:color w:val="000000"/>
          <w:sz w:val="22"/>
          <w:szCs w:val="22"/>
        </w:rPr>
        <w:t>ion</w:t>
      </w:r>
      <w:r>
        <w:rPr>
          <w:rFonts w:ascii="Andes" w:eastAsiaTheme="minorHAnsi" w:hAnsi="Andes" w:cs="Arial"/>
          <w:b/>
          <w:color w:val="000000"/>
          <w:sz w:val="22"/>
          <w:szCs w:val="22"/>
        </w:rPr>
        <w:t xml:space="preserve"> </w:t>
      </w:r>
      <w:r w:rsidRPr="00D124D9">
        <w:rPr>
          <w:rFonts w:ascii="Andes" w:eastAsiaTheme="minorHAnsi" w:hAnsi="Andes" w:cs="Arial"/>
          <w:b/>
          <w:color w:val="000000"/>
          <w:sz w:val="22"/>
          <w:szCs w:val="22"/>
        </w:rPr>
        <w:t>de l’appel à propositions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communiquer le dossier d’</w:t>
      </w:r>
      <w:r w:rsidR="00C93E76">
        <w:rPr>
          <w:rFonts w:ascii="Andes" w:eastAsiaTheme="minorHAnsi" w:hAnsi="Andes" w:cs="Arial"/>
          <w:color w:val="000000"/>
          <w:sz w:val="22"/>
          <w:szCs w:val="22"/>
        </w:rPr>
        <w:t>A</w:t>
      </w:r>
      <w:r w:rsidRPr="00D124D9">
        <w:rPr>
          <w:rFonts w:ascii="Andes" w:eastAsiaTheme="minorHAnsi" w:hAnsi="Andes" w:cs="Arial"/>
          <w:color w:val="000000"/>
          <w:sz w:val="22"/>
          <w:szCs w:val="22"/>
        </w:rPr>
        <w:t xml:space="preserve">ppel à </w:t>
      </w:r>
      <w:r w:rsidR="00A72FE9">
        <w:rPr>
          <w:rFonts w:ascii="Andes" w:eastAsiaTheme="minorHAnsi" w:hAnsi="Andes" w:cs="Arial"/>
          <w:color w:val="000000"/>
          <w:sz w:val="22"/>
          <w:szCs w:val="22"/>
        </w:rPr>
        <w:t>P</w:t>
      </w:r>
      <w:r w:rsidRPr="00D124D9">
        <w:rPr>
          <w:rFonts w:ascii="Andes" w:eastAsiaTheme="minorHAnsi" w:hAnsi="Andes" w:cs="Arial"/>
          <w:color w:val="000000"/>
          <w:sz w:val="22"/>
          <w:szCs w:val="22"/>
        </w:rPr>
        <w:t>ropositions à tou</w:t>
      </w:r>
      <w:r>
        <w:rPr>
          <w:rFonts w:ascii="Andes" w:eastAsiaTheme="minorHAnsi" w:hAnsi="Andes" w:cs="Arial"/>
          <w:color w:val="000000"/>
          <w:sz w:val="22"/>
          <w:szCs w:val="22"/>
        </w:rPr>
        <w:t>s les Proposants passés par la S</w:t>
      </w:r>
      <w:r w:rsidRPr="00D124D9">
        <w:rPr>
          <w:rFonts w:ascii="Andes" w:eastAsiaTheme="minorHAnsi" w:hAnsi="Andes" w:cs="Arial"/>
          <w:color w:val="000000"/>
          <w:sz w:val="22"/>
          <w:szCs w:val="22"/>
        </w:rPr>
        <w:t xml:space="preserve">élection </w:t>
      </w:r>
      <w:r>
        <w:rPr>
          <w:rFonts w:ascii="Andes" w:eastAsiaTheme="minorHAnsi" w:hAnsi="Andes" w:cs="Arial"/>
          <w:color w:val="000000"/>
          <w:sz w:val="22"/>
          <w:szCs w:val="22"/>
        </w:rPr>
        <w:t>Initiale</w:t>
      </w:r>
      <w:r w:rsidRPr="00D124D9">
        <w:rPr>
          <w:rFonts w:ascii="Andes" w:eastAsiaTheme="minorHAnsi" w:hAnsi="Andes" w:cs="Arial"/>
          <w:color w:val="000000"/>
          <w:sz w:val="22"/>
          <w:szCs w:val="22"/>
        </w:rPr>
        <w:t xml:space="preserve">. Ils sont invités à </w:t>
      </w:r>
      <w:r>
        <w:rPr>
          <w:rFonts w:ascii="Andes" w:eastAsiaTheme="minorHAnsi" w:hAnsi="Andes" w:cs="Arial"/>
          <w:color w:val="000000"/>
          <w:sz w:val="22"/>
          <w:szCs w:val="22"/>
        </w:rPr>
        <w:t>remettre des P</w:t>
      </w:r>
      <w:r w:rsidRPr="00D124D9">
        <w:rPr>
          <w:rFonts w:ascii="Andes" w:eastAsiaTheme="minorHAnsi" w:hAnsi="Andes" w:cs="Arial"/>
          <w:color w:val="000000"/>
          <w:sz w:val="22"/>
          <w:szCs w:val="22"/>
        </w:rPr>
        <w:t xml:space="preserve">ropositions techniques et financières </w:t>
      </w:r>
      <w:r>
        <w:rPr>
          <w:rFonts w:ascii="Andes" w:eastAsiaTheme="minorHAnsi" w:hAnsi="Andes" w:cs="Arial"/>
          <w:color w:val="000000"/>
          <w:sz w:val="22"/>
          <w:szCs w:val="22"/>
        </w:rPr>
        <w:t>complètes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24239D43" w14:textId="7686F73C" w:rsidR="00341E34" w:rsidRPr="00D124D9" w:rsidRDefault="00341E34" w:rsidP="00341E34">
      <w:pPr>
        <w:pStyle w:val="Paragraphedeliste"/>
        <w:numPr>
          <w:ilvl w:val="0"/>
          <w:numId w:val="230"/>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Éclaircissements et modifications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xml:space="preserve">: </w:t>
      </w:r>
      <w:r>
        <w:rPr>
          <w:rFonts w:ascii="Andes" w:eastAsiaTheme="minorHAnsi" w:hAnsi="Andes" w:cs="Arial"/>
          <w:color w:val="000000"/>
          <w:sz w:val="22"/>
          <w:szCs w:val="22"/>
        </w:rPr>
        <w:t>répondre P</w:t>
      </w:r>
      <w:r w:rsidRPr="00D124D9">
        <w:rPr>
          <w:rFonts w:ascii="Andes" w:eastAsiaTheme="minorHAnsi" w:hAnsi="Andes" w:cs="Arial"/>
          <w:color w:val="000000"/>
          <w:sz w:val="22"/>
          <w:szCs w:val="22"/>
        </w:rPr>
        <w:t xml:space="preserve">ar </w:t>
      </w:r>
      <w:r>
        <w:rPr>
          <w:rFonts w:ascii="Andes" w:eastAsiaTheme="minorHAnsi" w:hAnsi="Andes" w:cs="Arial"/>
          <w:color w:val="000000"/>
          <w:sz w:val="22"/>
          <w:szCs w:val="22"/>
        </w:rPr>
        <w:t>É</w:t>
      </w:r>
      <w:r w:rsidRPr="00D124D9">
        <w:rPr>
          <w:rFonts w:ascii="Andes" w:eastAsiaTheme="minorHAnsi" w:hAnsi="Andes" w:cs="Arial"/>
          <w:color w:val="000000"/>
          <w:sz w:val="22"/>
          <w:szCs w:val="22"/>
        </w:rPr>
        <w:t xml:space="preserve">crit à toute demande d’éclaircissement d’un </w:t>
      </w:r>
      <w:r>
        <w:rPr>
          <w:rFonts w:ascii="Andes" w:eastAsiaTheme="minorHAnsi" w:hAnsi="Andes" w:cs="Arial"/>
          <w:color w:val="000000"/>
          <w:sz w:val="22"/>
          <w:szCs w:val="22"/>
        </w:rPr>
        <w:t>Proposant</w:t>
      </w:r>
      <w:r w:rsidRPr="00D124D9">
        <w:rPr>
          <w:rFonts w:ascii="Andes" w:eastAsiaTheme="minorHAnsi" w:hAnsi="Andes" w:cs="Arial"/>
          <w:color w:val="000000"/>
          <w:sz w:val="22"/>
          <w:szCs w:val="22"/>
        </w:rPr>
        <w:t xml:space="preserve"> et faire suivre une copie de la réponse à tous les </w:t>
      </w:r>
      <w:r>
        <w:rPr>
          <w:rFonts w:ascii="Andes" w:eastAsiaTheme="minorHAnsi" w:hAnsi="Andes" w:cs="Arial"/>
          <w:color w:val="000000"/>
          <w:sz w:val="22"/>
          <w:szCs w:val="22"/>
        </w:rPr>
        <w:t>Proposants</w:t>
      </w:r>
      <w:r w:rsidRPr="00D124D9">
        <w:rPr>
          <w:rFonts w:ascii="Andes" w:eastAsiaTheme="minorHAnsi" w:hAnsi="Andes" w:cs="Arial"/>
          <w:color w:val="000000"/>
          <w:sz w:val="22"/>
          <w:szCs w:val="22"/>
        </w:rPr>
        <w:t>. Toute modification au dos</w:t>
      </w:r>
      <w:r>
        <w:rPr>
          <w:rFonts w:ascii="Andes" w:eastAsiaTheme="minorHAnsi" w:hAnsi="Andes" w:cs="Arial"/>
          <w:color w:val="000000"/>
          <w:sz w:val="22"/>
          <w:szCs w:val="22"/>
        </w:rPr>
        <w:t xml:space="preserve">sier de </w:t>
      </w:r>
      <w:r w:rsidR="001E0730">
        <w:rPr>
          <w:rFonts w:ascii="Andes" w:eastAsiaTheme="minorHAnsi" w:hAnsi="Andes" w:cs="Arial"/>
          <w:color w:val="000000"/>
          <w:sz w:val="22"/>
          <w:szCs w:val="22"/>
        </w:rPr>
        <w:t>S</w:t>
      </w:r>
      <w:r w:rsidRPr="00D124D9">
        <w:rPr>
          <w:rFonts w:ascii="Andes" w:eastAsiaTheme="minorHAnsi" w:hAnsi="Andes" w:cs="Arial"/>
          <w:color w:val="000000"/>
          <w:sz w:val="22"/>
          <w:szCs w:val="22"/>
        </w:rPr>
        <w:t xml:space="preserve">élection </w:t>
      </w:r>
      <w:r>
        <w:rPr>
          <w:rFonts w:ascii="Andes" w:eastAsiaTheme="minorHAnsi" w:hAnsi="Andes" w:cs="Arial"/>
          <w:color w:val="000000"/>
          <w:sz w:val="22"/>
          <w:szCs w:val="22"/>
        </w:rPr>
        <w:t>initiale</w:t>
      </w:r>
      <w:r w:rsidRPr="00D124D9">
        <w:rPr>
          <w:rFonts w:ascii="Andes" w:eastAsiaTheme="minorHAnsi" w:hAnsi="Andes" w:cs="Arial"/>
          <w:color w:val="000000"/>
          <w:sz w:val="22"/>
          <w:szCs w:val="22"/>
        </w:rPr>
        <w:t xml:space="preserve"> que l’Emprunteur juge nécessaire en raison d’informations </w:t>
      </w:r>
      <w:r>
        <w:rPr>
          <w:rFonts w:ascii="Andes" w:eastAsiaTheme="minorHAnsi" w:hAnsi="Andes" w:cs="Arial"/>
          <w:color w:val="000000"/>
          <w:sz w:val="22"/>
          <w:szCs w:val="22"/>
        </w:rPr>
        <w:t>complémentaires</w:t>
      </w:r>
      <w:r w:rsidRPr="00D124D9">
        <w:rPr>
          <w:rFonts w:ascii="Andes" w:eastAsiaTheme="minorHAnsi" w:hAnsi="Andes" w:cs="Arial"/>
          <w:color w:val="000000"/>
          <w:sz w:val="22"/>
          <w:szCs w:val="22"/>
        </w:rPr>
        <w:t xml:space="preserve"> ou modifiées</w:t>
      </w:r>
      <w:r>
        <w:rPr>
          <w:rFonts w:ascii="Andes" w:eastAsiaTheme="minorHAnsi" w:hAnsi="Andes" w:cs="Arial"/>
          <w:color w:val="000000"/>
          <w:sz w:val="22"/>
          <w:szCs w:val="22"/>
        </w:rPr>
        <w:t xml:space="preserve"> ou d’éclaircissements se fait P</w:t>
      </w:r>
      <w:r w:rsidRPr="00D124D9">
        <w:rPr>
          <w:rFonts w:ascii="Andes" w:eastAsiaTheme="minorHAnsi" w:hAnsi="Andes" w:cs="Arial"/>
          <w:color w:val="000000"/>
          <w:sz w:val="22"/>
          <w:szCs w:val="22"/>
        </w:rPr>
        <w:t xml:space="preserve">ar </w:t>
      </w:r>
      <w:r>
        <w:rPr>
          <w:rFonts w:ascii="Andes" w:eastAsiaTheme="minorHAnsi" w:hAnsi="Andes" w:cs="Arial"/>
          <w:color w:val="000000"/>
          <w:sz w:val="22"/>
          <w:szCs w:val="22"/>
        </w:rPr>
        <w:t>É</w:t>
      </w:r>
      <w:r w:rsidRPr="00D124D9">
        <w:rPr>
          <w:rFonts w:ascii="Andes" w:eastAsiaTheme="minorHAnsi" w:hAnsi="Andes" w:cs="Arial"/>
          <w:color w:val="000000"/>
          <w:sz w:val="22"/>
          <w:szCs w:val="22"/>
        </w:rPr>
        <w:t xml:space="preserve">crit et se communique de même à tous les </w:t>
      </w:r>
      <w:r>
        <w:rPr>
          <w:rFonts w:ascii="Andes" w:eastAsiaTheme="minorHAnsi" w:hAnsi="Andes" w:cs="Arial"/>
          <w:color w:val="000000"/>
          <w:sz w:val="22"/>
          <w:szCs w:val="22"/>
        </w:rPr>
        <w:t>Proposants</w:t>
      </w:r>
      <w:r w:rsidRPr="00D124D9">
        <w:rPr>
          <w:rFonts w:ascii="Andes" w:eastAsiaTheme="minorHAnsi" w:hAnsi="Andes" w:cs="Arial"/>
          <w:color w:val="000000"/>
          <w:sz w:val="22"/>
          <w:szCs w:val="22"/>
        </w:rPr>
        <w:t>. Les éclaircissements et avenants sont régis par les dispositions des paragraphes 5.31 et 5.32</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0554DEDF" w14:textId="32C7B4A8" w:rsidR="00341E34" w:rsidRPr="00341B38" w:rsidRDefault="00341E34" w:rsidP="00341E34">
      <w:pPr>
        <w:pStyle w:val="Paragraphedeliste"/>
        <w:numPr>
          <w:ilvl w:val="0"/>
          <w:numId w:val="230"/>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 xml:space="preserve">Délai de </w:t>
      </w:r>
      <w:r>
        <w:rPr>
          <w:rFonts w:ascii="Andes" w:eastAsiaTheme="minorHAnsi" w:hAnsi="Andes" w:cs="Arial"/>
          <w:b/>
          <w:color w:val="000000"/>
          <w:sz w:val="22"/>
          <w:szCs w:val="22"/>
        </w:rPr>
        <w:t>remise et ouverture</w:t>
      </w:r>
      <w:r w:rsidRPr="00D124D9">
        <w:rPr>
          <w:rFonts w:ascii="Andes" w:eastAsiaTheme="minorHAnsi" w:hAnsi="Andes" w:cs="Arial"/>
          <w:b/>
          <w:color w:val="000000"/>
          <w:sz w:val="22"/>
          <w:szCs w:val="22"/>
        </w:rPr>
        <w:t xml:space="preserve"> des </w:t>
      </w:r>
      <w:r>
        <w:rPr>
          <w:rFonts w:ascii="Andes" w:eastAsiaTheme="minorHAnsi" w:hAnsi="Andes" w:cs="Arial"/>
          <w:b/>
          <w:color w:val="000000"/>
          <w:sz w:val="22"/>
          <w:szCs w:val="22"/>
        </w:rPr>
        <w:t>plis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xml:space="preserve">: suivant les dispositions des paragraphes 5.36 et </w:t>
      </w:r>
      <w:r w:rsidRPr="00341B38">
        <w:rPr>
          <w:rFonts w:ascii="Andes" w:eastAsiaTheme="minorHAnsi" w:hAnsi="Andes" w:cs="Arial"/>
          <w:color w:val="000000"/>
          <w:sz w:val="22"/>
          <w:szCs w:val="22"/>
        </w:rPr>
        <w:t>5.37 (Délai de préparation et de remise des Offres/Propositions)</w:t>
      </w:r>
      <w:r w:rsidR="009544B4">
        <w:rPr>
          <w:rFonts w:ascii="Andes" w:eastAsiaTheme="minorHAnsi" w:hAnsi="Andes" w:cs="Arial"/>
          <w:color w:val="000000"/>
          <w:sz w:val="22"/>
          <w:szCs w:val="22"/>
        </w:rPr>
        <w:t xml:space="preserve"> et des paragraphes 5.40 à 5.48 (Ouverture des Offres/Propositions), selon le cas</w:t>
      </w:r>
      <w:r w:rsidRPr="00341B38">
        <w:rPr>
          <w:rFonts w:ascii="Andes" w:eastAsiaTheme="minorHAnsi" w:hAnsi="Andes" w:cs="Arial"/>
          <w:color w:val="000000"/>
          <w:sz w:val="22"/>
          <w:szCs w:val="22"/>
        </w:rPr>
        <w:t xml:space="preserve">. Les Propositions sont remises avant l’expiration du délai fixé à cet effet. Les Propositions techniques sont ouvertes et lues à haute voix au cours d’une séance publique. Les Propositions financières ne sont pas ouvertes au même moment. À l’issue de l’évaluation des Propositions techniques, les Propositions financières sont ouvertes au cours d’une séance publique et sont alors évaluées conformément aux </w:t>
      </w:r>
      <w:r w:rsidR="00F534D9">
        <w:rPr>
          <w:rFonts w:ascii="Andes" w:eastAsiaTheme="minorHAnsi" w:hAnsi="Andes" w:cs="Arial"/>
          <w:color w:val="000000"/>
          <w:sz w:val="22"/>
          <w:szCs w:val="22"/>
        </w:rPr>
        <w:t>C</w:t>
      </w:r>
      <w:r w:rsidRPr="00341B38">
        <w:rPr>
          <w:rFonts w:ascii="Andes" w:eastAsiaTheme="minorHAnsi" w:hAnsi="Andes" w:cs="Arial"/>
          <w:color w:val="000000"/>
          <w:sz w:val="22"/>
          <w:szCs w:val="22"/>
        </w:rPr>
        <w:t xml:space="preserve">ritères </w:t>
      </w:r>
      <w:r w:rsidR="00F534D9">
        <w:rPr>
          <w:rFonts w:ascii="Andes" w:eastAsiaTheme="minorHAnsi" w:hAnsi="Andes" w:cs="Arial"/>
          <w:color w:val="000000"/>
          <w:sz w:val="22"/>
          <w:szCs w:val="22"/>
        </w:rPr>
        <w:t xml:space="preserve">d’Evaluation </w:t>
      </w:r>
      <w:r w:rsidRPr="00341B38">
        <w:rPr>
          <w:rFonts w:ascii="Andes" w:eastAsiaTheme="minorHAnsi" w:hAnsi="Andes" w:cs="Arial"/>
          <w:color w:val="000000"/>
          <w:sz w:val="22"/>
          <w:szCs w:val="22"/>
        </w:rPr>
        <w:t>définis dans le dossier d’appel à propositions. L’Emprunteur retient la Proposition la Plus Avantageuse ;</w:t>
      </w:r>
    </w:p>
    <w:p w14:paraId="23F6C816" w14:textId="65F6BFC5" w:rsidR="00341E34" w:rsidRPr="00341B38" w:rsidRDefault="00341E34" w:rsidP="00341E34">
      <w:pPr>
        <w:pStyle w:val="Paragraphedeliste"/>
        <w:numPr>
          <w:ilvl w:val="0"/>
          <w:numId w:val="230"/>
        </w:numPr>
        <w:spacing w:before="0" w:line="240" w:lineRule="auto"/>
        <w:contextualSpacing w:val="0"/>
        <w:rPr>
          <w:rFonts w:ascii="Andes" w:eastAsiaTheme="minorHAnsi" w:hAnsi="Andes" w:cs="Arial"/>
          <w:color w:val="000000"/>
          <w:sz w:val="22"/>
          <w:szCs w:val="22"/>
        </w:rPr>
      </w:pPr>
      <w:r w:rsidRPr="00341B38">
        <w:rPr>
          <w:rFonts w:ascii="Andes" w:eastAsiaTheme="minorHAnsi" w:hAnsi="Andes" w:cs="Arial"/>
          <w:b/>
          <w:color w:val="000000"/>
          <w:sz w:val="22"/>
          <w:szCs w:val="22"/>
        </w:rPr>
        <w:t xml:space="preserve">Examen des propositions et évaluation </w:t>
      </w:r>
      <w:r w:rsidR="00B96195">
        <w:rPr>
          <w:rFonts w:ascii="Andes" w:eastAsiaTheme="minorHAnsi" w:hAnsi="Andes" w:cs="Arial"/>
          <w:b/>
          <w:color w:val="000000"/>
          <w:sz w:val="22"/>
          <w:szCs w:val="22"/>
        </w:rPr>
        <w:t xml:space="preserve">de la qualification </w:t>
      </w:r>
      <w:r w:rsidRPr="00341B38">
        <w:rPr>
          <w:rFonts w:ascii="Andes" w:eastAsiaTheme="minorHAnsi" w:hAnsi="Andes" w:cs="Arial"/>
          <w:b/>
          <w:color w:val="000000"/>
          <w:sz w:val="22"/>
          <w:szCs w:val="22"/>
        </w:rPr>
        <w:t>a posteriori</w:t>
      </w:r>
      <w:r w:rsidRPr="00341B38">
        <w:rPr>
          <w:rFonts w:ascii="Calibri" w:eastAsiaTheme="minorHAnsi" w:hAnsi="Calibri" w:cs="Arial"/>
          <w:b/>
          <w:color w:val="000000"/>
          <w:sz w:val="22"/>
          <w:szCs w:val="22"/>
        </w:rPr>
        <w:t> </w:t>
      </w:r>
      <w:r w:rsidRPr="00341B38">
        <w:rPr>
          <w:rFonts w:ascii="Andes" w:eastAsiaTheme="minorHAnsi" w:hAnsi="Andes" w:cs="Arial"/>
          <w:color w:val="000000"/>
          <w:sz w:val="22"/>
          <w:szCs w:val="22"/>
        </w:rPr>
        <w:t>: les Propositions sont évaluées conformément aux critères d’évaluation définis dans le dossier d’appel à propositions</w:t>
      </w:r>
      <w:r w:rsidRPr="00341B38">
        <w:rPr>
          <w:rFonts w:ascii="Calibri" w:eastAsiaTheme="minorHAnsi" w:hAnsi="Calibri" w:cs="Arial"/>
          <w:color w:val="000000"/>
          <w:sz w:val="22"/>
          <w:szCs w:val="22"/>
        </w:rPr>
        <w:t> </w:t>
      </w:r>
      <w:r w:rsidRPr="00341B38">
        <w:rPr>
          <w:rFonts w:ascii="Andes" w:eastAsiaTheme="minorHAnsi" w:hAnsi="Andes" w:cs="Arial"/>
          <w:color w:val="000000"/>
          <w:sz w:val="22"/>
          <w:szCs w:val="22"/>
        </w:rPr>
        <w:t>;</w:t>
      </w:r>
    </w:p>
    <w:p w14:paraId="4D66BAE0" w14:textId="129D38FD" w:rsidR="00341E34" w:rsidRPr="00341B38" w:rsidRDefault="00341E34" w:rsidP="00341E34">
      <w:pPr>
        <w:pStyle w:val="Paragraphedeliste"/>
        <w:numPr>
          <w:ilvl w:val="0"/>
          <w:numId w:val="230"/>
        </w:numPr>
        <w:spacing w:before="0" w:line="240" w:lineRule="auto"/>
        <w:contextualSpacing w:val="0"/>
        <w:rPr>
          <w:rFonts w:ascii="Andes" w:eastAsiaTheme="minorHAnsi" w:hAnsi="Andes" w:cs="Arial"/>
          <w:color w:val="000000"/>
          <w:sz w:val="22"/>
          <w:szCs w:val="22"/>
        </w:rPr>
      </w:pPr>
      <w:r w:rsidRPr="00341B38">
        <w:rPr>
          <w:rFonts w:ascii="Andes" w:eastAsiaTheme="minorHAnsi" w:hAnsi="Andes" w:cs="Arial"/>
          <w:b/>
          <w:color w:val="000000"/>
          <w:sz w:val="22"/>
          <w:szCs w:val="22"/>
        </w:rPr>
        <w:t>Notification d’intention d’attribution de marché et délai d</w:t>
      </w:r>
      <w:r w:rsidR="004E2994">
        <w:rPr>
          <w:rFonts w:ascii="Andes" w:eastAsiaTheme="minorHAnsi" w:hAnsi="Andes" w:cs="Arial"/>
          <w:b/>
          <w:color w:val="000000"/>
          <w:sz w:val="22"/>
          <w:szCs w:val="22"/>
        </w:rPr>
        <w:t>’</w:t>
      </w:r>
      <w:r w:rsidR="00E74B91">
        <w:rPr>
          <w:rFonts w:ascii="Andes" w:eastAsiaTheme="minorHAnsi" w:hAnsi="Andes" w:cs="Arial"/>
          <w:b/>
          <w:color w:val="000000"/>
          <w:sz w:val="22"/>
          <w:szCs w:val="22"/>
        </w:rPr>
        <w:t>a</w:t>
      </w:r>
      <w:r w:rsidR="00B96195">
        <w:rPr>
          <w:rFonts w:ascii="Andes" w:eastAsiaTheme="minorHAnsi" w:hAnsi="Andes" w:cs="Arial"/>
          <w:b/>
          <w:color w:val="000000"/>
          <w:sz w:val="22"/>
          <w:szCs w:val="22"/>
        </w:rPr>
        <w:t>ttente</w:t>
      </w:r>
      <w:r w:rsidRPr="00341B38">
        <w:rPr>
          <w:rFonts w:ascii="Calibri" w:eastAsiaTheme="minorHAnsi" w:hAnsi="Calibri" w:cs="Arial"/>
          <w:b/>
          <w:color w:val="000000"/>
          <w:sz w:val="22"/>
          <w:szCs w:val="22"/>
        </w:rPr>
        <w:t> </w:t>
      </w:r>
      <w:r w:rsidRPr="00341B38">
        <w:rPr>
          <w:rFonts w:ascii="Andes" w:eastAsiaTheme="minorHAnsi" w:hAnsi="Andes" w:cs="Arial"/>
          <w:color w:val="000000"/>
          <w:sz w:val="22"/>
          <w:szCs w:val="22"/>
        </w:rPr>
        <w:t>: l’Emprunteur transmet aux Proposants non retenus un avis de son intention d’attribuer le marché. Cette démarche déclenche le délai d</w:t>
      </w:r>
      <w:r w:rsidR="004E2994">
        <w:rPr>
          <w:rFonts w:ascii="Andes" w:eastAsiaTheme="minorHAnsi" w:hAnsi="Andes" w:cs="Arial"/>
          <w:color w:val="000000"/>
          <w:sz w:val="22"/>
          <w:szCs w:val="22"/>
        </w:rPr>
        <w:t>’</w:t>
      </w:r>
      <w:r w:rsidR="00E74B91">
        <w:rPr>
          <w:rFonts w:ascii="Andes" w:eastAsiaTheme="minorHAnsi" w:hAnsi="Andes" w:cs="Arial"/>
          <w:color w:val="000000"/>
          <w:sz w:val="22"/>
          <w:szCs w:val="22"/>
        </w:rPr>
        <w:t>a</w:t>
      </w:r>
      <w:r w:rsidR="00B96195">
        <w:rPr>
          <w:rFonts w:ascii="Andes" w:eastAsiaTheme="minorHAnsi" w:hAnsi="Andes" w:cs="Arial"/>
          <w:color w:val="000000"/>
          <w:sz w:val="22"/>
          <w:szCs w:val="22"/>
        </w:rPr>
        <w:t>ttente</w:t>
      </w:r>
      <w:r w:rsidRPr="00341B38">
        <w:rPr>
          <w:rFonts w:ascii="Andes" w:eastAsiaTheme="minorHAnsi" w:hAnsi="Andes" w:cs="Arial"/>
          <w:color w:val="000000"/>
          <w:sz w:val="22"/>
          <w:szCs w:val="22"/>
        </w:rPr>
        <w:t xml:space="preserve">. Le cas échéant, l’Emprunteur fait un débriefing et gère toutes les plaintes reçues relativement à sa décision d’attribuer le marché. Il doit ainsi satisfaire aux exigences des paragraphes 5.72 à 5.74 (Notification d’Intention d’Attribution de Marché/Contrat), et 5.78 à 5.80 (Délai </w:t>
      </w:r>
      <w:r w:rsidR="004E2994">
        <w:rPr>
          <w:rFonts w:ascii="Andes" w:eastAsiaTheme="minorHAnsi" w:hAnsi="Andes" w:cs="Arial"/>
          <w:color w:val="000000"/>
          <w:sz w:val="22"/>
          <w:szCs w:val="22"/>
        </w:rPr>
        <w:t>d’</w:t>
      </w:r>
      <w:r w:rsidR="00E74B91">
        <w:rPr>
          <w:rFonts w:ascii="Andes" w:eastAsiaTheme="minorHAnsi" w:hAnsi="Andes" w:cs="Arial"/>
          <w:color w:val="000000"/>
          <w:sz w:val="22"/>
          <w:szCs w:val="22"/>
        </w:rPr>
        <w:t>a</w:t>
      </w:r>
      <w:r w:rsidR="00B96195">
        <w:rPr>
          <w:rFonts w:ascii="Andes" w:eastAsiaTheme="minorHAnsi" w:hAnsi="Andes" w:cs="Arial"/>
          <w:color w:val="000000"/>
          <w:sz w:val="22"/>
          <w:szCs w:val="22"/>
        </w:rPr>
        <w:t>ttente</w:t>
      </w:r>
      <w:r w:rsidRPr="00341B38">
        <w:rPr>
          <w:rFonts w:ascii="Andes" w:eastAsiaTheme="minorHAnsi" w:hAnsi="Andes" w:cs="Arial"/>
          <w:color w:val="000000"/>
          <w:sz w:val="22"/>
          <w:szCs w:val="22"/>
        </w:rPr>
        <w:t>).  Le débriefing se fait conformément aux dispositions des paragraphes 5.81 à 5.87 (Débriefing par l’Emprunteur)</w:t>
      </w:r>
      <w:r w:rsidRPr="00341B38">
        <w:rPr>
          <w:rFonts w:ascii="Calibri" w:eastAsiaTheme="minorHAnsi" w:hAnsi="Calibri" w:cs="Arial"/>
          <w:color w:val="000000"/>
          <w:sz w:val="22"/>
          <w:szCs w:val="22"/>
        </w:rPr>
        <w:t> </w:t>
      </w:r>
      <w:r w:rsidRPr="00341B38">
        <w:rPr>
          <w:rFonts w:ascii="Andes" w:eastAsiaTheme="minorHAnsi" w:hAnsi="Andes" w:cs="Arial"/>
          <w:color w:val="000000"/>
          <w:sz w:val="22"/>
          <w:szCs w:val="22"/>
        </w:rPr>
        <w:t>; et</w:t>
      </w:r>
    </w:p>
    <w:p w14:paraId="791BF6C4" w14:textId="77777777" w:rsidR="00341E34" w:rsidRPr="00D124D9" w:rsidRDefault="00341E34" w:rsidP="00341E34">
      <w:pPr>
        <w:pStyle w:val="Paragraphedeliste"/>
        <w:numPr>
          <w:ilvl w:val="0"/>
          <w:numId w:val="230"/>
        </w:numPr>
        <w:spacing w:before="0" w:line="240" w:lineRule="auto"/>
        <w:contextualSpacing w:val="0"/>
        <w:rPr>
          <w:rFonts w:ascii="Andes" w:eastAsiaTheme="minorHAnsi" w:hAnsi="Andes" w:cs="Arial"/>
          <w:color w:val="000000"/>
          <w:sz w:val="22"/>
          <w:szCs w:val="22"/>
        </w:rPr>
      </w:pPr>
      <w:r w:rsidRPr="00341B38">
        <w:rPr>
          <w:rFonts w:ascii="Andes" w:eastAsiaTheme="minorHAnsi" w:hAnsi="Andes" w:cs="Arial"/>
          <w:b/>
          <w:color w:val="000000"/>
          <w:sz w:val="22"/>
          <w:szCs w:val="22"/>
        </w:rPr>
        <w:t>Attribution et Avis d’attribution du marché</w:t>
      </w:r>
      <w:r w:rsidRPr="00341B38">
        <w:rPr>
          <w:rFonts w:ascii="Calibri" w:eastAsiaTheme="minorHAnsi" w:hAnsi="Calibri" w:cs="Arial"/>
          <w:b/>
          <w:color w:val="000000"/>
          <w:sz w:val="22"/>
          <w:szCs w:val="22"/>
        </w:rPr>
        <w:t> </w:t>
      </w:r>
      <w:r w:rsidRPr="00341B38">
        <w:rPr>
          <w:rFonts w:ascii="Andes" w:eastAsiaTheme="minorHAnsi" w:hAnsi="Andes" w:cs="Arial"/>
          <w:color w:val="000000"/>
          <w:sz w:val="22"/>
          <w:szCs w:val="22"/>
        </w:rPr>
        <w:t>: à l’expiration du délai de suspension l’Emprunteur peut attribuer le marché. Il publie pour ce faire un avis d’attribution de marché, conformément aux dispositions des paragraphes 5.93 à 5.95 (Avis d’Attribution de Marché/Contrat</w:t>
      </w:r>
      <w:r w:rsidRPr="00D124D9">
        <w:rPr>
          <w:rFonts w:ascii="Andes" w:eastAsiaTheme="minorHAnsi" w:hAnsi="Andes" w:cs="Arial"/>
          <w:color w:val="000000"/>
          <w:sz w:val="22"/>
          <w:szCs w:val="22"/>
        </w:rPr>
        <w:t xml:space="preserve">).  </w:t>
      </w:r>
    </w:p>
    <w:p w14:paraId="40D6C3C6" w14:textId="77777777" w:rsidR="00341E34" w:rsidRPr="00D124D9" w:rsidRDefault="00341E34" w:rsidP="00341E34">
      <w:pPr>
        <w:pStyle w:val="Paragraphedeliste"/>
        <w:spacing w:before="240" w:line="240" w:lineRule="auto"/>
        <w:contextualSpacing w:val="0"/>
        <w:jc w:val="left"/>
        <w:rPr>
          <w:rFonts w:ascii="Andes" w:hAnsi="Andes" w:cs="Arial"/>
          <w:b/>
          <w:sz w:val="28"/>
          <w:szCs w:val="28"/>
        </w:rPr>
      </w:pPr>
      <w:r w:rsidRPr="00D124D9">
        <w:rPr>
          <w:rFonts w:ascii="Andes" w:hAnsi="Andes" w:cs="Arial"/>
          <w:b/>
          <w:sz w:val="28"/>
          <w:szCs w:val="28"/>
        </w:rPr>
        <w:br w:type="page"/>
      </w:r>
    </w:p>
    <w:p w14:paraId="0A216577" w14:textId="77777777" w:rsidR="00341E34" w:rsidRPr="00D124D9" w:rsidRDefault="00341E34" w:rsidP="00341E34">
      <w:pPr>
        <w:spacing w:before="240" w:line="240" w:lineRule="auto"/>
        <w:contextualSpacing w:val="0"/>
        <w:jc w:val="left"/>
        <w:rPr>
          <w:rFonts w:ascii="Andes" w:eastAsiaTheme="minorHAnsi" w:hAnsi="Andes" w:cs="Arial"/>
          <w:b/>
          <w:sz w:val="22"/>
          <w:szCs w:val="22"/>
        </w:rPr>
      </w:pPr>
      <w:r w:rsidRPr="00D124D9">
        <w:rPr>
          <w:rFonts w:ascii="Andes" w:eastAsiaTheme="minorHAnsi" w:hAnsi="Andes" w:cs="Arial"/>
          <w:b/>
          <w:sz w:val="22"/>
          <w:szCs w:val="22"/>
          <w:u w:val="single"/>
        </w:rPr>
        <w:lastRenderedPageBreak/>
        <w:t>Figure 5</w:t>
      </w:r>
      <w:r w:rsidRPr="00D124D9">
        <w:rPr>
          <w:rFonts w:ascii="Calibri" w:eastAsiaTheme="minorHAnsi" w:hAnsi="Calibri" w:cs="Arial"/>
          <w:b/>
          <w:sz w:val="22"/>
          <w:szCs w:val="22"/>
          <w:u w:val="single"/>
        </w:rPr>
        <w:t> </w:t>
      </w:r>
      <w:r w:rsidRPr="00D124D9">
        <w:rPr>
          <w:rFonts w:ascii="Andes" w:eastAsiaTheme="minorHAnsi" w:hAnsi="Andes" w:cs="Arial"/>
          <w:b/>
          <w:sz w:val="22"/>
          <w:szCs w:val="22"/>
        </w:rPr>
        <w:t>: Schématisation du modèle 2 d’appel à propositions (sans MOF ou négociations)</w:t>
      </w:r>
    </w:p>
    <w:p w14:paraId="3E3E343D" w14:textId="349FF0BE" w:rsidR="00341E34" w:rsidRPr="00D124D9" w:rsidRDefault="00BE1FBE" w:rsidP="00341E34">
      <w:pPr>
        <w:pStyle w:val="Paragraphedeliste"/>
        <w:spacing w:before="240" w:line="240" w:lineRule="auto"/>
        <w:contextualSpacing w:val="0"/>
        <w:jc w:val="center"/>
        <w:rPr>
          <w:rFonts w:ascii="Andes" w:hAnsi="Andes" w:cs="Arial"/>
          <w:b/>
          <w:sz w:val="28"/>
          <w:szCs w:val="28"/>
        </w:rPr>
      </w:pPr>
      <w:r>
        <w:rPr>
          <w:noProof/>
          <w:lang w:val="en-US"/>
        </w:rPr>
        <w:drawing>
          <wp:inline distT="0" distB="0" distL="0" distR="0" wp14:anchorId="5988EA1C" wp14:editId="7CF02804">
            <wp:extent cx="3886200" cy="59912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86200" cy="5991225"/>
                    </a:xfrm>
                    <a:prstGeom prst="rect">
                      <a:avLst/>
                    </a:prstGeom>
                  </pic:spPr>
                </pic:pic>
              </a:graphicData>
            </a:graphic>
          </wp:inline>
        </w:drawing>
      </w:r>
    </w:p>
    <w:p w14:paraId="7366CFDD" w14:textId="77777777" w:rsidR="00341E34" w:rsidRPr="00D124D9" w:rsidRDefault="00341E34" w:rsidP="00341E34">
      <w:pPr>
        <w:pStyle w:val="Paragraphedeliste"/>
        <w:spacing w:before="240" w:line="240" w:lineRule="auto"/>
        <w:contextualSpacing w:val="0"/>
        <w:jc w:val="center"/>
        <w:rPr>
          <w:rFonts w:ascii="Andes" w:hAnsi="Andes" w:cs="Arial"/>
          <w:b/>
          <w:sz w:val="28"/>
          <w:szCs w:val="28"/>
        </w:rPr>
      </w:pPr>
    </w:p>
    <w:p w14:paraId="4A414AF8" w14:textId="77777777" w:rsidR="00341E34" w:rsidRPr="00D124D9" w:rsidRDefault="00341E34" w:rsidP="00341E34">
      <w:pPr>
        <w:spacing w:before="0" w:after="200"/>
        <w:contextualSpacing w:val="0"/>
        <w:jc w:val="left"/>
        <w:rPr>
          <w:rFonts w:ascii="Andes" w:hAnsi="Andes" w:cs="Arial"/>
          <w:b/>
          <w:sz w:val="28"/>
          <w:szCs w:val="28"/>
        </w:rPr>
      </w:pPr>
      <w:r w:rsidRPr="00D124D9">
        <w:rPr>
          <w:rFonts w:ascii="Andes" w:hAnsi="Andes" w:cs="Arial"/>
          <w:b/>
          <w:sz w:val="28"/>
          <w:szCs w:val="28"/>
        </w:rPr>
        <w:br w:type="page"/>
      </w:r>
    </w:p>
    <w:p w14:paraId="45E5E555" w14:textId="77777777" w:rsidR="00341E34" w:rsidRPr="00D124D9" w:rsidRDefault="00341E34" w:rsidP="00341E34">
      <w:pPr>
        <w:pStyle w:val="Paragraphedeliste"/>
        <w:spacing w:before="240" w:line="240" w:lineRule="auto"/>
        <w:contextualSpacing w:val="0"/>
        <w:jc w:val="left"/>
        <w:rPr>
          <w:rFonts w:ascii="Andes" w:hAnsi="Andes" w:cs="Arial"/>
          <w:b/>
          <w:sz w:val="28"/>
          <w:szCs w:val="28"/>
        </w:rPr>
      </w:pPr>
      <w:r w:rsidRPr="00D124D9">
        <w:rPr>
          <w:rFonts w:ascii="Andes" w:hAnsi="Andes" w:cs="Arial"/>
          <w:b/>
          <w:sz w:val="28"/>
          <w:szCs w:val="28"/>
        </w:rPr>
        <w:lastRenderedPageBreak/>
        <w:t>Variation du</w:t>
      </w:r>
      <w:r>
        <w:rPr>
          <w:rFonts w:ascii="Andes" w:hAnsi="Andes" w:cs="Arial"/>
          <w:b/>
          <w:sz w:val="28"/>
          <w:szCs w:val="28"/>
        </w:rPr>
        <w:t xml:space="preserve"> processus en cas de MOF ou de N</w:t>
      </w:r>
      <w:r w:rsidRPr="00D124D9">
        <w:rPr>
          <w:rFonts w:ascii="Andes" w:hAnsi="Andes" w:cs="Arial"/>
          <w:b/>
          <w:sz w:val="28"/>
          <w:szCs w:val="28"/>
        </w:rPr>
        <w:t>égociations</w:t>
      </w:r>
    </w:p>
    <w:p w14:paraId="1F9BD488" w14:textId="77777777" w:rsidR="00341E34" w:rsidRPr="00D124D9" w:rsidRDefault="00341E34" w:rsidP="00341E34">
      <w:pPr>
        <w:pStyle w:val="Paragraphedeliste"/>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Une varia</w:t>
      </w:r>
      <w:r>
        <w:rPr>
          <w:rFonts w:ascii="Andes" w:hAnsi="Andes" w:cs="Arial"/>
          <w:sz w:val="22"/>
          <w:szCs w:val="22"/>
        </w:rPr>
        <w:t>nte</w:t>
      </w:r>
      <w:r w:rsidRPr="00D124D9">
        <w:rPr>
          <w:rFonts w:ascii="Andes" w:hAnsi="Andes" w:cs="Arial"/>
          <w:sz w:val="22"/>
          <w:szCs w:val="22"/>
        </w:rPr>
        <w:t xml:space="preserve"> du processus décrit plus haut est exécutée si la </w:t>
      </w:r>
      <w:r>
        <w:rPr>
          <w:rFonts w:ascii="Andes" w:hAnsi="Andes" w:cs="Arial"/>
          <w:sz w:val="22"/>
          <w:szCs w:val="22"/>
        </w:rPr>
        <w:t xml:space="preserve">procédure de </w:t>
      </w:r>
      <w:r w:rsidRPr="00D124D9">
        <w:rPr>
          <w:rFonts w:ascii="Andes" w:hAnsi="Andes" w:cs="Arial"/>
          <w:sz w:val="22"/>
          <w:szCs w:val="22"/>
        </w:rPr>
        <w:t>MOF ou les</w:t>
      </w:r>
      <w:r>
        <w:rPr>
          <w:rFonts w:ascii="Andes" w:hAnsi="Andes" w:cs="Arial"/>
          <w:sz w:val="22"/>
          <w:szCs w:val="22"/>
        </w:rPr>
        <w:t xml:space="preserve"> N</w:t>
      </w:r>
      <w:r w:rsidRPr="00D124D9">
        <w:rPr>
          <w:rFonts w:ascii="Andes" w:hAnsi="Andes" w:cs="Arial"/>
          <w:sz w:val="22"/>
          <w:szCs w:val="22"/>
        </w:rPr>
        <w:t>égociations sont applicables. L’Emprunteur se conforme à cet effet aux exigences des paragraphes 3.4 à 3.6 de la présente annexe.</w:t>
      </w:r>
    </w:p>
    <w:p w14:paraId="38353967" w14:textId="70653853" w:rsidR="00341E34" w:rsidRPr="00D124D9" w:rsidRDefault="00341E34" w:rsidP="00341E34">
      <w:pPr>
        <w:pStyle w:val="Paragraphedeliste"/>
        <w:spacing w:before="240" w:line="240" w:lineRule="auto"/>
        <w:contextualSpacing w:val="0"/>
        <w:rPr>
          <w:rFonts w:ascii="Andes" w:hAnsi="Andes" w:cs="Arial"/>
          <w:b/>
          <w:sz w:val="28"/>
          <w:szCs w:val="28"/>
        </w:rPr>
      </w:pPr>
      <w:r w:rsidRPr="00D124D9">
        <w:rPr>
          <w:rFonts w:ascii="Andes" w:hAnsi="Andes" w:cs="Arial"/>
          <w:b/>
          <w:sz w:val="28"/>
          <w:szCs w:val="28"/>
          <w:u w:val="single"/>
        </w:rPr>
        <w:t>Modèle 3 d’appel à propositions </w:t>
      </w:r>
      <w:r w:rsidRPr="00D124D9">
        <w:rPr>
          <w:rFonts w:ascii="Andes" w:hAnsi="Andes" w:cs="Arial"/>
          <w:b/>
          <w:sz w:val="28"/>
          <w:szCs w:val="28"/>
        </w:rPr>
        <w:t xml:space="preserve">: dialogue </w:t>
      </w:r>
      <w:r w:rsidR="00B96195">
        <w:rPr>
          <w:rFonts w:ascii="Andes" w:hAnsi="Andes" w:cs="Arial"/>
          <w:b/>
          <w:sz w:val="28"/>
          <w:szCs w:val="28"/>
        </w:rPr>
        <w:t>compétitif</w:t>
      </w:r>
    </w:p>
    <w:p w14:paraId="6CE7EFA5" w14:textId="762EC19C" w:rsidR="00341E34" w:rsidRPr="00D124D9" w:rsidRDefault="00341E34" w:rsidP="00341E34">
      <w:pPr>
        <w:pStyle w:val="Paragraphedeliste"/>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Les principales étapes de ce</w:t>
      </w:r>
      <w:r>
        <w:rPr>
          <w:rFonts w:ascii="Andes" w:hAnsi="Andes" w:cs="Arial"/>
          <w:sz w:val="22"/>
          <w:szCs w:val="22"/>
        </w:rPr>
        <w:t xml:space="preserve"> p</w:t>
      </w:r>
      <w:r w:rsidRPr="00D124D9">
        <w:rPr>
          <w:rFonts w:ascii="Andes" w:hAnsi="Andes" w:cs="Arial"/>
          <w:sz w:val="22"/>
          <w:szCs w:val="22"/>
        </w:rPr>
        <w:t>rocessus sont décrites plus en détail à l’Annexe XIII, «</w:t>
      </w:r>
      <w:r w:rsidRPr="00D124D9">
        <w:rPr>
          <w:rFonts w:ascii="Calibri" w:hAnsi="Calibri" w:cs="Calibri"/>
          <w:sz w:val="22"/>
          <w:szCs w:val="22"/>
        </w:rPr>
        <w:t> </w:t>
      </w:r>
      <w:r w:rsidRPr="00D124D9">
        <w:rPr>
          <w:rFonts w:ascii="Andes" w:hAnsi="Andes" w:cs="Calibri"/>
          <w:sz w:val="22"/>
          <w:szCs w:val="22"/>
        </w:rPr>
        <w:t>D</w:t>
      </w:r>
      <w:r w:rsidRPr="00D124D9">
        <w:rPr>
          <w:rFonts w:ascii="Andes" w:hAnsi="Andes" w:cs="Arial"/>
          <w:sz w:val="22"/>
          <w:szCs w:val="22"/>
        </w:rPr>
        <w:t xml:space="preserve">ialogue </w:t>
      </w:r>
      <w:r w:rsidR="00B96195">
        <w:rPr>
          <w:rFonts w:ascii="Andes" w:hAnsi="Andes" w:cs="Arial"/>
          <w:sz w:val="22"/>
          <w:szCs w:val="22"/>
        </w:rPr>
        <w:t>compétitif</w:t>
      </w:r>
      <w:r w:rsidRPr="00D124D9">
        <w:rPr>
          <w:rFonts w:ascii="Calibri" w:hAnsi="Calibri" w:cs="Calibri"/>
          <w:sz w:val="22"/>
          <w:szCs w:val="22"/>
        </w:rPr>
        <w:t> </w:t>
      </w:r>
      <w:r w:rsidRPr="00D124D9">
        <w:rPr>
          <w:rFonts w:ascii="Andes" w:hAnsi="Andes" w:cs="Andes"/>
          <w:sz w:val="22"/>
          <w:szCs w:val="22"/>
        </w:rPr>
        <w:t>»</w:t>
      </w:r>
      <w:r w:rsidRPr="00D124D9">
        <w:rPr>
          <w:rFonts w:ascii="Andes" w:hAnsi="Andes" w:cs="Arial"/>
          <w:sz w:val="22"/>
          <w:szCs w:val="22"/>
        </w:rPr>
        <w:t>.</w:t>
      </w:r>
    </w:p>
    <w:p w14:paraId="18E174DF" w14:textId="77777777" w:rsidR="00341E34" w:rsidRPr="00D124D9" w:rsidRDefault="00341E34" w:rsidP="00341E34">
      <w:pPr>
        <w:pStyle w:val="Paragraphedeliste"/>
        <w:numPr>
          <w:ilvl w:val="0"/>
          <w:numId w:val="225"/>
        </w:numPr>
        <w:spacing w:before="240" w:line="240" w:lineRule="auto"/>
        <w:ind w:left="634" w:hanging="634"/>
        <w:contextualSpacing w:val="0"/>
        <w:rPr>
          <w:rFonts w:ascii="Andes" w:eastAsiaTheme="majorEastAsia" w:hAnsi="Andes"/>
          <w:b/>
          <w:color w:val="C45911"/>
          <w:sz w:val="32"/>
          <w:szCs w:val="32"/>
        </w:rPr>
      </w:pPr>
      <w:r w:rsidRPr="00D124D9">
        <w:rPr>
          <w:rFonts w:ascii="Andes" w:eastAsiaTheme="majorEastAsia" w:hAnsi="Andes"/>
          <w:b/>
          <w:color w:val="C45911"/>
          <w:sz w:val="32"/>
          <w:szCs w:val="32"/>
        </w:rPr>
        <w:t>Procédures en cas de recours à la méthode de sélection par appel d’offres</w:t>
      </w:r>
    </w:p>
    <w:p w14:paraId="1C4D4018" w14:textId="00B39512" w:rsidR="00341E34" w:rsidRPr="00D124D9" w:rsidRDefault="00341E34" w:rsidP="00341E34">
      <w:pPr>
        <w:pStyle w:val="Paragraphedeliste"/>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Pour la </w:t>
      </w:r>
      <w:r w:rsidR="000A7F1B">
        <w:rPr>
          <w:rFonts w:ascii="Andes" w:hAnsi="Andes" w:cs="Arial"/>
          <w:sz w:val="22"/>
          <w:szCs w:val="22"/>
        </w:rPr>
        <w:t>Préqualification</w:t>
      </w:r>
      <w:r w:rsidRPr="00D124D9">
        <w:rPr>
          <w:rFonts w:ascii="Andes" w:hAnsi="Andes" w:cs="Arial"/>
          <w:sz w:val="22"/>
          <w:szCs w:val="22"/>
        </w:rPr>
        <w:t>, l’Emprunteur utilise le document type élaboré par la Banque.</w:t>
      </w:r>
    </w:p>
    <w:p w14:paraId="5B22B55F" w14:textId="7E605A03" w:rsidR="002A75F0" w:rsidRDefault="00341E34" w:rsidP="00341E34">
      <w:pPr>
        <w:pStyle w:val="Paragraphedeliste"/>
        <w:numPr>
          <w:ilvl w:val="1"/>
          <w:numId w:val="225"/>
        </w:numPr>
        <w:spacing w:before="0" w:line="240" w:lineRule="auto"/>
        <w:ind w:left="630" w:hanging="630"/>
        <w:contextualSpacing w:val="0"/>
        <w:jc w:val="left"/>
        <w:rPr>
          <w:rFonts w:ascii="Andes" w:hAnsi="Andes" w:cs="Arial"/>
          <w:sz w:val="22"/>
          <w:szCs w:val="22"/>
        </w:rPr>
      </w:pPr>
      <w:r>
        <w:rPr>
          <w:rFonts w:ascii="Andes" w:hAnsi="Andes" w:cs="Arial"/>
          <w:sz w:val="22"/>
          <w:szCs w:val="22"/>
        </w:rPr>
        <w:t xml:space="preserve">Pour </w:t>
      </w:r>
      <w:r w:rsidRPr="00D124D9">
        <w:rPr>
          <w:rFonts w:ascii="Andes" w:hAnsi="Andes" w:cs="Arial"/>
          <w:sz w:val="22"/>
          <w:szCs w:val="22"/>
        </w:rPr>
        <w:t xml:space="preserve">le processus </w:t>
      </w:r>
      <w:r w:rsidR="002665A2">
        <w:rPr>
          <w:rFonts w:ascii="Andes" w:hAnsi="Andes" w:cs="Arial"/>
          <w:sz w:val="22"/>
          <w:szCs w:val="22"/>
        </w:rPr>
        <w:t xml:space="preserve">national </w:t>
      </w:r>
      <w:r w:rsidRPr="00D124D9">
        <w:rPr>
          <w:rFonts w:ascii="Andes" w:hAnsi="Andes" w:cs="Arial"/>
          <w:sz w:val="22"/>
          <w:szCs w:val="22"/>
        </w:rPr>
        <w:t>d’appel d’offres</w:t>
      </w:r>
      <w:r w:rsidR="001A422A">
        <w:rPr>
          <w:rFonts w:ascii="Andes" w:hAnsi="Andes" w:cs="Arial"/>
          <w:sz w:val="22"/>
          <w:szCs w:val="22"/>
        </w:rPr>
        <w:t xml:space="preserve"> (Section V, </w:t>
      </w:r>
      <w:r w:rsidR="00D828D3">
        <w:rPr>
          <w:rFonts w:ascii="Andes" w:hAnsi="Andes" w:cs="Arial"/>
          <w:sz w:val="22"/>
          <w:szCs w:val="22"/>
        </w:rPr>
        <w:t xml:space="preserve">Paragraphes </w:t>
      </w:r>
      <w:r w:rsidR="001A422A">
        <w:rPr>
          <w:rFonts w:ascii="Andes" w:hAnsi="Andes" w:cs="Arial"/>
          <w:sz w:val="22"/>
          <w:szCs w:val="22"/>
        </w:rPr>
        <w:t>5.3 à 5.6)</w:t>
      </w:r>
      <w:r w:rsidRPr="00D124D9">
        <w:rPr>
          <w:rFonts w:ascii="Andes" w:hAnsi="Andes" w:cs="Arial"/>
          <w:sz w:val="22"/>
          <w:szCs w:val="22"/>
        </w:rPr>
        <w:t xml:space="preserve">, voir </w:t>
      </w:r>
      <w:r w:rsidR="00677C91">
        <w:rPr>
          <w:rFonts w:ascii="Andes" w:hAnsi="Andes" w:cs="Arial"/>
          <w:sz w:val="22"/>
          <w:szCs w:val="22"/>
        </w:rPr>
        <w:t>F</w:t>
      </w:r>
      <w:r w:rsidRPr="00D124D9">
        <w:rPr>
          <w:rFonts w:ascii="Andes" w:hAnsi="Andes" w:cs="Arial"/>
          <w:sz w:val="22"/>
          <w:szCs w:val="22"/>
        </w:rPr>
        <w:t>igure 6</w:t>
      </w:r>
      <w:r w:rsidR="00677C91">
        <w:rPr>
          <w:rFonts w:ascii="Andes" w:hAnsi="Andes" w:cs="Arial"/>
          <w:sz w:val="22"/>
          <w:szCs w:val="22"/>
        </w:rPr>
        <w:t>.</w:t>
      </w:r>
    </w:p>
    <w:p w14:paraId="3D2AD557" w14:textId="6A56D331" w:rsidR="00677C91" w:rsidRDefault="002A75F0" w:rsidP="00341E34">
      <w:pPr>
        <w:pStyle w:val="Paragraphedeliste"/>
        <w:numPr>
          <w:ilvl w:val="1"/>
          <w:numId w:val="225"/>
        </w:numPr>
        <w:spacing w:before="0" w:line="240" w:lineRule="auto"/>
        <w:ind w:left="630" w:hanging="630"/>
        <w:contextualSpacing w:val="0"/>
        <w:jc w:val="left"/>
        <w:rPr>
          <w:rFonts w:ascii="Andes" w:hAnsi="Andes" w:cs="Arial"/>
          <w:sz w:val="22"/>
          <w:szCs w:val="22"/>
        </w:rPr>
      </w:pPr>
      <w:r>
        <w:rPr>
          <w:rFonts w:ascii="Andes" w:hAnsi="Andes" w:cs="Arial"/>
          <w:sz w:val="22"/>
          <w:szCs w:val="22"/>
        </w:rPr>
        <w:t>Pour la compétition internationale</w:t>
      </w:r>
      <w:r w:rsidR="00AE2736">
        <w:rPr>
          <w:rFonts w:ascii="Andes" w:hAnsi="Andes" w:cs="Arial"/>
          <w:sz w:val="22"/>
          <w:szCs w:val="22"/>
        </w:rPr>
        <w:t xml:space="preserve"> utilisant le DTPM de la Banque</w:t>
      </w:r>
      <w:r w:rsidR="007603FA">
        <w:rPr>
          <w:rFonts w:ascii="Andes" w:hAnsi="Andes" w:cs="Arial"/>
          <w:sz w:val="22"/>
          <w:szCs w:val="22"/>
        </w:rPr>
        <w:t>, voir la Figure 7.</w:t>
      </w:r>
    </w:p>
    <w:p w14:paraId="5AA08B38" w14:textId="237E3E5A" w:rsidR="00341E34" w:rsidRPr="00D124D9" w:rsidRDefault="00341E34" w:rsidP="00341E34">
      <w:pPr>
        <w:pStyle w:val="Paragraphedeliste"/>
        <w:numPr>
          <w:ilvl w:val="1"/>
          <w:numId w:val="225"/>
        </w:numPr>
        <w:spacing w:before="0" w:line="240" w:lineRule="auto"/>
        <w:ind w:left="630" w:hanging="630"/>
        <w:contextualSpacing w:val="0"/>
        <w:jc w:val="left"/>
        <w:rPr>
          <w:rFonts w:ascii="Andes" w:hAnsi="Andes" w:cs="Arial"/>
          <w:sz w:val="22"/>
          <w:szCs w:val="22"/>
        </w:rPr>
      </w:pPr>
      <w:r w:rsidRPr="00D124D9">
        <w:rPr>
          <w:rFonts w:ascii="Andes" w:hAnsi="Andes" w:cs="Arial"/>
          <w:sz w:val="22"/>
          <w:szCs w:val="22"/>
        </w:rPr>
        <w:br w:type="page"/>
      </w:r>
    </w:p>
    <w:p w14:paraId="5C09CD84" w14:textId="0754446A" w:rsidR="00341E34" w:rsidRPr="00D124D9" w:rsidRDefault="00341E34" w:rsidP="00341E34">
      <w:pPr>
        <w:spacing w:before="240" w:line="240" w:lineRule="auto"/>
        <w:contextualSpacing w:val="0"/>
        <w:jc w:val="left"/>
        <w:rPr>
          <w:rFonts w:ascii="Andes" w:eastAsiaTheme="minorHAnsi" w:hAnsi="Andes" w:cs="Arial"/>
          <w:b/>
          <w:sz w:val="22"/>
          <w:szCs w:val="22"/>
        </w:rPr>
      </w:pPr>
      <w:r w:rsidRPr="00D124D9">
        <w:rPr>
          <w:rFonts w:ascii="Andes" w:eastAsiaTheme="minorHAnsi" w:hAnsi="Andes" w:cs="Arial"/>
          <w:b/>
          <w:sz w:val="22"/>
          <w:szCs w:val="22"/>
          <w:u w:val="single"/>
        </w:rPr>
        <w:lastRenderedPageBreak/>
        <w:t>Figure 6</w:t>
      </w:r>
      <w:r w:rsidRPr="00D124D9">
        <w:rPr>
          <w:rFonts w:ascii="Calibri" w:eastAsiaTheme="minorHAnsi" w:hAnsi="Calibri" w:cs="Arial"/>
          <w:b/>
          <w:sz w:val="22"/>
          <w:szCs w:val="22"/>
          <w:u w:val="single"/>
        </w:rPr>
        <w:t> </w:t>
      </w:r>
      <w:r w:rsidRPr="00D124D9">
        <w:rPr>
          <w:rFonts w:ascii="Andes" w:eastAsiaTheme="minorHAnsi" w:hAnsi="Andes" w:cs="Arial"/>
          <w:b/>
          <w:sz w:val="22"/>
          <w:szCs w:val="22"/>
        </w:rPr>
        <w:t xml:space="preserve">: Schématisation du processus </w:t>
      </w:r>
      <w:r w:rsidR="004A538A">
        <w:rPr>
          <w:rFonts w:ascii="Andes" w:eastAsiaTheme="minorHAnsi" w:hAnsi="Andes" w:cs="Arial"/>
          <w:b/>
          <w:sz w:val="22"/>
          <w:szCs w:val="22"/>
        </w:rPr>
        <w:t xml:space="preserve">national </w:t>
      </w:r>
      <w:r w:rsidRPr="00D124D9">
        <w:rPr>
          <w:rFonts w:ascii="Andes" w:eastAsiaTheme="minorHAnsi" w:hAnsi="Andes" w:cs="Arial"/>
          <w:b/>
          <w:sz w:val="22"/>
          <w:szCs w:val="22"/>
        </w:rPr>
        <w:t xml:space="preserve">d’appel d’offres à enveloppe unique (non précédé d’une procédure de </w:t>
      </w:r>
      <w:r w:rsidR="000A7F1B">
        <w:rPr>
          <w:rFonts w:ascii="Andes" w:eastAsiaTheme="minorHAnsi" w:hAnsi="Andes" w:cs="Arial"/>
          <w:b/>
          <w:sz w:val="22"/>
          <w:szCs w:val="22"/>
        </w:rPr>
        <w:t>Préqualification</w:t>
      </w:r>
      <w:r w:rsidRPr="00D124D9">
        <w:rPr>
          <w:rFonts w:ascii="Andes" w:eastAsiaTheme="minorHAnsi" w:hAnsi="Andes" w:cs="Arial"/>
          <w:b/>
          <w:sz w:val="22"/>
          <w:szCs w:val="22"/>
        </w:rPr>
        <w:t>)</w:t>
      </w:r>
    </w:p>
    <w:p w14:paraId="7F1E298D" w14:textId="77777777" w:rsidR="00341E34" w:rsidRPr="00D124D9" w:rsidRDefault="00341E34" w:rsidP="00341E34">
      <w:pPr>
        <w:spacing w:before="240" w:line="240" w:lineRule="auto"/>
        <w:contextualSpacing w:val="0"/>
        <w:jc w:val="left"/>
        <w:rPr>
          <w:rFonts w:ascii="Andes" w:eastAsiaTheme="minorHAnsi" w:hAnsi="Andes" w:cs="Arial"/>
          <w:b/>
          <w:sz w:val="22"/>
          <w:szCs w:val="22"/>
        </w:rPr>
      </w:pPr>
    </w:p>
    <w:p w14:paraId="432CF5F1" w14:textId="7AC66871" w:rsidR="00341E34" w:rsidRPr="00D124D9" w:rsidRDefault="00F47335" w:rsidP="00341E34">
      <w:pPr>
        <w:spacing w:before="0" w:line="240" w:lineRule="auto"/>
        <w:contextualSpacing w:val="0"/>
        <w:jc w:val="center"/>
        <w:rPr>
          <w:rFonts w:ascii="Andes" w:hAnsi="Andes" w:cs="Arial"/>
          <w:sz w:val="22"/>
          <w:szCs w:val="22"/>
        </w:rPr>
      </w:pPr>
      <w:r>
        <w:rPr>
          <w:noProof/>
          <w:lang w:val="en-US"/>
        </w:rPr>
        <w:drawing>
          <wp:inline distT="0" distB="0" distL="0" distR="0" wp14:anchorId="0892E266" wp14:editId="243C2614">
            <wp:extent cx="3810000" cy="50482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810000" cy="5048250"/>
                    </a:xfrm>
                    <a:prstGeom prst="rect">
                      <a:avLst/>
                    </a:prstGeom>
                  </pic:spPr>
                </pic:pic>
              </a:graphicData>
            </a:graphic>
          </wp:inline>
        </w:drawing>
      </w:r>
    </w:p>
    <w:p w14:paraId="2EE3F1CC" w14:textId="77777777" w:rsidR="00341E34" w:rsidRPr="00D124D9" w:rsidRDefault="00341E34" w:rsidP="00341E34">
      <w:pPr>
        <w:pStyle w:val="Paragraphedeliste"/>
        <w:spacing w:before="240" w:line="240" w:lineRule="auto"/>
        <w:ind w:left="634"/>
        <w:contextualSpacing w:val="0"/>
        <w:rPr>
          <w:rFonts w:ascii="Andes" w:eastAsiaTheme="majorEastAsia" w:hAnsi="Andes"/>
          <w:color w:val="C45911"/>
          <w:sz w:val="32"/>
          <w:szCs w:val="32"/>
        </w:rPr>
      </w:pPr>
    </w:p>
    <w:p w14:paraId="79BFF161" w14:textId="77777777" w:rsidR="00341E34" w:rsidRPr="00D124D9" w:rsidRDefault="00341E34" w:rsidP="00341E34">
      <w:pPr>
        <w:pStyle w:val="Paragraphedeliste"/>
        <w:spacing w:before="240" w:line="240" w:lineRule="auto"/>
        <w:ind w:left="634"/>
        <w:contextualSpacing w:val="0"/>
        <w:rPr>
          <w:rFonts w:ascii="Andes" w:eastAsiaTheme="majorEastAsia" w:hAnsi="Andes"/>
          <w:color w:val="C45911"/>
          <w:sz w:val="32"/>
          <w:szCs w:val="32"/>
        </w:rPr>
      </w:pPr>
      <w:r w:rsidRPr="00D124D9">
        <w:rPr>
          <w:rFonts w:ascii="Andes" w:eastAsiaTheme="majorEastAsia" w:hAnsi="Andes"/>
          <w:color w:val="C45911"/>
          <w:sz w:val="32"/>
          <w:szCs w:val="32"/>
        </w:rPr>
        <w:br w:type="page"/>
      </w:r>
    </w:p>
    <w:p w14:paraId="539C0103" w14:textId="6398F89E" w:rsidR="00341E34" w:rsidRPr="00D124D9" w:rsidRDefault="00341E34" w:rsidP="00341E34">
      <w:pPr>
        <w:spacing w:before="240" w:line="240" w:lineRule="auto"/>
        <w:contextualSpacing w:val="0"/>
        <w:jc w:val="left"/>
        <w:rPr>
          <w:rFonts w:ascii="Andes" w:eastAsiaTheme="minorHAnsi" w:hAnsi="Andes" w:cs="Arial"/>
          <w:b/>
          <w:sz w:val="22"/>
          <w:szCs w:val="22"/>
        </w:rPr>
      </w:pPr>
      <w:r w:rsidRPr="00D124D9">
        <w:rPr>
          <w:rFonts w:ascii="Andes" w:eastAsiaTheme="minorHAnsi" w:hAnsi="Andes" w:cs="Arial"/>
          <w:b/>
          <w:sz w:val="22"/>
          <w:szCs w:val="22"/>
          <w:u w:val="single"/>
        </w:rPr>
        <w:lastRenderedPageBreak/>
        <w:t>Figure 7</w:t>
      </w:r>
      <w:r w:rsidRPr="00D124D9">
        <w:rPr>
          <w:rFonts w:ascii="Calibri" w:eastAsiaTheme="minorHAnsi" w:hAnsi="Calibri" w:cs="Arial"/>
          <w:b/>
          <w:sz w:val="22"/>
          <w:szCs w:val="22"/>
          <w:u w:val="single"/>
        </w:rPr>
        <w:t> </w:t>
      </w:r>
      <w:r w:rsidRPr="00D124D9">
        <w:rPr>
          <w:rFonts w:ascii="Andes" w:eastAsiaTheme="minorHAnsi" w:hAnsi="Andes" w:cs="Arial"/>
          <w:b/>
          <w:sz w:val="22"/>
          <w:szCs w:val="22"/>
        </w:rPr>
        <w:t xml:space="preserve">: Schématisation du processus d’appel d’offres </w:t>
      </w:r>
      <w:r w:rsidR="00AE1AF7">
        <w:rPr>
          <w:rFonts w:ascii="Andes" w:eastAsiaTheme="minorHAnsi" w:hAnsi="Andes" w:cs="Arial"/>
          <w:b/>
          <w:sz w:val="22"/>
          <w:szCs w:val="22"/>
        </w:rPr>
        <w:t>international de la Banque</w:t>
      </w:r>
      <w:r w:rsidR="000758E2">
        <w:rPr>
          <w:rFonts w:ascii="Andes" w:eastAsiaTheme="minorHAnsi" w:hAnsi="Andes" w:cs="Arial"/>
          <w:b/>
          <w:sz w:val="22"/>
          <w:szCs w:val="22"/>
        </w:rPr>
        <w:t xml:space="preserve"> : </w:t>
      </w:r>
      <w:r w:rsidRPr="00D124D9">
        <w:rPr>
          <w:rFonts w:ascii="Andes" w:eastAsiaTheme="minorHAnsi" w:hAnsi="Andes" w:cs="Arial"/>
          <w:b/>
          <w:sz w:val="22"/>
          <w:szCs w:val="22"/>
        </w:rPr>
        <w:t>à d</w:t>
      </w:r>
      <w:r>
        <w:rPr>
          <w:rFonts w:ascii="Andes" w:eastAsiaTheme="minorHAnsi" w:hAnsi="Andes" w:cs="Arial"/>
          <w:b/>
          <w:sz w:val="22"/>
          <w:szCs w:val="22"/>
        </w:rPr>
        <w:t>eux</w:t>
      </w:r>
      <w:r w:rsidRPr="00D124D9">
        <w:rPr>
          <w:rFonts w:ascii="Andes" w:eastAsiaTheme="minorHAnsi" w:hAnsi="Andes" w:cs="Arial"/>
          <w:b/>
          <w:sz w:val="22"/>
          <w:szCs w:val="22"/>
        </w:rPr>
        <w:t xml:space="preserve"> enveloppes (non précédé d’une procédure de </w:t>
      </w:r>
      <w:r w:rsidR="000A7F1B">
        <w:rPr>
          <w:rFonts w:ascii="Andes" w:eastAsiaTheme="minorHAnsi" w:hAnsi="Andes" w:cs="Arial"/>
          <w:b/>
          <w:sz w:val="22"/>
          <w:szCs w:val="22"/>
        </w:rPr>
        <w:t>Préqualification</w:t>
      </w:r>
      <w:r w:rsidRPr="00D124D9">
        <w:rPr>
          <w:rFonts w:ascii="Andes" w:eastAsiaTheme="minorHAnsi" w:hAnsi="Andes" w:cs="Arial"/>
          <w:b/>
          <w:sz w:val="22"/>
          <w:szCs w:val="22"/>
        </w:rPr>
        <w:t>)</w:t>
      </w:r>
    </w:p>
    <w:p w14:paraId="22DFA3C9" w14:textId="7ECCE20F" w:rsidR="00341E34" w:rsidRPr="00D124D9" w:rsidRDefault="00A03821" w:rsidP="00341E34">
      <w:pPr>
        <w:pStyle w:val="Paragraphedeliste"/>
        <w:spacing w:before="240" w:line="240" w:lineRule="auto"/>
        <w:ind w:left="634"/>
        <w:contextualSpacing w:val="0"/>
        <w:rPr>
          <w:rFonts w:ascii="Andes" w:eastAsiaTheme="majorEastAsia" w:hAnsi="Andes"/>
          <w:color w:val="C45911"/>
          <w:sz w:val="32"/>
          <w:szCs w:val="32"/>
        </w:rPr>
      </w:pPr>
      <w:r>
        <w:rPr>
          <w:noProof/>
          <w:lang w:val="en-US"/>
        </w:rPr>
        <w:drawing>
          <wp:inline distT="0" distB="0" distL="0" distR="0" wp14:anchorId="4C40AFD1" wp14:editId="328D9439">
            <wp:extent cx="3695700" cy="59150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695700" cy="5915025"/>
                    </a:xfrm>
                    <a:prstGeom prst="rect">
                      <a:avLst/>
                    </a:prstGeom>
                  </pic:spPr>
                </pic:pic>
              </a:graphicData>
            </a:graphic>
          </wp:inline>
        </w:drawing>
      </w:r>
    </w:p>
    <w:p w14:paraId="789B2BBC" w14:textId="77777777" w:rsidR="00341E34" w:rsidRPr="00D124D9" w:rsidRDefault="00341E34" w:rsidP="00341E34">
      <w:pPr>
        <w:pStyle w:val="Paragraphedeliste"/>
        <w:spacing w:before="240" w:line="240" w:lineRule="auto"/>
        <w:ind w:left="634"/>
        <w:contextualSpacing w:val="0"/>
        <w:rPr>
          <w:rFonts w:ascii="Andes" w:eastAsiaTheme="majorEastAsia" w:hAnsi="Andes"/>
          <w:color w:val="C45911"/>
          <w:sz w:val="32"/>
          <w:szCs w:val="32"/>
        </w:rPr>
      </w:pPr>
      <w:r w:rsidRPr="00D124D9">
        <w:rPr>
          <w:rFonts w:ascii="Andes" w:eastAsiaTheme="majorEastAsia" w:hAnsi="Andes"/>
          <w:color w:val="C45911"/>
          <w:sz w:val="32"/>
          <w:szCs w:val="32"/>
        </w:rPr>
        <w:br w:type="page"/>
      </w:r>
    </w:p>
    <w:p w14:paraId="73E9C3B4" w14:textId="2ADEE3D3" w:rsidR="00341E34" w:rsidRPr="00D124D9" w:rsidRDefault="00341E34" w:rsidP="00341E34">
      <w:pPr>
        <w:pStyle w:val="Paragraphedeliste"/>
        <w:numPr>
          <w:ilvl w:val="0"/>
          <w:numId w:val="225"/>
        </w:numPr>
        <w:spacing w:before="240" w:line="240" w:lineRule="auto"/>
        <w:ind w:left="634" w:hanging="634"/>
        <w:contextualSpacing w:val="0"/>
        <w:rPr>
          <w:rFonts w:ascii="Andes" w:eastAsiaTheme="majorEastAsia" w:hAnsi="Andes"/>
          <w:b/>
          <w:color w:val="C45911"/>
          <w:sz w:val="32"/>
          <w:szCs w:val="32"/>
        </w:rPr>
      </w:pPr>
      <w:r w:rsidRPr="00D124D9">
        <w:rPr>
          <w:rFonts w:ascii="Andes" w:eastAsiaTheme="majorEastAsia" w:hAnsi="Andes"/>
          <w:b/>
          <w:color w:val="C45911"/>
          <w:sz w:val="32"/>
          <w:szCs w:val="32"/>
        </w:rPr>
        <w:lastRenderedPageBreak/>
        <w:t xml:space="preserve">Demandes de </w:t>
      </w:r>
      <w:r w:rsidR="00005651">
        <w:rPr>
          <w:rFonts w:ascii="Andes" w:eastAsiaTheme="majorEastAsia" w:hAnsi="Andes"/>
          <w:b/>
          <w:color w:val="C45911"/>
          <w:sz w:val="32"/>
          <w:szCs w:val="32"/>
        </w:rPr>
        <w:t>cotation</w:t>
      </w:r>
    </w:p>
    <w:p w14:paraId="6A05CCB2" w14:textId="32DE2FA4" w:rsidR="00341E34" w:rsidRPr="00D124D9" w:rsidRDefault="00341E34" w:rsidP="00341E34">
      <w:pPr>
        <w:pStyle w:val="Paragraphedeliste"/>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Les demandes de </w:t>
      </w:r>
      <w:r w:rsidR="00005651">
        <w:rPr>
          <w:rFonts w:ascii="Andes" w:hAnsi="Andes" w:cs="Arial"/>
          <w:sz w:val="22"/>
          <w:szCs w:val="22"/>
        </w:rPr>
        <w:t>cotation</w:t>
      </w:r>
      <w:r w:rsidR="00005651" w:rsidRPr="00D124D9">
        <w:rPr>
          <w:rFonts w:ascii="Andes" w:hAnsi="Andes" w:cs="Arial"/>
          <w:sz w:val="22"/>
          <w:szCs w:val="22"/>
        </w:rPr>
        <w:t xml:space="preserve"> </w:t>
      </w:r>
      <w:r w:rsidRPr="00D124D9">
        <w:rPr>
          <w:rFonts w:ascii="Andes" w:hAnsi="Andes" w:cs="Arial"/>
          <w:sz w:val="22"/>
          <w:szCs w:val="22"/>
        </w:rPr>
        <w:t xml:space="preserve">se font par voie de publicité ou, si une mise en concurrence restreinte est justifiée, la demande de </w:t>
      </w:r>
      <w:r w:rsidR="00005651">
        <w:rPr>
          <w:rFonts w:ascii="Andes" w:hAnsi="Andes" w:cs="Arial"/>
          <w:sz w:val="22"/>
          <w:szCs w:val="22"/>
        </w:rPr>
        <w:t>cotation</w:t>
      </w:r>
      <w:r w:rsidRPr="00D124D9">
        <w:rPr>
          <w:rFonts w:ascii="Andes" w:hAnsi="Andes" w:cs="Arial"/>
          <w:sz w:val="22"/>
          <w:szCs w:val="22"/>
        </w:rPr>
        <w:t xml:space="preserve"> (</w:t>
      </w:r>
      <w:r w:rsidR="00005651" w:rsidRPr="00D124D9">
        <w:rPr>
          <w:rFonts w:ascii="Andes" w:hAnsi="Andes" w:cs="Arial"/>
          <w:sz w:val="22"/>
          <w:szCs w:val="22"/>
        </w:rPr>
        <w:t>D</w:t>
      </w:r>
      <w:r w:rsidR="00005651">
        <w:rPr>
          <w:rFonts w:ascii="Andes" w:hAnsi="Andes" w:cs="Arial"/>
          <w:sz w:val="22"/>
          <w:szCs w:val="22"/>
        </w:rPr>
        <w:t>C</w:t>
      </w:r>
      <w:r w:rsidRPr="00D124D9">
        <w:rPr>
          <w:rFonts w:ascii="Andes" w:hAnsi="Andes" w:cs="Arial"/>
          <w:sz w:val="22"/>
          <w:szCs w:val="22"/>
        </w:rPr>
        <w:t xml:space="preserve">) est adressée à un nombre limité d’entreprises. </w:t>
      </w:r>
      <w:r>
        <w:rPr>
          <w:rFonts w:ascii="Andes" w:hAnsi="Andes" w:cs="Arial"/>
          <w:sz w:val="22"/>
          <w:szCs w:val="22"/>
        </w:rPr>
        <w:t>En règle générale p</w:t>
      </w:r>
      <w:r w:rsidRPr="00D124D9">
        <w:rPr>
          <w:rFonts w:ascii="Andes" w:hAnsi="Andes" w:cs="Arial"/>
          <w:sz w:val="22"/>
          <w:szCs w:val="22"/>
        </w:rPr>
        <w:t xml:space="preserve">our </w:t>
      </w:r>
      <w:r>
        <w:rPr>
          <w:rFonts w:ascii="Andes" w:hAnsi="Andes" w:cs="Arial"/>
          <w:sz w:val="22"/>
          <w:szCs w:val="22"/>
        </w:rPr>
        <w:t>assurer</w:t>
      </w:r>
      <w:r w:rsidRPr="00D124D9">
        <w:rPr>
          <w:rFonts w:ascii="Andes" w:hAnsi="Andes" w:cs="Arial"/>
          <w:sz w:val="22"/>
          <w:szCs w:val="22"/>
        </w:rPr>
        <w:t xml:space="preserve"> la concurrence, les </w:t>
      </w:r>
      <w:r w:rsidR="00005651" w:rsidRPr="00D124D9">
        <w:rPr>
          <w:rFonts w:ascii="Andes" w:hAnsi="Andes" w:cs="Arial"/>
          <w:sz w:val="22"/>
          <w:szCs w:val="22"/>
        </w:rPr>
        <w:t>D</w:t>
      </w:r>
      <w:r w:rsidR="00005651">
        <w:rPr>
          <w:rFonts w:ascii="Andes" w:hAnsi="Andes" w:cs="Arial"/>
          <w:sz w:val="22"/>
          <w:szCs w:val="22"/>
        </w:rPr>
        <w:t>C</w:t>
      </w:r>
      <w:r w:rsidR="00005651" w:rsidRPr="00D124D9">
        <w:rPr>
          <w:rFonts w:ascii="Andes" w:hAnsi="Andes" w:cs="Arial"/>
          <w:sz w:val="22"/>
          <w:szCs w:val="22"/>
        </w:rPr>
        <w:t xml:space="preserve"> </w:t>
      </w:r>
      <w:r w:rsidRPr="00D124D9">
        <w:rPr>
          <w:rFonts w:ascii="Andes" w:hAnsi="Andes" w:cs="Arial"/>
          <w:sz w:val="22"/>
          <w:szCs w:val="22"/>
        </w:rPr>
        <w:t xml:space="preserve">doivent être envoyées à </w:t>
      </w:r>
      <w:r>
        <w:rPr>
          <w:rFonts w:ascii="Andes" w:hAnsi="Andes" w:cs="Arial"/>
          <w:sz w:val="22"/>
          <w:szCs w:val="22"/>
        </w:rPr>
        <w:t>au moins trois (03) entreprises</w:t>
      </w:r>
      <w:r w:rsidRPr="00D124D9">
        <w:rPr>
          <w:rFonts w:ascii="Andes" w:hAnsi="Andes" w:cs="Arial"/>
          <w:sz w:val="22"/>
          <w:szCs w:val="22"/>
        </w:rPr>
        <w:t xml:space="preserve">.  </w:t>
      </w:r>
    </w:p>
    <w:p w14:paraId="7B8AAFB0" w14:textId="60C521DB" w:rsidR="00341E34" w:rsidRPr="00D124D9" w:rsidRDefault="00341E34" w:rsidP="00341E34">
      <w:pPr>
        <w:pStyle w:val="Paragraphedeliste"/>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Les entreprises doivent bénéficier d’un délai suffisant pour préparer et soumettre leurs </w:t>
      </w:r>
      <w:r w:rsidR="00005651">
        <w:rPr>
          <w:rFonts w:ascii="Andes" w:hAnsi="Andes" w:cs="Arial"/>
          <w:sz w:val="22"/>
          <w:szCs w:val="22"/>
        </w:rPr>
        <w:t>cotations</w:t>
      </w:r>
      <w:r w:rsidRPr="00D124D9">
        <w:rPr>
          <w:rFonts w:ascii="Andes" w:hAnsi="Andes" w:cs="Arial"/>
          <w:sz w:val="22"/>
          <w:szCs w:val="22"/>
        </w:rPr>
        <w:t xml:space="preserve">. Les </w:t>
      </w:r>
      <w:r w:rsidR="00005651">
        <w:rPr>
          <w:rFonts w:ascii="Andes" w:hAnsi="Andes" w:cs="Arial"/>
          <w:sz w:val="22"/>
          <w:szCs w:val="22"/>
        </w:rPr>
        <w:t>DC</w:t>
      </w:r>
      <w:r w:rsidR="00005651" w:rsidRPr="00D124D9">
        <w:rPr>
          <w:rFonts w:ascii="Andes" w:hAnsi="Andes" w:cs="Arial"/>
          <w:sz w:val="22"/>
          <w:szCs w:val="22"/>
        </w:rPr>
        <w:t xml:space="preserve"> </w:t>
      </w:r>
      <w:r w:rsidRPr="00D124D9">
        <w:rPr>
          <w:rFonts w:ascii="Andes" w:hAnsi="Andes" w:cs="Arial"/>
          <w:sz w:val="22"/>
          <w:szCs w:val="22"/>
        </w:rPr>
        <w:t>doivent indiq</w:t>
      </w:r>
      <w:r>
        <w:rPr>
          <w:rFonts w:ascii="Andes" w:hAnsi="Andes" w:cs="Arial"/>
          <w:sz w:val="22"/>
          <w:szCs w:val="22"/>
        </w:rPr>
        <w:t>uer la nature des prestations (Fournitures, Travaux et S</w:t>
      </w:r>
      <w:r w:rsidRPr="00D124D9">
        <w:rPr>
          <w:rFonts w:ascii="Andes" w:hAnsi="Andes" w:cs="Arial"/>
          <w:sz w:val="22"/>
          <w:szCs w:val="22"/>
        </w:rPr>
        <w:t xml:space="preserve">ervices </w:t>
      </w:r>
      <w:r>
        <w:rPr>
          <w:rFonts w:ascii="Andes" w:hAnsi="Andes" w:cs="Arial"/>
          <w:sz w:val="22"/>
          <w:szCs w:val="22"/>
        </w:rPr>
        <w:t>Autres que des Services de C</w:t>
      </w:r>
      <w:r w:rsidRPr="00D124D9">
        <w:rPr>
          <w:rFonts w:ascii="Andes" w:hAnsi="Andes" w:cs="Arial"/>
          <w:sz w:val="22"/>
          <w:szCs w:val="22"/>
        </w:rPr>
        <w:t>onsultants) leur ampleur, les délais de livraison, leur emplacement et, le cas échéant, le</w:t>
      </w:r>
      <w:r>
        <w:rPr>
          <w:rFonts w:ascii="Andes" w:hAnsi="Andes" w:cs="Arial"/>
          <w:sz w:val="22"/>
          <w:szCs w:val="22"/>
        </w:rPr>
        <w:t>s modalités de le</w:t>
      </w:r>
      <w:r w:rsidRPr="00D124D9">
        <w:rPr>
          <w:rFonts w:ascii="Andes" w:hAnsi="Andes" w:cs="Arial"/>
          <w:sz w:val="22"/>
          <w:szCs w:val="22"/>
        </w:rPr>
        <w:t xml:space="preserve">ur installation. Les demandes </w:t>
      </w:r>
      <w:r>
        <w:rPr>
          <w:rFonts w:ascii="Andes" w:hAnsi="Andes" w:cs="Arial"/>
          <w:sz w:val="22"/>
          <w:szCs w:val="22"/>
        </w:rPr>
        <w:t xml:space="preserve">doivent </w:t>
      </w:r>
      <w:r w:rsidRPr="00D124D9">
        <w:rPr>
          <w:rFonts w:ascii="Andes" w:hAnsi="Andes" w:cs="Arial"/>
          <w:sz w:val="22"/>
          <w:szCs w:val="22"/>
        </w:rPr>
        <w:t>indique</w:t>
      </w:r>
      <w:r>
        <w:rPr>
          <w:rFonts w:ascii="Andes" w:hAnsi="Andes" w:cs="Arial"/>
          <w:sz w:val="22"/>
          <w:szCs w:val="22"/>
        </w:rPr>
        <w:t>r</w:t>
      </w:r>
      <w:r w:rsidRPr="00D124D9">
        <w:rPr>
          <w:rFonts w:ascii="Andes" w:hAnsi="Andes" w:cs="Arial"/>
          <w:sz w:val="22"/>
          <w:szCs w:val="22"/>
        </w:rPr>
        <w:t xml:space="preserve"> aussi la date limite de </w:t>
      </w:r>
      <w:r>
        <w:rPr>
          <w:rFonts w:ascii="Andes" w:hAnsi="Andes" w:cs="Arial"/>
          <w:sz w:val="22"/>
          <w:szCs w:val="22"/>
        </w:rPr>
        <w:t>remise</w:t>
      </w:r>
      <w:r w:rsidRPr="00D124D9">
        <w:rPr>
          <w:rFonts w:ascii="Andes" w:hAnsi="Andes" w:cs="Arial"/>
          <w:sz w:val="22"/>
          <w:szCs w:val="22"/>
        </w:rPr>
        <w:t xml:space="preserve"> des </w:t>
      </w:r>
      <w:r w:rsidR="00005651">
        <w:rPr>
          <w:rFonts w:ascii="Andes" w:hAnsi="Andes" w:cs="Arial"/>
          <w:sz w:val="22"/>
          <w:szCs w:val="22"/>
        </w:rPr>
        <w:t>cotations</w:t>
      </w:r>
      <w:r w:rsidR="00005651" w:rsidRPr="00D124D9">
        <w:rPr>
          <w:rFonts w:ascii="Andes" w:hAnsi="Andes" w:cs="Arial"/>
          <w:sz w:val="22"/>
          <w:szCs w:val="22"/>
        </w:rPr>
        <w:t xml:space="preserve"> </w:t>
      </w:r>
      <w:r w:rsidRPr="00D124D9">
        <w:rPr>
          <w:rFonts w:ascii="Andes" w:hAnsi="Andes" w:cs="Arial"/>
          <w:sz w:val="22"/>
          <w:szCs w:val="22"/>
        </w:rPr>
        <w:t>et précise</w:t>
      </w:r>
      <w:r>
        <w:rPr>
          <w:rFonts w:ascii="Andes" w:hAnsi="Andes" w:cs="Arial"/>
          <w:sz w:val="22"/>
          <w:szCs w:val="22"/>
        </w:rPr>
        <w:t>r</w:t>
      </w:r>
      <w:r w:rsidRPr="00D124D9">
        <w:rPr>
          <w:rFonts w:ascii="Andes" w:hAnsi="Andes" w:cs="Arial"/>
          <w:sz w:val="22"/>
          <w:szCs w:val="22"/>
        </w:rPr>
        <w:t xml:space="preserve"> qu’</w:t>
      </w:r>
      <w:r>
        <w:rPr>
          <w:rFonts w:ascii="Andes" w:hAnsi="Andes" w:cs="Arial"/>
          <w:sz w:val="22"/>
          <w:szCs w:val="22"/>
        </w:rPr>
        <w:t>ils</w:t>
      </w:r>
      <w:r w:rsidRPr="00D124D9">
        <w:rPr>
          <w:rFonts w:ascii="Andes" w:hAnsi="Andes" w:cs="Arial"/>
          <w:sz w:val="22"/>
          <w:szCs w:val="22"/>
        </w:rPr>
        <w:t xml:space="preserve"> peuvent </w:t>
      </w:r>
      <w:r>
        <w:rPr>
          <w:rFonts w:ascii="Andes" w:hAnsi="Andes" w:cs="Arial"/>
          <w:sz w:val="22"/>
          <w:szCs w:val="22"/>
        </w:rPr>
        <w:t>l’</w:t>
      </w:r>
      <w:r w:rsidRPr="00D124D9">
        <w:rPr>
          <w:rFonts w:ascii="Andes" w:hAnsi="Andes" w:cs="Arial"/>
          <w:sz w:val="22"/>
          <w:szCs w:val="22"/>
        </w:rPr>
        <w:t xml:space="preserve">être par courrier, télécopie ou voie électronique.  </w:t>
      </w:r>
    </w:p>
    <w:p w14:paraId="1282E9C7" w14:textId="46F05C33" w:rsidR="00341E34" w:rsidRPr="00D124D9" w:rsidRDefault="00341E34" w:rsidP="00341E34">
      <w:pPr>
        <w:pStyle w:val="Paragraphedeliste"/>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Les </w:t>
      </w:r>
      <w:r w:rsidR="00005651">
        <w:rPr>
          <w:rFonts w:ascii="Andes" w:hAnsi="Andes" w:cs="Arial"/>
          <w:sz w:val="22"/>
          <w:szCs w:val="22"/>
        </w:rPr>
        <w:t>cotations</w:t>
      </w:r>
      <w:r w:rsidR="00005651" w:rsidRPr="00D124D9">
        <w:rPr>
          <w:rFonts w:ascii="Andes" w:hAnsi="Andes" w:cs="Arial"/>
          <w:sz w:val="22"/>
          <w:szCs w:val="22"/>
        </w:rPr>
        <w:t xml:space="preserve"> </w:t>
      </w:r>
      <w:r w:rsidRPr="00D124D9">
        <w:rPr>
          <w:rFonts w:ascii="Andes" w:hAnsi="Andes" w:cs="Arial"/>
          <w:sz w:val="22"/>
          <w:szCs w:val="22"/>
        </w:rPr>
        <w:t xml:space="preserve">sont </w:t>
      </w:r>
      <w:r w:rsidR="00060A4A" w:rsidRPr="00D124D9">
        <w:rPr>
          <w:rFonts w:ascii="Andes" w:hAnsi="Andes" w:cs="Arial"/>
          <w:sz w:val="22"/>
          <w:szCs w:val="22"/>
        </w:rPr>
        <w:t>évaluées</w:t>
      </w:r>
      <w:r w:rsidRPr="00D124D9">
        <w:rPr>
          <w:rFonts w:ascii="Andes" w:hAnsi="Andes" w:cs="Arial"/>
          <w:sz w:val="22"/>
          <w:szCs w:val="22"/>
        </w:rPr>
        <w:t xml:space="preserve"> et le marché attribué conformément aux critères définis dans la </w:t>
      </w:r>
      <w:r w:rsidR="00005651" w:rsidRPr="00D124D9">
        <w:rPr>
          <w:rFonts w:ascii="Andes" w:hAnsi="Andes" w:cs="Arial"/>
          <w:sz w:val="22"/>
          <w:szCs w:val="22"/>
        </w:rPr>
        <w:t>D</w:t>
      </w:r>
      <w:r w:rsidR="00005651">
        <w:rPr>
          <w:rFonts w:ascii="Andes" w:hAnsi="Andes" w:cs="Arial"/>
          <w:sz w:val="22"/>
          <w:szCs w:val="22"/>
        </w:rPr>
        <w:t>C</w:t>
      </w:r>
      <w:r w:rsidRPr="00D124D9">
        <w:rPr>
          <w:rFonts w:ascii="Andes" w:hAnsi="Andes" w:cs="Arial"/>
          <w:sz w:val="22"/>
          <w:szCs w:val="22"/>
        </w:rPr>
        <w:t xml:space="preserve">. Les conditions </w:t>
      </w:r>
      <w:r>
        <w:rPr>
          <w:rFonts w:ascii="Andes" w:hAnsi="Andes" w:cs="Arial"/>
          <w:sz w:val="22"/>
          <w:szCs w:val="22"/>
        </w:rPr>
        <w:t>d’application du prix retenu</w:t>
      </w:r>
      <w:r w:rsidRPr="00D124D9">
        <w:rPr>
          <w:rFonts w:ascii="Andes" w:hAnsi="Andes" w:cs="Arial"/>
          <w:sz w:val="22"/>
          <w:szCs w:val="22"/>
        </w:rPr>
        <w:t xml:space="preserve"> sont formalisées dans un document contractuel contraignant. L’Emprunteur </w:t>
      </w:r>
      <w:r>
        <w:rPr>
          <w:rFonts w:ascii="Andes" w:hAnsi="Andes" w:cs="Arial"/>
          <w:sz w:val="22"/>
          <w:szCs w:val="22"/>
        </w:rPr>
        <w:t>dresse un</w:t>
      </w:r>
      <w:r w:rsidRPr="00D124D9">
        <w:rPr>
          <w:rFonts w:ascii="Andes" w:hAnsi="Andes" w:cs="Arial"/>
          <w:sz w:val="22"/>
          <w:szCs w:val="22"/>
        </w:rPr>
        <w:t xml:space="preserve"> procès-verbal de toutes les procédures relatives à la </w:t>
      </w:r>
      <w:r w:rsidR="00005651" w:rsidRPr="00D124D9">
        <w:rPr>
          <w:rFonts w:ascii="Andes" w:hAnsi="Andes" w:cs="Arial"/>
          <w:sz w:val="22"/>
          <w:szCs w:val="22"/>
        </w:rPr>
        <w:t>D</w:t>
      </w:r>
      <w:r w:rsidR="00005651">
        <w:rPr>
          <w:rFonts w:ascii="Andes" w:hAnsi="Andes" w:cs="Arial"/>
          <w:sz w:val="22"/>
          <w:szCs w:val="22"/>
        </w:rPr>
        <w:t>C</w:t>
      </w:r>
      <w:r w:rsidRPr="00D124D9">
        <w:rPr>
          <w:rFonts w:ascii="Andes" w:hAnsi="Andes" w:cs="Arial"/>
          <w:sz w:val="22"/>
          <w:szCs w:val="22"/>
        </w:rPr>
        <w:t xml:space="preserve">.  </w:t>
      </w:r>
    </w:p>
    <w:p w14:paraId="434F2E11" w14:textId="77777777" w:rsidR="00341E34" w:rsidRPr="00D124D9" w:rsidRDefault="00341E34" w:rsidP="00341E34">
      <w:pPr>
        <w:pStyle w:val="Paragraphedeliste"/>
        <w:numPr>
          <w:ilvl w:val="0"/>
          <w:numId w:val="225"/>
        </w:numPr>
        <w:spacing w:before="240" w:line="240" w:lineRule="auto"/>
        <w:ind w:left="634" w:hanging="634"/>
        <w:contextualSpacing w:val="0"/>
        <w:rPr>
          <w:rFonts w:ascii="Andes" w:eastAsiaTheme="majorEastAsia" w:hAnsi="Andes"/>
          <w:b/>
          <w:color w:val="C45911"/>
          <w:sz w:val="32"/>
          <w:szCs w:val="32"/>
        </w:rPr>
      </w:pPr>
      <w:bookmarkStart w:id="3581" w:name="_Toc453171008"/>
      <w:r>
        <w:rPr>
          <w:rFonts w:ascii="Andes" w:eastAsiaTheme="majorEastAsia" w:hAnsi="Andes"/>
          <w:b/>
          <w:color w:val="C45911"/>
          <w:sz w:val="32"/>
          <w:szCs w:val="32"/>
        </w:rPr>
        <w:t>Modalités</w:t>
      </w:r>
      <w:r w:rsidRPr="00D124D9">
        <w:rPr>
          <w:rFonts w:ascii="Andes" w:eastAsiaTheme="majorEastAsia" w:hAnsi="Andes"/>
          <w:b/>
          <w:color w:val="C45911"/>
          <w:sz w:val="32"/>
          <w:szCs w:val="32"/>
        </w:rPr>
        <w:t xml:space="preserve"> </w:t>
      </w:r>
      <w:r>
        <w:rPr>
          <w:rFonts w:ascii="Andes" w:eastAsiaTheme="majorEastAsia" w:hAnsi="Andes"/>
          <w:b/>
          <w:color w:val="C45911"/>
          <w:sz w:val="32"/>
          <w:szCs w:val="32"/>
        </w:rPr>
        <w:t xml:space="preserve">particulières de </w:t>
      </w:r>
      <w:r w:rsidRPr="00D124D9">
        <w:rPr>
          <w:rFonts w:ascii="Andes" w:eastAsiaTheme="majorEastAsia" w:hAnsi="Andes"/>
          <w:b/>
          <w:color w:val="C45911"/>
          <w:sz w:val="32"/>
          <w:szCs w:val="32"/>
        </w:rPr>
        <w:t>passation de</w:t>
      </w:r>
      <w:r>
        <w:rPr>
          <w:rFonts w:ascii="Andes" w:eastAsiaTheme="majorEastAsia" w:hAnsi="Andes"/>
          <w:b/>
          <w:color w:val="C45911"/>
          <w:sz w:val="32"/>
          <w:szCs w:val="32"/>
        </w:rPr>
        <w:t>s</w:t>
      </w:r>
      <w:r w:rsidRPr="00D124D9">
        <w:rPr>
          <w:rFonts w:ascii="Andes" w:eastAsiaTheme="majorEastAsia" w:hAnsi="Andes"/>
          <w:b/>
          <w:color w:val="C45911"/>
          <w:sz w:val="32"/>
          <w:szCs w:val="32"/>
        </w:rPr>
        <w:t xml:space="preserve"> marché</w:t>
      </w:r>
      <w:r>
        <w:rPr>
          <w:rFonts w:ascii="Andes" w:eastAsiaTheme="majorEastAsia" w:hAnsi="Andes"/>
          <w:b/>
          <w:color w:val="C45911"/>
          <w:sz w:val="32"/>
          <w:szCs w:val="32"/>
        </w:rPr>
        <w:t>s</w:t>
      </w:r>
      <w:r w:rsidRPr="00D124D9">
        <w:rPr>
          <w:rFonts w:ascii="Andes" w:eastAsiaTheme="majorEastAsia" w:hAnsi="Andes"/>
          <w:b/>
          <w:color w:val="C45911"/>
          <w:sz w:val="32"/>
          <w:szCs w:val="32"/>
        </w:rPr>
        <w:t xml:space="preserve"> </w:t>
      </w:r>
      <w:bookmarkEnd w:id="3581"/>
    </w:p>
    <w:p w14:paraId="4FA7138C" w14:textId="77777777" w:rsidR="00341E34" w:rsidRPr="00D124D9" w:rsidRDefault="00341E34" w:rsidP="00341E34">
      <w:pPr>
        <w:pStyle w:val="Paragraphedeliste"/>
        <w:spacing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Enchères électroniques inversées</w:t>
      </w:r>
    </w:p>
    <w:p w14:paraId="57A5C5BD" w14:textId="5D564291" w:rsidR="00341E34" w:rsidRPr="00D124D9" w:rsidRDefault="00341E34" w:rsidP="00341E34">
      <w:pPr>
        <w:pStyle w:val="Paragraphedeliste"/>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Il s’agit d’une application particulière de la </w:t>
      </w:r>
      <w:r w:rsidR="008616BA" w:rsidRPr="00D124D9">
        <w:rPr>
          <w:rFonts w:ascii="Andes" w:hAnsi="Andes" w:cs="Arial"/>
          <w:sz w:val="22"/>
          <w:szCs w:val="22"/>
        </w:rPr>
        <w:t>D</w:t>
      </w:r>
      <w:r w:rsidR="008616BA">
        <w:rPr>
          <w:rFonts w:ascii="Andes" w:hAnsi="Andes" w:cs="Arial"/>
          <w:sz w:val="22"/>
          <w:szCs w:val="22"/>
        </w:rPr>
        <w:t>C</w:t>
      </w:r>
      <w:r w:rsidR="008616BA" w:rsidRPr="00D124D9">
        <w:rPr>
          <w:rFonts w:ascii="Andes" w:hAnsi="Andes" w:cs="Arial"/>
          <w:sz w:val="22"/>
          <w:szCs w:val="22"/>
        </w:rPr>
        <w:t xml:space="preserve"> </w:t>
      </w:r>
      <w:r w:rsidRPr="00D124D9">
        <w:rPr>
          <w:rFonts w:ascii="Andes" w:hAnsi="Andes" w:cs="Arial"/>
          <w:sz w:val="22"/>
          <w:szCs w:val="22"/>
        </w:rPr>
        <w:t xml:space="preserve">qui intervient dans un délai raisonnable après que les </w:t>
      </w:r>
      <w:r>
        <w:rPr>
          <w:rFonts w:ascii="Andes" w:hAnsi="Andes" w:cs="Arial"/>
          <w:sz w:val="22"/>
          <w:szCs w:val="22"/>
        </w:rPr>
        <w:t>entreprises présélectionnées/</w:t>
      </w:r>
      <w:r w:rsidRPr="00D124D9">
        <w:rPr>
          <w:rFonts w:ascii="Andes" w:hAnsi="Andes" w:cs="Arial"/>
          <w:sz w:val="22"/>
          <w:szCs w:val="22"/>
        </w:rPr>
        <w:t xml:space="preserve">enregistrées et ayant satisfait aux critères de qualification minimum ont reçu </w:t>
      </w:r>
      <w:proofErr w:type="gramStart"/>
      <w:r w:rsidRPr="00D124D9">
        <w:rPr>
          <w:rFonts w:ascii="Andes" w:hAnsi="Andes" w:cs="Arial"/>
          <w:sz w:val="22"/>
          <w:szCs w:val="22"/>
        </w:rPr>
        <w:t>des informations sur</w:t>
      </w:r>
      <w:proofErr w:type="gramEnd"/>
      <w:r w:rsidRPr="00D124D9">
        <w:rPr>
          <w:rFonts w:ascii="Calibri" w:hAnsi="Calibri" w:cs="Arial"/>
          <w:sz w:val="22"/>
          <w:szCs w:val="22"/>
        </w:rPr>
        <w:t> </w:t>
      </w:r>
      <w:r w:rsidRPr="00D124D9">
        <w:rPr>
          <w:rFonts w:ascii="Andes" w:hAnsi="Andes" w:cs="Arial"/>
          <w:sz w:val="22"/>
          <w:szCs w:val="22"/>
        </w:rPr>
        <w:t xml:space="preserve">: </w:t>
      </w:r>
    </w:p>
    <w:p w14:paraId="0D9FC25F" w14:textId="77777777" w:rsidR="00341E34" w:rsidRPr="00D124D9" w:rsidRDefault="00341E34" w:rsidP="00341E34">
      <w:pPr>
        <w:pStyle w:val="Paragraphedeliste"/>
        <w:numPr>
          <w:ilvl w:val="0"/>
          <w:numId w:val="231"/>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la méthode d’évaluation automatisée qui </w:t>
      </w:r>
      <w:r>
        <w:rPr>
          <w:rFonts w:ascii="Andes" w:eastAsiaTheme="minorHAnsi" w:hAnsi="Andes" w:cs="Arial"/>
          <w:color w:val="000000"/>
          <w:sz w:val="22"/>
          <w:szCs w:val="22"/>
        </w:rPr>
        <w:t>sera utilisée pour classer les S</w:t>
      </w:r>
      <w:r w:rsidRPr="00D124D9">
        <w:rPr>
          <w:rFonts w:ascii="Andes" w:eastAsiaTheme="minorHAnsi" w:hAnsi="Andes" w:cs="Arial"/>
          <w:color w:val="000000"/>
          <w:sz w:val="22"/>
          <w:szCs w:val="22"/>
        </w:rPr>
        <w:t>oumissionnaires pendant l’enchère électronique</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et</w:t>
      </w:r>
    </w:p>
    <w:p w14:paraId="44F080C4" w14:textId="77777777" w:rsidR="00341E34" w:rsidRPr="00D124D9" w:rsidRDefault="00341E34" w:rsidP="00341E34">
      <w:pPr>
        <w:pStyle w:val="Paragraphedeliste"/>
        <w:numPr>
          <w:ilvl w:val="0"/>
          <w:numId w:val="231"/>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toute autre information pertinente sur le déroulement de l’enchère, notamment des instructions claires sur le mode d’accès et de participation à l’enchère.</w:t>
      </w:r>
    </w:p>
    <w:p w14:paraId="5988B944" w14:textId="77777777" w:rsidR="00341E34" w:rsidRPr="00D124D9" w:rsidRDefault="00341E34" w:rsidP="00341E34">
      <w:pPr>
        <w:pStyle w:val="Paragraphedeliste"/>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Les entreprises soumettent ensuite leurs offres pour la fourniture de </w:t>
      </w:r>
      <w:r>
        <w:rPr>
          <w:rFonts w:ascii="Andes" w:hAnsi="Andes" w:cs="Arial"/>
          <w:sz w:val="22"/>
          <w:szCs w:val="22"/>
        </w:rPr>
        <w:t>B</w:t>
      </w:r>
      <w:r w:rsidRPr="00D124D9">
        <w:rPr>
          <w:rFonts w:ascii="Andes" w:hAnsi="Andes" w:cs="Arial"/>
          <w:sz w:val="22"/>
          <w:szCs w:val="22"/>
        </w:rPr>
        <w:t xml:space="preserve">iens ou la prestation de </w:t>
      </w:r>
      <w:r>
        <w:rPr>
          <w:rFonts w:ascii="Andes" w:hAnsi="Andes" w:cs="Arial"/>
          <w:sz w:val="22"/>
          <w:szCs w:val="22"/>
        </w:rPr>
        <w:t>Services Autres que des Services de C</w:t>
      </w:r>
      <w:r w:rsidRPr="00D124D9">
        <w:rPr>
          <w:rFonts w:ascii="Andes" w:hAnsi="Andes" w:cs="Arial"/>
          <w:sz w:val="22"/>
          <w:szCs w:val="22"/>
        </w:rPr>
        <w:t>onsultants</w:t>
      </w:r>
      <w:r w:rsidRPr="00D124D9">
        <w:rPr>
          <w:rFonts w:ascii="Calibri" w:hAnsi="Calibri" w:cs="Arial"/>
          <w:sz w:val="22"/>
          <w:szCs w:val="22"/>
        </w:rPr>
        <w:t> </w:t>
      </w:r>
      <w:r w:rsidRPr="00D124D9">
        <w:rPr>
          <w:rFonts w:ascii="Andes" w:hAnsi="Andes" w:cs="Arial"/>
          <w:sz w:val="22"/>
          <w:szCs w:val="22"/>
        </w:rPr>
        <w:t>; à l’issue de l’enchère, l’entreprise à l’offre la moins</w:t>
      </w:r>
      <w:r>
        <w:rPr>
          <w:rFonts w:ascii="Andes" w:hAnsi="Andes" w:cs="Arial"/>
          <w:sz w:val="22"/>
          <w:szCs w:val="22"/>
        </w:rPr>
        <w:t>-</w:t>
      </w:r>
      <w:proofErr w:type="spellStart"/>
      <w:r w:rsidRPr="00D124D9">
        <w:rPr>
          <w:rFonts w:ascii="Andes" w:hAnsi="Andes" w:cs="Arial"/>
          <w:sz w:val="22"/>
          <w:szCs w:val="22"/>
        </w:rPr>
        <w:t>disante</w:t>
      </w:r>
      <w:proofErr w:type="spellEnd"/>
      <w:r w:rsidRPr="00D124D9">
        <w:rPr>
          <w:rFonts w:ascii="Andes" w:hAnsi="Andes" w:cs="Arial"/>
          <w:sz w:val="22"/>
          <w:szCs w:val="22"/>
        </w:rPr>
        <w:t xml:space="preserve"> est l</w:t>
      </w:r>
      <w:r>
        <w:rPr>
          <w:rFonts w:ascii="Andes" w:hAnsi="Andes" w:cs="Arial"/>
          <w:sz w:val="22"/>
          <w:szCs w:val="22"/>
        </w:rPr>
        <w:t xml:space="preserve">e potentiel </w:t>
      </w:r>
      <w:r w:rsidRPr="00D124D9">
        <w:rPr>
          <w:rFonts w:ascii="Andes" w:hAnsi="Andes" w:cs="Arial"/>
          <w:sz w:val="22"/>
          <w:szCs w:val="22"/>
        </w:rPr>
        <w:t xml:space="preserve">attributaire.  </w:t>
      </w:r>
    </w:p>
    <w:p w14:paraId="6D384C47" w14:textId="77777777" w:rsidR="00341E34" w:rsidRPr="00D124D9" w:rsidRDefault="00341E34" w:rsidP="00341E34">
      <w:pPr>
        <w:pStyle w:val="Paragraphedeliste"/>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On aura recours aux enchères électroniques inversées lorsque les exigences de l’Emprunteur sont spécifiées de façon explicite et les entreprises sont véritablement mises en concurrence.  </w:t>
      </w:r>
    </w:p>
    <w:p w14:paraId="23D3332F" w14:textId="77777777" w:rsidR="00341E34" w:rsidRPr="00D124D9" w:rsidRDefault="00341E34" w:rsidP="00341E34">
      <w:pPr>
        <w:pStyle w:val="Paragraphedeliste"/>
        <w:spacing w:before="240"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Programmes d’importations</w:t>
      </w:r>
    </w:p>
    <w:p w14:paraId="785F616C" w14:textId="3D9F6F55" w:rsidR="00341E34" w:rsidRPr="00D124D9" w:rsidRDefault="00341E34" w:rsidP="00341E34">
      <w:pPr>
        <w:pStyle w:val="Paragraphedeliste"/>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Lorsque le prêt doit financer un programme d’importation géré par les organismes publics du pays de l’Emprunteur, </w:t>
      </w:r>
      <w:r>
        <w:rPr>
          <w:rFonts w:ascii="Andes" w:hAnsi="Andes" w:cs="Arial"/>
          <w:sz w:val="22"/>
          <w:szCs w:val="22"/>
        </w:rPr>
        <w:t>les marchés d’un montant élevé (</w:t>
      </w:r>
      <w:r w:rsidRPr="00D124D9">
        <w:rPr>
          <w:rFonts w:ascii="Andes" w:hAnsi="Andes" w:cs="Arial"/>
          <w:sz w:val="22"/>
          <w:szCs w:val="22"/>
        </w:rPr>
        <w:t>ce montant étant précisé dans</w:t>
      </w:r>
      <w:r>
        <w:rPr>
          <w:rFonts w:ascii="Andes" w:hAnsi="Andes" w:cs="Arial"/>
          <w:sz w:val="22"/>
          <w:szCs w:val="22"/>
        </w:rPr>
        <w:t xml:space="preserve"> le Plan de passation de marché)</w:t>
      </w:r>
      <w:r w:rsidRPr="00D124D9">
        <w:rPr>
          <w:rFonts w:ascii="Andes" w:hAnsi="Andes" w:cs="Arial"/>
          <w:sz w:val="22"/>
          <w:szCs w:val="22"/>
        </w:rPr>
        <w:t xml:space="preserve"> feront l’objet d’un appel d’offres dont les dispositions concernant la publicité et les monnaies auront été simplifiées.  Selon ces règles simplifiées, il n’est pas nécessaire de publier un avis général de passation de marché. Des avis particuliers doivent être publiés dans un journal de grande diffusion du pays de l’Emprunteur ou, le cas échéant, dans le Journal officiel, ou sur un site web ou portail électronique librement accessible sur place et au niveau international, mais aussi </w:t>
      </w:r>
      <w:r w:rsidR="00B65944">
        <w:rPr>
          <w:rFonts w:ascii="Andes" w:hAnsi="Andes" w:cs="Arial"/>
          <w:sz w:val="22"/>
          <w:szCs w:val="22"/>
        </w:rPr>
        <w:t>sur</w:t>
      </w:r>
      <w:r w:rsidRPr="00D124D9">
        <w:rPr>
          <w:rFonts w:ascii="Andes" w:hAnsi="Andes" w:cs="Arial"/>
          <w:sz w:val="22"/>
          <w:szCs w:val="22"/>
        </w:rPr>
        <w:t xml:space="preserve"> le site externe de la Banque. Le délai imparti pour la remise des </w:t>
      </w:r>
      <w:r>
        <w:rPr>
          <w:rFonts w:ascii="Andes" w:hAnsi="Andes" w:cs="Arial"/>
          <w:sz w:val="22"/>
          <w:szCs w:val="22"/>
        </w:rPr>
        <w:t>O</w:t>
      </w:r>
      <w:r w:rsidRPr="00D124D9">
        <w:rPr>
          <w:rFonts w:ascii="Andes" w:hAnsi="Andes" w:cs="Arial"/>
          <w:sz w:val="22"/>
          <w:szCs w:val="22"/>
        </w:rPr>
        <w:t xml:space="preserve">ffres peut être ramené à 20 jours ouvrables à compter de la date de publication de l’avis particulier. L’Emprunteur peut demander que le prix des </w:t>
      </w:r>
      <w:r>
        <w:rPr>
          <w:rFonts w:ascii="Andes" w:hAnsi="Andes" w:cs="Arial"/>
          <w:sz w:val="22"/>
          <w:szCs w:val="22"/>
        </w:rPr>
        <w:t>O</w:t>
      </w:r>
      <w:r w:rsidRPr="00D124D9">
        <w:rPr>
          <w:rFonts w:ascii="Andes" w:hAnsi="Andes" w:cs="Arial"/>
          <w:sz w:val="22"/>
          <w:szCs w:val="22"/>
        </w:rPr>
        <w:t xml:space="preserve">ffres soit libellé, et les paiements au titre du marché soient </w:t>
      </w:r>
      <w:r w:rsidRPr="00D124D9">
        <w:rPr>
          <w:rFonts w:ascii="Andes" w:hAnsi="Andes" w:cs="Arial"/>
          <w:sz w:val="22"/>
          <w:szCs w:val="22"/>
        </w:rPr>
        <w:lastRenderedPageBreak/>
        <w:t xml:space="preserve">effectués, dans une monnaie unique qui sera une monnaie d’usage courant dans les échanges commerciaux internationaux. Pour les marchés d’un montant plus faible recensés dans le Plan de passation de marché, les organismes publics du pays de l’Emprunteur peuvent procéder à l’importation au moyen des procédures fixées par l’organisme chargé des importations, si elles sont jugées acceptables par la Banque.  </w:t>
      </w:r>
    </w:p>
    <w:p w14:paraId="7E2953C8" w14:textId="77777777" w:rsidR="00341E34" w:rsidRPr="00D124D9" w:rsidRDefault="00341E34" w:rsidP="00341E34">
      <w:pPr>
        <w:pStyle w:val="Paragraphedeliste"/>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Lorsque les importations sont gérées par un organisme privé, les pratiques commerciales visées au paragraphe 6.</w:t>
      </w:r>
      <w:r w:rsidRPr="00341B38">
        <w:rPr>
          <w:rFonts w:ascii="Andes" w:hAnsi="Andes" w:cs="Arial"/>
          <w:sz w:val="22"/>
          <w:szCs w:val="22"/>
        </w:rPr>
        <w:t>46 (Pratiques commerciales)</w:t>
      </w:r>
      <w:r w:rsidRPr="00D124D9">
        <w:rPr>
          <w:rFonts w:ascii="Andes" w:hAnsi="Andes" w:cs="Arial"/>
          <w:sz w:val="22"/>
          <w:szCs w:val="22"/>
        </w:rPr>
        <w:t xml:space="preserve"> peuvent être utilisées.</w:t>
      </w:r>
    </w:p>
    <w:p w14:paraId="1280210F" w14:textId="77777777" w:rsidR="00341E34" w:rsidRPr="00D124D9" w:rsidRDefault="00341E34" w:rsidP="00341E34">
      <w:pPr>
        <w:pStyle w:val="Paragraphedeliste"/>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Pour se protéger, l’Emprunteur peut faire procéder </w:t>
      </w:r>
      <w:r>
        <w:rPr>
          <w:rFonts w:ascii="Andes" w:hAnsi="Andes" w:cs="Arial"/>
          <w:sz w:val="22"/>
          <w:szCs w:val="22"/>
        </w:rPr>
        <w:t>à</w:t>
      </w:r>
      <w:r w:rsidRPr="00D124D9">
        <w:rPr>
          <w:rFonts w:ascii="Andes" w:hAnsi="Andes" w:cs="Arial"/>
          <w:sz w:val="22"/>
          <w:szCs w:val="22"/>
        </w:rPr>
        <w:t xml:space="preserve"> l’inspection et à la certification des fournitures avant leur expédition, en particulier dans le cas de grands programmes d’importation. En général, l’inspection et la certification portent sur la quantité et la qualité des fournitures, ainsi que sur leur prix pour déterminer s’il est raisonnable. Dans le cas de fournitures acquises sur appel d’offres, la vérification doit viser exclusivement la qualité et la quantité, et non le prix. Cependant, les fournitures qui n’ont pas été achetées sur appel d’offres peuvent en outre faire l’objet d’une vérification des prix. Des services d’inspection physique peuvent aussi être inclus.  </w:t>
      </w:r>
    </w:p>
    <w:p w14:paraId="58810A99" w14:textId="0DD88DC8" w:rsidR="00341E34" w:rsidRPr="00D124D9" w:rsidRDefault="0070083C" w:rsidP="00341E34">
      <w:pPr>
        <w:pStyle w:val="Paragraphedeliste"/>
        <w:spacing w:before="240" w:line="240" w:lineRule="auto"/>
        <w:contextualSpacing w:val="0"/>
        <w:rPr>
          <w:rFonts w:ascii="Andes" w:hAnsi="Andes" w:cs="Arial"/>
          <w:b/>
          <w:color w:val="000000" w:themeColor="text1"/>
          <w:sz w:val="28"/>
          <w:szCs w:val="28"/>
        </w:rPr>
      </w:pPr>
      <w:r>
        <w:rPr>
          <w:rFonts w:ascii="Andes" w:hAnsi="Andes" w:cs="Arial"/>
          <w:b/>
          <w:color w:val="000000" w:themeColor="text1"/>
          <w:sz w:val="28"/>
          <w:szCs w:val="28"/>
        </w:rPr>
        <w:t>Matières premières</w:t>
      </w:r>
      <w:r w:rsidR="00077FFB">
        <w:rPr>
          <w:rFonts w:ascii="Andes" w:hAnsi="Andes" w:cs="Arial"/>
          <w:b/>
          <w:color w:val="000000" w:themeColor="text1"/>
          <w:sz w:val="28"/>
          <w:szCs w:val="28"/>
        </w:rPr>
        <w:t>/Produits de base</w:t>
      </w:r>
    </w:p>
    <w:p w14:paraId="69807ABA" w14:textId="78C1BA12" w:rsidR="00341E34" w:rsidRPr="00D124D9" w:rsidRDefault="00341E34" w:rsidP="00341E34">
      <w:pPr>
        <w:pStyle w:val="Paragraphedeliste"/>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Il est possible de définir un accord c</w:t>
      </w:r>
      <w:r>
        <w:rPr>
          <w:rFonts w:ascii="Andes" w:hAnsi="Andes" w:cs="Arial"/>
          <w:sz w:val="22"/>
          <w:szCs w:val="22"/>
        </w:rPr>
        <w:t>adre et d’établir une liste de S</w:t>
      </w:r>
      <w:r w:rsidRPr="00D124D9">
        <w:rPr>
          <w:rFonts w:ascii="Andes" w:hAnsi="Andes" w:cs="Arial"/>
          <w:sz w:val="22"/>
          <w:szCs w:val="22"/>
        </w:rPr>
        <w:t xml:space="preserve">oumissionnaires auxquels on enverra périodiquement </w:t>
      </w:r>
      <w:r>
        <w:rPr>
          <w:rFonts w:ascii="Andes" w:hAnsi="Andes" w:cs="Arial"/>
          <w:sz w:val="22"/>
          <w:szCs w:val="22"/>
        </w:rPr>
        <w:t>des avis d’appel d’offres. Les S</w:t>
      </w:r>
      <w:r w:rsidRPr="00D124D9">
        <w:rPr>
          <w:rFonts w:ascii="Andes" w:hAnsi="Andes" w:cs="Arial"/>
          <w:sz w:val="22"/>
          <w:szCs w:val="22"/>
        </w:rPr>
        <w:t xml:space="preserve">oumissionnaires peuvent être invités à proposer un prix lié au cours du marché à une date antérieure à la date de l’expédition ou à la date de l’expédition. La période de validité des </w:t>
      </w:r>
      <w:r>
        <w:rPr>
          <w:rFonts w:ascii="Andes" w:hAnsi="Andes" w:cs="Arial"/>
          <w:sz w:val="22"/>
          <w:szCs w:val="22"/>
        </w:rPr>
        <w:t>O</w:t>
      </w:r>
      <w:r w:rsidRPr="00D124D9">
        <w:rPr>
          <w:rFonts w:ascii="Andes" w:hAnsi="Andes" w:cs="Arial"/>
          <w:sz w:val="22"/>
          <w:szCs w:val="22"/>
        </w:rPr>
        <w:t>ffres doit être aussi courte que possible. La monnaie</w:t>
      </w:r>
      <w:r w:rsidR="007A58F9">
        <w:rPr>
          <w:rFonts w:ascii="Andes" w:hAnsi="Andes" w:cs="Arial"/>
          <w:sz w:val="22"/>
          <w:szCs w:val="22"/>
        </w:rPr>
        <w:t>,</w:t>
      </w:r>
      <w:r w:rsidRPr="00D124D9">
        <w:rPr>
          <w:rFonts w:ascii="Andes" w:hAnsi="Andes" w:cs="Arial"/>
          <w:sz w:val="22"/>
          <w:szCs w:val="22"/>
        </w:rPr>
        <w:t xml:space="preserve"> dans laquelle les transactions portant sur ce</w:t>
      </w:r>
      <w:r w:rsidR="007A58F9">
        <w:rPr>
          <w:rFonts w:ascii="Andes" w:hAnsi="Andes" w:cs="Arial"/>
          <w:sz w:val="22"/>
          <w:szCs w:val="22"/>
        </w:rPr>
        <w:t>s matières</w:t>
      </w:r>
      <w:r w:rsidRPr="00D124D9">
        <w:rPr>
          <w:rFonts w:ascii="Andes" w:hAnsi="Andes" w:cs="Arial"/>
          <w:sz w:val="22"/>
          <w:szCs w:val="22"/>
        </w:rPr>
        <w:t xml:space="preserve"> sont généralement effectuées</w:t>
      </w:r>
      <w:r w:rsidR="007A58F9">
        <w:rPr>
          <w:rFonts w:ascii="Andes" w:hAnsi="Andes" w:cs="Arial"/>
          <w:sz w:val="22"/>
          <w:szCs w:val="22"/>
        </w:rPr>
        <w:t>,</w:t>
      </w:r>
      <w:r w:rsidRPr="00D124D9">
        <w:rPr>
          <w:rFonts w:ascii="Andes" w:hAnsi="Andes" w:cs="Arial"/>
          <w:sz w:val="22"/>
          <w:szCs w:val="22"/>
        </w:rPr>
        <w:t xml:space="preserve"> peut être choisie comme seule monnaie de l’offre et de règlement du marché.  Ce choix doit être indiqué dans le dossier d’</w:t>
      </w:r>
      <w:r w:rsidR="00595DDC">
        <w:rPr>
          <w:rFonts w:ascii="Andes" w:hAnsi="Andes" w:cs="Arial"/>
          <w:sz w:val="22"/>
          <w:szCs w:val="22"/>
        </w:rPr>
        <w:t>A</w:t>
      </w:r>
      <w:r w:rsidRPr="00D124D9">
        <w:rPr>
          <w:rFonts w:ascii="Andes" w:hAnsi="Andes" w:cs="Arial"/>
          <w:sz w:val="22"/>
          <w:szCs w:val="22"/>
        </w:rPr>
        <w:t>ppel d’</w:t>
      </w:r>
      <w:r w:rsidR="00595DDC">
        <w:rPr>
          <w:rFonts w:ascii="Andes" w:hAnsi="Andes" w:cs="Arial"/>
          <w:sz w:val="22"/>
          <w:szCs w:val="22"/>
        </w:rPr>
        <w:t>O</w:t>
      </w:r>
      <w:r w:rsidRPr="00D124D9">
        <w:rPr>
          <w:rFonts w:ascii="Andes" w:hAnsi="Andes" w:cs="Arial"/>
          <w:sz w:val="22"/>
          <w:szCs w:val="22"/>
        </w:rPr>
        <w:t xml:space="preserve">ffres. On utilisera pour ces marchés les dossiers types et les modèles de marché correspondant aux pratiques commerciales normales en la matière. </w:t>
      </w:r>
    </w:p>
    <w:p w14:paraId="00F12809" w14:textId="77777777" w:rsidR="00341E34" w:rsidRPr="00D124D9" w:rsidRDefault="00341E34" w:rsidP="00341E34">
      <w:pPr>
        <w:pStyle w:val="Paragraphedeliste"/>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On soumettra des entreprises présélectionnées/enregistrées aux enchères électroniques inversées si les c</w:t>
      </w:r>
      <w:r>
        <w:rPr>
          <w:rFonts w:ascii="Andes" w:hAnsi="Andes" w:cs="Arial"/>
          <w:sz w:val="22"/>
          <w:szCs w:val="22"/>
        </w:rPr>
        <w:t>lauses et c</w:t>
      </w:r>
      <w:r w:rsidRPr="00D124D9">
        <w:rPr>
          <w:rFonts w:ascii="Andes" w:hAnsi="Andes" w:cs="Arial"/>
          <w:sz w:val="22"/>
          <w:szCs w:val="22"/>
        </w:rPr>
        <w:t xml:space="preserve">onditions </w:t>
      </w:r>
      <w:r>
        <w:rPr>
          <w:rFonts w:ascii="Andes" w:hAnsi="Andes" w:cs="Arial"/>
          <w:sz w:val="22"/>
          <w:szCs w:val="22"/>
        </w:rPr>
        <w:t>contractuelles</w:t>
      </w:r>
      <w:r w:rsidRPr="00D124D9">
        <w:rPr>
          <w:rFonts w:ascii="Andes" w:hAnsi="Andes" w:cs="Arial"/>
          <w:sz w:val="22"/>
          <w:szCs w:val="22"/>
        </w:rPr>
        <w:t xml:space="preserve"> peuvent être spécifiées de façon explicite et les entreprises </w:t>
      </w:r>
      <w:r>
        <w:rPr>
          <w:rFonts w:ascii="Andes" w:hAnsi="Andes" w:cs="Arial"/>
          <w:sz w:val="22"/>
          <w:szCs w:val="22"/>
        </w:rPr>
        <w:t>mises</w:t>
      </w:r>
      <w:r w:rsidRPr="00D124D9">
        <w:rPr>
          <w:rFonts w:ascii="Andes" w:hAnsi="Andes" w:cs="Arial"/>
          <w:sz w:val="22"/>
          <w:szCs w:val="22"/>
        </w:rPr>
        <w:t xml:space="preserve"> véritablement </w:t>
      </w:r>
      <w:r>
        <w:rPr>
          <w:rFonts w:ascii="Andes" w:hAnsi="Andes" w:cs="Arial"/>
          <w:sz w:val="22"/>
          <w:szCs w:val="22"/>
        </w:rPr>
        <w:t>e</w:t>
      </w:r>
      <w:r w:rsidRPr="00D124D9">
        <w:rPr>
          <w:rFonts w:ascii="Andes" w:hAnsi="Andes" w:cs="Arial"/>
          <w:sz w:val="22"/>
          <w:szCs w:val="22"/>
        </w:rPr>
        <w:t>n concurrence.</w:t>
      </w:r>
    </w:p>
    <w:p w14:paraId="3E999B6A" w14:textId="4D146417" w:rsidR="00341E34" w:rsidRPr="00D124D9" w:rsidRDefault="007A58F9" w:rsidP="00341E34">
      <w:pPr>
        <w:pStyle w:val="Paragraphedeliste"/>
        <w:spacing w:before="240" w:line="240" w:lineRule="auto"/>
        <w:contextualSpacing w:val="0"/>
        <w:rPr>
          <w:rFonts w:ascii="Andes" w:hAnsi="Andes" w:cs="Arial"/>
          <w:b/>
          <w:color w:val="000000" w:themeColor="text1"/>
          <w:sz w:val="28"/>
          <w:szCs w:val="28"/>
        </w:rPr>
      </w:pPr>
      <w:r>
        <w:rPr>
          <w:rFonts w:ascii="Andes" w:hAnsi="Andes" w:cs="Arial"/>
          <w:b/>
          <w:color w:val="000000" w:themeColor="text1"/>
          <w:sz w:val="28"/>
          <w:szCs w:val="28"/>
        </w:rPr>
        <w:t>Participation communautaire</w:t>
      </w:r>
      <w:r w:rsidR="002E5975">
        <w:rPr>
          <w:rFonts w:ascii="Andes" w:hAnsi="Andes" w:cs="Arial"/>
          <w:b/>
          <w:color w:val="000000" w:themeColor="text1"/>
          <w:sz w:val="28"/>
          <w:szCs w:val="28"/>
        </w:rPr>
        <w:t xml:space="preserve"> au </w:t>
      </w:r>
      <w:r w:rsidR="00E74B91">
        <w:rPr>
          <w:rFonts w:ascii="Andes" w:hAnsi="Andes" w:cs="Arial"/>
          <w:b/>
          <w:color w:val="000000" w:themeColor="text1"/>
          <w:sz w:val="28"/>
          <w:szCs w:val="28"/>
        </w:rPr>
        <w:t>d</w:t>
      </w:r>
      <w:r w:rsidR="002E5975">
        <w:rPr>
          <w:rFonts w:ascii="Andes" w:hAnsi="Andes" w:cs="Arial"/>
          <w:b/>
          <w:color w:val="000000" w:themeColor="text1"/>
          <w:sz w:val="28"/>
          <w:szCs w:val="28"/>
        </w:rPr>
        <w:t>éveloppement</w:t>
      </w:r>
    </w:p>
    <w:p w14:paraId="25EC098D" w14:textId="15576F12" w:rsidR="00341E34" w:rsidRPr="00D124D9" w:rsidRDefault="00341E34" w:rsidP="00341E34">
      <w:pPr>
        <w:pStyle w:val="Paragraphedeliste"/>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Les projets de </w:t>
      </w:r>
      <w:r w:rsidR="007A58F9">
        <w:rPr>
          <w:rFonts w:ascii="Andes" w:hAnsi="Andes" w:cs="Arial"/>
          <w:sz w:val="22"/>
          <w:szCs w:val="22"/>
        </w:rPr>
        <w:t>Participation communautaire</w:t>
      </w:r>
      <w:r w:rsidR="002E5975">
        <w:rPr>
          <w:rFonts w:ascii="Andes" w:hAnsi="Andes" w:cs="Arial"/>
          <w:sz w:val="22"/>
          <w:szCs w:val="22"/>
        </w:rPr>
        <w:t xml:space="preserve"> au développement</w:t>
      </w:r>
      <w:r w:rsidRPr="00D124D9">
        <w:rPr>
          <w:rFonts w:ascii="Andes" w:hAnsi="Andes" w:cs="Arial"/>
          <w:sz w:val="22"/>
          <w:szCs w:val="22"/>
        </w:rPr>
        <w:t xml:space="preserve"> (</w:t>
      </w:r>
      <w:r w:rsidR="007A58F9">
        <w:rPr>
          <w:rFonts w:ascii="Andes" w:hAnsi="Andes" w:cs="Arial"/>
          <w:sz w:val="22"/>
          <w:szCs w:val="22"/>
        </w:rPr>
        <w:t>CDD pour son sigle en Anglais</w:t>
      </w:r>
      <w:r w:rsidRPr="00D124D9">
        <w:rPr>
          <w:rFonts w:ascii="Andes" w:hAnsi="Andes" w:cs="Arial"/>
          <w:sz w:val="22"/>
          <w:szCs w:val="22"/>
        </w:rPr>
        <w:t>) portent généralement sur</w:t>
      </w:r>
      <w:r>
        <w:rPr>
          <w:rFonts w:ascii="Andes" w:hAnsi="Andes" w:cs="Arial"/>
          <w:sz w:val="22"/>
          <w:szCs w:val="22"/>
        </w:rPr>
        <w:t xml:space="preserve"> un grand nombre de marchés de Fournitures et de contrats de S</w:t>
      </w:r>
      <w:r w:rsidRPr="00D124D9">
        <w:rPr>
          <w:rFonts w:ascii="Andes" w:hAnsi="Andes" w:cs="Arial"/>
          <w:sz w:val="22"/>
          <w:szCs w:val="22"/>
        </w:rPr>
        <w:t xml:space="preserve">ervices </w:t>
      </w:r>
      <w:r>
        <w:rPr>
          <w:rFonts w:ascii="Andes" w:hAnsi="Andes" w:cs="Arial"/>
          <w:sz w:val="22"/>
          <w:szCs w:val="22"/>
        </w:rPr>
        <w:t>Autres que d</w:t>
      </w:r>
      <w:r w:rsidRPr="00D124D9">
        <w:rPr>
          <w:rFonts w:ascii="Andes" w:hAnsi="Andes" w:cs="Arial"/>
          <w:sz w:val="22"/>
          <w:szCs w:val="22"/>
        </w:rPr>
        <w:t xml:space="preserve">es </w:t>
      </w:r>
      <w:r>
        <w:rPr>
          <w:rFonts w:ascii="Andes" w:hAnsi="Andes" w:cs="Arial"/>
          <w:sz w:val="22"/>
          <w:szCs w:val="22"/>
        </w:rPr>
        <w:t>Services de C</w:t>
      </w:r>
      <w:r w:rsidRPr="00D124D9">
        <w:rPr>
          <w:rFonts w:ascii="Andes" w:hAnsi="Andes" w:cs="Arial"/>
          <w:sz w:val="22"/>
          <w:szCs w:val="22"/>
        </w:rPr>
        <w:t>onsultants</w:t>
      </w:r>
      <w:r>
        <w:rPr>
          <w:rFonts w:ascii="Andes" w:hAnsi="Andes" w:cs="Arial"/>
          <w:sz w:val="22"/>
          <w:szCs w:val="22"/>
        </w:rPr>
        <w:t xml:space="preserve"> et/ou de Services de C</w:t>
      </w:r>
      <w:r w:rsidRPr="00D124D9">
        <w:rPr>
          <w:rFonts w:ascii="Andes" w:hAnsi="Andes" w:cs="Arial"/>
          <w:sz w:val="22"/>
          <w:szCs w:val="22"/>
        </w:rPr>
        <w:t xml:space="preserve">onsultants à faible montant, et sur un grand nombre de petits travaux localisés dans des zones </w:t>
      </w:r>
      <w:r>
        <w:rPr>
          <w:rFonts w:ascii="Andes" w:hAnsi="Andes" w:cs="Arial"/>
          <w:sz w:val="22"/>
          <w:szCs w:val="22"/>
        </w:rPr>
        <w:t>difficiles d’accès</w:t>
      </w:r>
      <w:r w:rsidRPr="00D124D9">
        <w:rPr>
          <w:rFonts w:ascii="Andes" w:hAnsi="Andes" w:cs="Arial"/>
          <w:sz w:val="22"/>
          <w:szCs w:val="22"/>
        </w:rPr>
        <w:t xml:space="preserve">. Les procédures de passation de marché généralement utilisées dans ces cas sont la demande de </w:t>
      </w:r>
      <w:r w:rsidR="007A58F9">
        <w:rPr>
          <w:rFonts w:ascii="Andes" w:hAnsi="Andes" w:cs="Arial"/>
          <w:sz w:val="22"/>
          <w:szCs w:val="22"/>
        </w:rPr>
        <w:t>cotation</w:t>
      </w:r>
      <w:r w:rsidR="007A58F9" w:rsidRPr="00D124D9">
        <w:rPr>
          <w:rFonts w:ascii="Calibri" w:hAnsi="Calibri" w:cs="Calibri"/>
          <w:sz w:val="22"/>
          <w:szCs w:val="22"/>
        </w:rPr>
        <w:t> </w:t>
      </w:r>
      <w:r w:rsidRPr="00D124D9">
        <w:rPr>
          <w:rFonts w:ascii="Andes" w:hAnsi="Andes" w:cs="Arial"/>
          <w:sz w:val="22"/>
          <w:szCs w:val="22"/>
        </w:rPr>
        <w:t xml:space="preserve">; l’appel </w:t>
      </w:r>
      <w:r>
        <w:rPr>
          <w:rFonts w:ascii="Andes" w:hAnsi="Andes" w:cs="Arial"/>
          <w:sz w:val="22"/>
          <w:szCs w:val="22"/>
        </w:rPr>
        <w:t>d’offres national invitant les S</w:t>
      </w:r>
      <w:r w:rsidRPr="00D124D9">
        <w:rPr>
          <w:rFonts w:ascii="Andes" w:hAnsi="Andes" w:cs="Arial"/>
          <w:sz w:val="22"/>
          <w:szCs w:val="22"/>
        </w:rPr>
        <w:t>oumissionnaires à</w:t>
      </w:r>
      <w:r>
        <w:rPr>
          <w:rFonts w:ascii="Andes" w:hAnsi="Andes" w:cs="Arial"/>
          <w:sz w:val="22"/>
          <w:szCs w:val="22"/>
        </w:rPr>
        <w:t xml:space="preserve"> concourir pour des marchés de Fournitures et de T</w:t>
      </w:r>
      <w:r w:rsidRPr="00D124D9">
        <w:rPr>
          <w:rFonts w:ascii="Andes" w:hAnsi="Andes" w:cs="Arial"/>
          <w:sz w:val="22"/>
          <w:szCs w:val="22"/>
        </w:rPr>
        <w:t>ravaux localisés à l’intérieur et autour des communautés locales</w:t>
      </w:r>
      <w:r w:rsidRPr="00D124D9">
        <w:rPr>
          <w:rFonts w:ascii="Calibri" w:hAnsi="Calibri" w:cs="Calibri"/>
          <w:sz w:val="22"/>
          <w:szCs w:val="22"/>
        </w:rPr>
        <w:t> </w:t>
      </w:r>
      <w:r w:rsidRPr="00D124D9">
        <w:rPr>
          <w:rFonts w:ascii="Andes" w:hAnsi="Andes" w:cs="Arial"/>
          <w:sz w:val="22"/>
          <w:szCs w:val="22"/>
        </w:rPr>
        <w:t xml:space="preserve">; l’entente directe pour </w:t>
      </w:r>
      <w:r>
        <w:rPr>
          <w:rFonts w:ascii="Andes" w:hAnsi="Andes" w:cs="Arial"/>
          <w:sz w:val="22"/>
          <w:szCs w:val="22"/>
        </w:rPr>
        <w:t>des marchés de Fournitures, T</w:t>
      </w:r>
      <w:r w:rsidRPr="00D124D9">
        <w:rPr>
          <w:rFonts w:ascii="Andes" w:hAnsi="Andes" w:cs="Arial"/>
          <w:sz w:val="22"/>
          <w:szCs w:val="22"/>
        </w:rPr>
        <w:t xml:space="preserve">ravaux et </w:t>
      </w:r>
      <w:r>
        <w:rPr>
          <w:rFonts w:ascii="Andes" w:hAnsi="Andes" w:cs="Arial"/>
          <w:sz w:val="22"/>
          <w:szCs w:val="22"/>
        </w:rPr>
        <w:t>S</w:t>
      </w:r>
      <w:r w:rsidRPr="00D124D9">
        <w:rPr>
          <w:rFonts w:ascii="Andes" w:hAnsi="Andes" w:cs="Arial"/>
          <w:sz w:val="22"/>
          <w:szCs w:val="22"/>
        </w:rPr>
        <w:t xml:space="preserve">ervices </w:t>
      </w:r>
      <w:r>
        <w:rPr>
          <w:rFonts w:ascii="Andes" w:hAnsi="Andes" w:cs="Arial"/>
          <w:sz w:val="22"/>
          <w:szCs w:val="22"/>
        </w:rPr>
        <w:t>Autres que des Services de C</w:t>
      </w:r>
      <w:r w:rsidRPr="00D124D9">
        <w:rPr>
          <w:rFonts w:ascii="Andes" w:hAnsi="Andes" w:cs="Arial"/>
          <w:sz w:val="22"/>
          <w:szCs w:val="22"/>
        </w:rPr>
        <w:t>onsultants à faible montant</w:t>
      </w:r>
      <w:r w:rsidRPr="00D124D9">
        <w:rPr>
          <w:rFonts w:ascii="Calibri" w:hAnsi="Calibri" w:cs="Calibri"/>
          <w:sz w:val="22"/>
          <w:szCs w:val="22"/>
        </w:rPr>
        <w:t> </w:t>
      </w:r>
      <w:r w:rsidRPr="00D124D9">
        <w:rPr>
          <w:rFonts w:ascii="Andes" w:hAnsi="Andes" w:cs="Arial"/>
          <w:sz w:val="22"/>
          <w:szCs w:val="22"/>
        </w:rPr>
        <w:t xml:space="preserve">; et le recours à la main d’œuvre et aux ressources locales.  </w:t>
      </w:r>
    </w:p>
    <w:p w14:paraId="6B373592" w14:textId="77777777" w:rsidR="00341E34" w:rsidRPr="00D124D9" w:rsidRDefault="00341E34" w:rsidP="00341E34">
      <w:pPr>
        <w:pStyle w:val="Paragraphedeliste"/>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Les procédures envisagées et les activités devant être exécutées dans le cadre du projet par la participation </w:t>
      </w:r>
      <w:r>
        <w:rPr>
          <w:rFonts w:ascii="Andes" w:hAnsi="Andes" w:cs="Arial"/>
          <w:sz w:val="22"/>
          <w:szCs w:val="22"/>
        </w:rPr>
        <w:t>des populations locales</w:t>
      </w:r>
      <w:r w:rsidRPr="00D124D9">
        <w:rPr>
          <w:rFonts w:ascii="Andes" w:hAnsi="Andes" w:cs="Arial"/>
          <w:sz w:val="22"/>
          <w:szCs w:val="22"/>
        </w:rPr>
        <w:t xml:space="preserve"> sont mises en évidence dans l’Accord juridique et spécifiées davantage dans le document d’exécution du projet pertinent (manuel) approuvé par la Banque et </w:t>
      </w:r>
      <w:r>
        <w:rPr>
          <w:rFonts w:ascii="Andes" w:hAnsi="Andes" w:cs="Arial"/>
          <w:sz w:val="22"/>
          <w:szCs w:val="22"/>
        </w:rPr>
        <w:t>rendu public par</w:t>
      </w:r>
      <w:r w:rsidRPr="00D124D9">
        <w:rPr>
          <w:rFonts w:ascii="Andes" w:hAnsi="Andes" w:cs="Arial"/>
          <w:sz w:val="22"/>
          <w:szCs w:val="22"/>
        </w:rPr>
        <w:t xml:space="preserve"> l’Emprunteur.</w:t>
      </w:r>
    </w:p>
    <w:p w14:paraId="400F0997" w14:textId="77777777" w:rsidR="00341E34" w:rsidRPr="00D124D9" w:rsidRDefault="00341E34" w:rsidP="00341E34">
      <w:pPr>
        <w:pStyle w:val="Paragraphedeliste"/>
        <w:numPr>
          <w:ilvl w:val="0"/>
          <w:numId w:val="225"/>
        </w:numPr>
        <w:spacing w:before="240" w:line="240" w:lineRule="auto"/>
        <w:ind w:left="634" w:hanging="634"/>
        <w:contextualSpacing w:val="0"/>
        <w:rPr>
          <w:rFonts w:ascii="Andes" w:eastAsiaTheme="majorEastAsia" w:hAnsi="Andes"/>
          <w:b/>
          <w:color w:val="C45911"/>
          <w:sz w:val="32"/>
          <w:szCs w:val="32"/>
        </w:rPr>
      </w:pPr>
      <w:bookmarkStart w:id="3582" w:name="_Toc453171009"/>
      <w:r w:rsidRPr="00D124D9">
        <w:rPr>
          <w:rFonts w:ascii="Andes" w:eastAsiaTheme="majorEastAsia" w:hAnsi="Andes"/>
          <w:b/>
          <w:color w:val="C45911"/>
          <w:sz w:val="32"/>
          <w:szCs w:val="32"/>
        </w:rPr>
        <w:lastRenderedPageBreak/>
        <w:t>Services</w:t>
      </w:r>
      <w:bookmarkEnd w:id="3582"/>
      <w:r>
        <w:rPr>
          <w:rFonts w:ascii="Andes" w:eastAsiaTheme="majorEastAsia" w:hAnsi="Andes"/>
          <w:b/>
          <w:color w:val="C45911"/>
          <w:sz w:val="32"/>
          <w:szCs w:val="32"/>
        </w:rPr>
        <w:t xml:space="preserve"> de C</w:t>
      </w:r>
      <w:r w:rsidRPr="00D124D9">
        <w:rPr>
          <w:rFonts w:ascii="Andes" w:eastAsiaTheme="majorEastAsia" w:hAnsi="Andes"/>
          <w:b/>
          <w:color w:val="C45911"/>
          <w:sz w:val="32"/>
          <w:szCs w:val="32"/>
        </w:rPr>
        <w:t>onsultants</w:t>
      </w:r>
    </w:p>
    <w:p w14:paraId="1BEFC0E5" w14:textId="77777777" w:rsidR="00341E34" w:rsidRPr="00D124D9" w:rsidRDefault="00341E34" w:rsidP="00341E34">
      <w:pPr>
        <w:pStyle w:val="Paragraphedeliste"/>
        <w:spacing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 xml:space="preserve">Préparation des listes </w:t>
      </w:r>
      <w:r>
        <w:rPr>
          <w:rFonts w:ascii="Andes" w:hAnsi="Andes" w:cs="Arial"/>
          <w:b/>
          <w:color w:val="000000" w:themeColor="text1"/>
          <w:sz w:val="28"/>
          <w:szCs w:val="28"/>
        </w:rPr>
        <w:t>de Consultants Présélectionnés</w:t>
      </w:r>
      <w:r w:rsidRPr="00D124D9">
        <w:rPr>
          <w:rFonts w:ascii="Andes" w:hAnsi="Andes" w:cs="Arial"/>
          <w:b/>
          <w:color w:val="000000" w:themeColor="text1"/>
          <w:sz w:val="28"/>
          <w:szCs w:val="28"/>
        </w:rPr>
        <w:t xml:space="preserve"> </w:t>
      </w:r>
    </w:p>
    <w:p w14:paraId="57C7DF44" w14:textId="77777777" w:rsidR="00341E34" w:rsidRPr="00D124D9" w:rsidRDefault="00341E34" w:rsidP="00341E34">
      <w:pPr>
        <w:pStyle w:val="Paragraphedeliste"/>
        <w:numPr>
          <w:ilvl w:val="1"/>
          <w:numId w:val="225"/>
        </w:numPr>
        <w:spacing w:before="0" w:line="240" w:lineRule="auto"/>
        <w:ind w:left="630" w:hanging="630"/>
        <w:contextualSpacing w:val="0"/>
        <w:rPr>
          <w:rFonts w:ascii="Andes" w:hAnsi="Andes" w:cs="Arial"/>
          <w:sz w:val="22"/>
          <w:szCs w:val="22"/>
        </w:rPr>
      </w:pPr>
      <w:r>
        <w:rPr>
          <w:rFonts w:ascii="Andes" w:hAnsi="Andes" w:cs="Arial"/>
          <w:sz w:val="22"/>
          <w:szCs w:val="22"/>
        </w:rPr>
        <w:t>La procédure de P</w:t>
      </w:r>
      <w:r w:rsidRPr="00D124D9">
        <w:rPr>
          <w:rFonts w:ascii="Andes" w:hAnsi="Andes" w:cs="Arial"/>
          <w:sz w:val="22"/>
          <w:szCs w:val="22"/>
        </w:rPr>
        <w:t>résélection comprend les étapes suivantes que l’Emprunteur doit suivre</w:t>
      </w:r>
      <w:r w:rsidRPr="00D124D9">
        <w:rPr>
          <w:rFonts w:ascii="Calibri" w:hAnsi="Calibri" w:cs="Arial"/>
          <w:sz w:val="22"/>
          <w:szCs w:val="22"/>
        </w:rPr>
        <w:t> </w:t>
      </w:r>
      <w:r w:rsidRPr="00D124D9">
        <w:rPr>
          <w:rFonts w:ascii="Andes" w:hAnsi="Andes" w:cs="Arial"/>
          <w:sz w:val="22"/>
          <w:szCs w:val="22"/>
        </w:rPr>
        <w:t>:</w:t>
      </w:r>
    </w:p>
    <w:p w14:paraId="29CD17E2" w14:textId="564CB066" w:rsidR="00341E34" w:rsidRPr="00D124D9" w:rsidRDefault="00341E34" w:rsidP="00341E34">
      <w:pPr>
        <w:pStyle w:val="Paragraphedeliste"/>
        <w:numPr>
          <w:ilvl w:val="0"/>
          <w:numId w:val="232"/>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 xml:space="preserve">Termes </w:t>
      </w:r>
      <w:r>
        <w:rPr>
          <w:rFonts w:ascii="Andes" w:eastAsiaTheme="minorHAnsi" w:hAnsi="Andes" w:cs="Arial"/>
          <w:b/>
          <w:color w:val="000000"/>
          <w:sz w:val="22"/>
          <w:szCs w:val="22"/>
        </w:rPr>
        <w:t>de R</w:t>
      </w:r>
      <w:r w:rsidRPr="00D124D9">
        <w:rPr>
          <w:rFonts w:ascii="Andes" w:eastAsiaTheme="minorHAnsi" w:hAnsi="Andes" w:cs="Arial"/>
          <w:b/>
          <w:color w:val="000000"/>
          <w:sz w:val="22"/>
          <w:szCs w:val="22"/>
        </w:rPr>
        <w:t>éférence</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préparer les T</w:t>
      </w:r>
      <w:r>
        <w:rPr>
          <w:rFonts w:ascii="Andes" w:eastAsiaTheme="minorHAnsi" w:hAnsi="Andes" w:cs="Arial"/>
          <w:color w:val="000000"/>
          <w:sz w:val="22"/>
          <w:szCs w:val="22"/>
        </w:rPr>
        <w:t>ermes de Référence</w:t>
      </w:r>
      <w:r w:rsidRPr="00D124D9">
        <w:rPr>
          <w:rFonts w:ascii="Andes" w:eastAsiaTheme="minorHAnsi" w:hAnsi="Andes" w:cs="Arial"/>
          <w:color w:val="000000"/>
          <w:sz w:val="22"/>
          <w:szCs w:val="22"/>
        </w:rPr>
        <w:t xml:space="preserve"> complets pour la </w:t>
      </w:r>
      <w:r w:rsidR="002911A5">
        <w:rPr>
          <w:rFonts w:ascii="Andes" w:eastAsiaTheme="minorHAnsi" w:hAnsi="Andes" w:cs="Arial"/>
          <w:color w:val="000000"/>
          <w:sz w:val="22"/>
          <w:szCs w:val="22"/>
        </w:rPr>
        <w:t>tâche à effectuer</w:t>
      </w:r>
      <w:r w:rsidRPr="00D124D9">
        <w:rPr>
          <w:rFonts w:ascii="Andes" w:eastAsiaTheme="minorHAnsi" w:hAnsi="Andes" w:cs="Arial"/>
          <w:color w:val="000000"/>
          <w:sz w:val="22"/>
          <w:szCs w:val="22"/>
        </w:rPr>
        <w:t xml:space="preserve">. Ils doivent définir clairement les objectifs, </w:t>
      </w:r>
      <w:r>
        <w:rPr>
          <w:rFonts w:ascii="Andes" w:eastAsiaTheme="minorHAnsi" w:hAnsi="Andes" w:cs="Arial"/>
          <w:color w:val="000000"/>
          <w:sz w:val="22"/>
          <w:szCs w:val="22"/>
        </w:rPr>
        <w:t xml:space="preserve">les </w:t>
      </w:r>
      <w:r w:rsidRPr="00D124D9">
        <w:rPr>
          <w:rFonts w:ascii="Andes" w:eastAsiaTheme="minorHAnsi" w:hAnsi="Andes" w:cs="Arial"/>
          <w:color w:val="000000"/>
          <w:sz w:val="22"/>
          <w:szCs w:val="22"/>
        </w:rPr>
        <w:t xml:space="preserve">buts et </w:t>
      </w:r>
      <w:r>
        <w:rPr>
          <w:rFonts w:ascii="Andes" w:eastAsiaTheme="minorHAnsi" w:hAnsi="Andes" w:cs="Arial"/>
          <w:color w:val="000000"/>
          <w:sz w:val="22"/>
          <w:szCs w:val="22"/>
        </w:rPr>
        <w:t xml:space="preserve">la </w:t>
      </w:r>
      <w:r w:rsidRPr="00D124D9">
        <w:rPr>
          <w:rFonts w:ascii="Andes" w:eastAsiaTheme="minorHAnsi" w:hAnsi="Andes" w:cs="Arial"/>
          <w:color w:val="000000"/>
          <w:sz w:val="22"/>
          <w:szCs w:val="22"/>
        </w:rPr>
        <w:t xml:space="preserve">portée de la mission, </w:t>
      </w:r>
      <w:proofErr w:type="gramStart"/>
      <w:r w:rsidRPr="00D124D9">
        <w:rPr>
          <w:rFonts w:ascii="Andes" w:eastAsiaTheme="minorHAnsi" w:hAnsi="Andes" w:cs="Arial"/>
          <w:color w:val="000000"/>
          <w:sz w:val="22"/>
          <w:szCs w:val="22"/>
        </w:rPr>
        <w:t>donner</w:t>
      </w:r>
      <w:proofErr w:type="gramEnd"/>
      <w:r w:rsidRPr="00D124D9">
        <w:rPr>
          <w:rFonts w:ascii="Andes" w:eastAsiaTheme="minorHAnsi" w:hAnsi="Andes" w:cs="Arial"/>
          <w:color w:val="000000"/>
          <w:sz w:val="22"/>
          <w:szCs w:val="22"/>
        </w:rPr>
        <w:t xml:space="preserve"> des informations générales destinées à faciliter la préparation des Propositions et être </w:t>
      </w:r>
      <w:r>
        <w:rPr>
          <w:rFonts w:ascii="Andes" w:eastAsiaTheme="minorHAnsi" w:hAnsi="Andes" w:cs="Arial"/>
          <w:color w:val="000000"/>
          <w:sz w:val="22"/>
          <w:szCs w:val="22"/>
        </w:rPr>
        <w:t>proportionné</w:t>
      </w:r>
      <w:r w:rsidRPr="00D124D9">
        <w:rPr>
          <w:rFonts w:ascii="Andes" w:eastAsiaTheme="minorHAnsi" w:hAnsi="Andes" w:cs="Arial"/>
          <w:color w:val="000000"/>
          <w:sz w:val="22"/>
          <w:szCs w:val="22"/>
        </w:rPr>
        <w:t>s au budget ;</w:t>
      </w:r>
    </w:p>
    <w:p w14:paraId="3C1A0D52" w14:textId="77777777" w:rsidR="00341E34" w:rsidRPr="00341B38" w:rsidRDefault="00341E34" w:rsidP="00341E34">
      <w:pPr>
        <w:pStyle w:val="Paragraphedeliste"/>
        <w:numPr>
          <w:ilvl w:val="0"/>
          <w:numId w:val="232"/>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Appel à manifestation d’intérêt</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prépare</w:t>
      </w:r>
      <w:r>
        <w:rPr>
          <w:rFonts w:ascii="Andes" w:eastAsiaTheme="minorHAnsi" w:hAnsi="Andes" w:cs="Arial"/>
          <w:color w:val="000000"/>
          <w:sz w:val="22"/>
          <w:szCs w:val="22"/>
        </w:rPr>
        <w:t>r l’Appel à Manifestation d’I</w:t>
      </w:r>
      <w:r w:rsidRPr="00D124D9">
        <w:rPr>
          <w:rFonts w:ascii="Andes" w:eastAsiaTheme="minorHAnsi" w:hAnsi="Andes" w:cs="Arial"/>
          <w:color w:val="000000"/>
          <w:sz w:val="22"/>
          <w:szCs w:val="22"/>
        </w:rPr>
        <w:t xml:space="preserve">ntérêt (AMI) suivant le modèle publié sur le site externe de la Banque et conformément au paragraphe 5.25 </w:t>
      </w:r>
      <w:r w:rsidRPr="00341B38">
        <w:rPr>
          <w:rFonts w:ascii="Andes" w:eastAsiaTheme="minorHAnsi" w:hAnsi="Andes" w:cs="Arial"/>
          <w:color w:val="000000"/>
          <w:sz w:val="22"/>
          <w:szCs w:val="22"/>
        </w:rPr>
        <w:t>(Dossiers Types de Passation des Marchés). L’AMI comprend les Termes de Référence complets</w:t>
      </w:r>
      <w:r w:rsidRPr="00341B38">
        <w:rPr>
          <w:rFonts w:ascii="Calibri" w:eastAsiaTheme="minorHAnsi" w:hAnsi="Calibri" w:cs="Arial"/>
          <w:color w:val="000000"/>
          <w:sz w:val="22"/>
          <w:szCs w:val="22"/>
        </w:rPr>
        <w:t> ;</w:t>
      </w:r>
    </w:p>
    <w:p w14:paraId="4E7DE2EC" w14:textId="77777777" w:rsidR="00341E34" w:rsidRPr="00341B38" w:rsidRDefault="00341E34" w:rsidP="00341E34">
      <w:pPr>
        <w:pStyle w:val="Paragraphedeliste"/>
        <w:numPr>
          <w:ilvl w:val="0"/>
          <w:numId w:val="232"/>
        </w:numPr>
        <w:spacing w:before="0" w:line="240" w:lineRule="auto"/>
        <w:contextualSpacing w:val="0"/>
        <w:rPr>
          <w:rFonts w:ascii="Andes" w:eastAsiaTheme="minorHAnsi" w:hAnsi="Andes" w:cs="Arial"/>
          <w:color w:val="000000"/>
          <w:sz w:val="22"/>
          <w:szCs w:val="22"/>
        </w:rPr>
      </w:pPr>
      <w:r w:rsidRPr="00341B38">
        <w:rPr>
          <w:rFonts w:ascii="Andes" w:eastAsiaTheme="minorHAnsi" w:hAnsi="Andes" w:cs="Arial"/>
          <w:b/>
          <w:color w:val="000000"/>
          <w:sz w:val="22"/>
          <w:szCs w:val="22"/>
        </w:rPr>
        <w:t>Publication de l’AMI</w:t>
      </w:r>
      <w:r w:rsidRPr="00341B38">
        <w:rPr>
          <w:rFonts w:ascii="Calibri" w:eastAsiaTheme="minorHAnsi" w:hAnsi="Calibri" w:cs="Arial"/>
          <w:b/>
          <w:color w:val="000000"/>
          <w:sz w:val="22"/>
          <w:szCs w:val="22"/>
        </w:rPr>
        <w:t> </w:t>
      </w:r>
      <w:r w:rsidRPr="00341B38">
        <w:rPr>
          <w:rFonts w:ascii="Andes" w:eastAsiaTheme="minorHAnsi" w:hAnsi="Andes" w:cs="Arial"/>
          <w:color w:val="000000"/>
          <w:sz w:val="22"/>
          <w:szCs w:val="22"/>
        </w:rPr>
        <w:t>: lorsque les Termes de Référence complets ont été rédigés et sont prêts pour la diffusion, ils sont mis à la disposition des entreprises intéressées par la publication de l’AMI en application des paragraphes 5.22 à 5.24 (Avis de passation de marchés)</w:t>
      </w:r>
      <w:r w:rsidRPr="00341B38">
        <w:rPr>
          <w:rFonts w:ascii="Calibri" w:eastAsiaTheme="minorHAnsi" w:hAnsi="Calibri" w:cs="Arial"/>
          <w:color w:val="000000"/>
          <w:sz w:val="22"/>
          <w:szCs w:val="22"/>
        </w:rPr>
        <w:t> </w:t>
      </w:r>
      <w:r w:rsidRPr="00341B38">
        <w:rPr>
          <w:rFonts w:ascii="Andes" w:eastAsiaTheme="minorHAnsi" w:hAnsi="Andes" w:cs="Arial"/>
          <w:color w:val="000000"/>
          <w:sz w:val="22"/>
          <w:szCs w:val="22"/>
        </w:rPr>
        <w:t>;</w:t>
      </w:r>
    </w:p>
    <w:p w14:paraId="4E77534C" w14:textId="24AE6DFD" w:rsidR="00341E34" w:rsidRPr="00D124D9" w:rsidRDefault="00341E34" w:rsidP="00341E34">
      <w:pPr>
        <w:pStyle w:val="Paragraphedeliste"/>
        <w:numPr>
          <w:ilvl w:val="0"/>
          <w:numId w:val="232"/>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 xml:space="preserve">Éclaircissements et </w:t>
      </w:r>
      <w:r w:rsidR="004B656A" w:rsidRPr="00D124D9">
        <w:rPr>
          <w:rFonts w:ascii="Andes" w:eastAsiaTheme="minorHAnsi" w:hAnsi="Andes" w:cs="Arial"/>
          <w:b/>
          <w:color w:val="000000"/>
          <w:sz w:val="22"/>
          <w:szCs w:val="22"/>
        </w:rPr>
        <w:t>a</w:t>
      </w:r>
      <w:r w:rsidR="004B656A">
        <w:rPr>
          <w:rFonts w:ascii="Andes" w:eastAsiaTheme="minorHAnsi" w:hAnsi="Andes" w:cs="Arial"/>
          <w:b/>
          <w:color w:val="000000"/>
          <w:sz w:val="22"/>
          <w:szCs w:val="22"/>
        </w:rPr>
        <w:t>dditif</w:t>
      </w:r>
      <w:r w:rsidR="004B656A" w:rsidRPr="00D124D9">
        <w:rPr>
          <w:rFonts w:ascii="Andes" w:eastAsiaTheme="minorHAnsi" w:hAnsi="Andes" w:cs="Arial"/>
          <w:b/>
          <w:color w:val="000000"/>
          <w:sz w:val="22"/>
          <w:szCs w:val="22"/>
        </w:rPr>
        <w:t>s</w:t>
      </w:r>
      <w:r w:rsidR="004B656A"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ils se font par écrit</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52C36319" w14:textId="77777777" w:rsidR="00341E34" w:rsidRPr="00D124D9" w:rsidRDefault="00341E34" w:rsidP="00341E34">
      <w:pPr>
        <w:pStyle w:val="Paragraphedeliste"/>
        <w:numPr>
          <w:ilvl w:val="0"/>
          <w:numId w:val="232"/>
        </w:numPr>
        <w:spacing w:before="0" w:line="240" w:lineRule="auto"/>
        <w:contextualSpacing w:val="0"/>
        <w:rPr>
          <w:rFonts w:ascii="Andes" w:eastAsiaTheme="minorHAnsi" w:hAnsi="Andes" w:cs="Arial"/>
          <w:color w:val="000000"/>
          <w:sz w:val="22"/>
          <w:szCs w:val="22"/>
        </w:rPr>
      </w:pPr>
      <w:r>
        <w:rPr>
          <w:rFonts w:ascii="Andes" w:eastAsiaTheme="minorHAnsi" w:hAnsi="Andes" w:cs="Arial"/>
          <w:b/>
          <w:color w:val="000000"/>
          <w:sz w:val="22"/>
          <w:szCs w:val="22"/>
        </w:rPr>
        <w:t xml:space="preserve">Remise </w:t>
      </w:r>
      <w:r w:rsidRPr="00D124D9">
        <w:rPr>
          <w:rFonts w:ascii="Andes" w:eastAsiaTheme="minorHAnsi" w:hAnsi="Andes" w:cs="Arial"/>
          <w:b/>
          <w:color w:val="000000"/>
          <w:sz w:val="22"/>
          <w:szCs w:val="22"/>
        </w:rPr>
        <w:t>des manifestations d’intérêt</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les entreprises doivent disposer d’un délai suffisant pour répondre à l’AMI, généralement d’au moins 10 jours ouvrables. Le dépôt hors délai</w:t>
      </w:r>
      <w:r>
        <w:rPr>
          <w:rFonts w:ascii="Andes" w:eastAsiaTheme="minorHAnsi" w:hAnsi="Andes" w:cs="Arial"/>
          <w:color w:val="000000"/>
          <w:sz w:val="22"/>
          <w:szCs w:val="22"/>
        </w:rPr>
        <w:t>s</w:t>
      </w:r>
      <w:r w:rsidRPr="00D124D9">
        <w:rPr>
          <w:rFonts w:ascii="Andes" w:eastAsiaTheme="minorHAnsi" w:hAnsi="Andes" w:cs="Arial"/>
          <w:color w:val="000000"/>
          <w:sz w:val="22"/>
          <w:szCs w:val="22"/>
        </w:rPr>
        <w:t xml:space="preserve"> d’une manifestation d’intérêt ne doit pas constituer une cause de rejet, à moins que l’Emprunteur ait déjà préparé une </w:t>
      </w:r>
      <w:r w:rsidRPr="002C081F">
        <w:rPr>
          <w:rFonts w:ascii="Andes" w:eastAsiaTheme="minorHAnsi" w:hAnsi="Andes" w:cs="Arial"/>
          <w:color w:val="000000"/>
          <w:sz w:val="22"/>
          <w:szCs w:val="22"/>
        </w:rPr>
        <w:t>Présélection</w:t>
      </w:r>
      <w:r w:rsidRPr="00D124D9">
        <w:rPr>
          <w:rFonts w:ascii="Andes" w:eastAsiaTheme="minorHAnsi" w:hAnsi="Andes" w:cs="Arial"/>
          <w:color w:val="000000"/>
          <w:sz w:val="22"/>
          <w:szCs w:val="22"/>
        </w:rPr>
        <w:t xml:space="preserve"> d’entreprises sur la base des manifestations d’intérêt reçues ; et</w:t>
      </w:r>
    </w:p>
    <w:p w14:paraId="2CBDA3C7" w14:textId="77777777" w:rsidR="00341E34" w:rsidRPr="00D124D9" w:rsidRDefault="00341E34" w:rsidP="00341E34">
      <w:pPr>
        <w:pStyle w:val="Paragraphedeliste"/>
        <w:numPr>
          <w:ilvl w:val="0"/>
          <w:numId w:val="232"/>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Présélection </w:t>
      </w:r>
      <w:r w:rsidRPr="00D124D9">
        <w:rPr>
          <w:rFonts w:ascii="Andes" w:eastAsiaTheme="minorHAnsi" w:hAnsi="Andes" w:cs="Arial"/>
          <w:color w:val="000000"/>
          <w:sz w:val="22"/>
          <w:szCs w:val="22"/>
        </w:rPr>
        <w:t xml:space="preserve">: évaluer les manifestations d’intérêt pour établir la </w:t>
      </w:r>
      <w:r w:rsidRPr="002C081F">
        <w:rPr>
          <w:rFonts w:ascii="Andes" w:eastAsiaTheme="minorHAnsi" w:hAnsi="Andes" w:cs="Arial"/>
          <w:color w:val="000000"/>
          <w:sz w:val="22"/>
          <w:szCs w:val="22"/>
        </w:rPr>
        <w:t>Présélection</w:t>
      </w:r>
      <w:r w:rsidRPr="00D124D9">
        <w:rPr>
          <w:rFonts w:ascii="Andes" w:eastAsiaTheme="minorHAnsi" w:hAnsi="Andes" w:cs="Arial"/>
          <w:color w:val="000000"/>
          <w:sz w:val="22"/>
          <w:szCs w:val="22"/>
        </w:rPr>
        <w:t xml:space="preserve">. La </w:t>
      </w:r>
      <w:r w:rsidRPr="002C081F">
        <w:rPr>
          <w:rFonts w:ascii="Andes" w:eastAsiaTheme="minorHAnsi" w:hAnsi="Andes" w:cs="Arial"/>
          <w:color w:val="000000"/>
          <w:sz w:val="22"/>
          <w:szCs w:val="22"/>
        </w:rPr>
        <w:t xml:space="preserve">Présélection </w:t>
      </w:r>
      <w:r w:rsidRPr="00D124D9">
        <w:rPr>
          <w:rFonts w:ascii="Andes" w:eastAsiaTheme="minorHAnsi" w:hAnsi="Andes" w:cs="Arial"/>
          <w:color w:val="000000"/>
          <w:sz w:val="22"/>
          <w:szCs w:val="22"/>
        </w:rPr>
        <w:t>se fonde en principe sur les critères suivants</w:t>
      </w:r>
      <w:r w:rsidRPr="00D124D9">
        <w:rPr>
          <w:rFonts w:ascii="Calibri" w:eastAsiaTheme="minorHAnsi" w:hAnsi="Calibri" w:cs="Calibri"/>
          <w:color w:val="000000"/>
          <w:sz w:val="22"/>
          <w:szCs w:val="22"/>
        </w:rPr>
        <w:t> </w:t>
      </w:r>
      <w:r w:rsidRPr="00D124D9">
        <w:rPr>
          <w:rFonts w:ascii="Andes" w:eastAsiaTheme="minorHAnsi" w:hAnsi="Andes" w:cs="Arial"/>
          <w:color w:val="000000"/>
          <w:sz w:val="22"/>
          <w:szCs w:val="22"/>
        </w:rPr>
        <w:t xml:space="preserve">: les activités principales et le nombre d’années d’exercice, l’expérience voulue, la capacité technique et </w:t>
      </w:r>
      <w:r>
        <w:rPr>
          <w:rFonts w:ascii="Andes" w:eastAsiaTheme="minorHAnsi" w:hAnsi="Andes" w:cs="Arial"/>
          <w:color w:val="000000"/>
          <w:sz w:val="22"/>
          <w:szCs w:val="22"/>
        </w:rPr>
        <w:t>administrative</w:t>
      </w:r>
      <w:r w:rsidRPr="00D124D9">
        <w:rPr>
          <w:rFonts w:ascii="Andes" w:eastAsiaTheme="minorHAnsi" w:hAnsi="Andes" w:cs="Arial"/>
          <w:color w:val="000000"/>
          <w:sz w:val="22"/>
          <w:szCs w:val="22"/>
        </w:rPr>
        <w:t xml:space="preserve"> de l’entreprise. Le personnel clé n’est pas évalué à ce stade. La </w:t>
      </w:r>
      <w:r w:rsidRPr="002C081F">
        <w:rPr>
          <w:rFonts w:ascii="Andes" w:eastAsiaTheme="minorHAnsi" w:hAnsi="Andes" w:cs="Arial"/>
          <w:color w:val="000000"/>
          <w:sz w:val="22"/>
          <w:szCs w:val="22"/>
        </w:rPr>
        <w:t>Présélection</w:t>
      </w:r>
      <w:r w:rsidRPr="00D124D9">
        <w:rPr>
          <w:rFonts w:ascii="Andes" w:eastAsiaTheme="minorHAnsi" w:hAnsi="Andes" w:cs="Arial"/>
          <w:color w:val="000000"/>
          <w:sz w:val="22"/>
          <w:szCs w:val="22"/>
        </w:rPr>
        <w:t xml:space="preserve"> </w:t>
      </w:r>
      <w:r>
        <w:rPr>
          <w:rFonts w:ascii="Andes" w:eastAsiaTheme="minorHAnsi" w:hAnsi="Andes" w:cs="Arial"/>
          <w:color w:val="000000"/>
          <w:sz w:val="22"/>
          <w:szCs w:val="22"/>
        </w:rPr>
        <w:t>définitive</w:t>
      </w:r>
      <w:r w:rsidRPr="00D124D9">
        <w:rPr>
          <w:rFonts w:ascii="Andes" w:eastAsiaTheme="minorHAnsi" w:hAnsi="Andes" w:cs="Arial"/>
          <w:color w:val="000000"/>
          <w:sz w:val="22"/>
          <w:szCs w:val="22"/>
        </w:rPr>
        <w:t xml:space="preserve"> est communiquée à toutes les entreprises ayant manifesté leur intérêt, ainsi qu’à toute autre entreprise ou entité qui en aura fait la demande. La lettre invitant les entreprises </w:t>
      </w:r>
      <w:r>
        <w:rPr>
          <w:rFonts w:ascii="Andes" w:eastAsiaTheme="minorHAnsi" w:hAnsi="Andes" w:cs="Arial"/>
          <w:color w:val="000000"/>
          <w:sz w:val="22"/>
          <w:szCs w:val="22"/>
        </w:rPr>
        <w:t>P</w:t>
      </w:r>
      <w:r w:rsidRPr="00D124D9">
        <w:rPr>
          <w:rFonts w:ascii="Andes" w:eastAsiaTheme="minorHAnsi" w:hAnsi="Andes" w:cs="Arial"/>
          <w:color w:val="000000"/>
          <w:sz w:val="22"/>
          <w:szCs w:val="22"/>
        </w:rPr>
        <w:t>r</w:t>
      </w:r>
      <w:r>
        <w:rPr>
          <w:rFonts w:ascii="Andes" w:eastAsiaTheme="minorHAnsi" w:hAnsi="Andes" w:cs="Arial"/>
          <w:color w:val="000000"/>
          <w:sz w:val="22"/>
          <w:szCs w:val="22"/>
        </w:rPr>
        <w:t>ésélectionnées à soumettre des P</w:t>
      </w:r>
      <w:r w:rsidRPr="00D124D9">
        <w:rPr>
          <w:rFonts w:ascii="Andes" w:eastAsiaTheme="minorHAnsi" w:hAnsi="Andes" w:cs="Arial"/>
          <w:color w:val="000000"/>
          <w:sz w:val="22"/>
          <w:szCs w:val="22"/>
        </w:rPr>
        <w:t xml:space="preserve">ropositions comprend les </w:t>
      </w:r>
      <w:r>
        <w:rPr>
          <w:rFonts w:ascii="Andes" w:eastAsiaTheme="minorHAnsi" w:hAnsi="Andes" w:cs="Arial"/>
          <w:color w:val="000000"/>
          <w:sz w:val="22"/>
          <w:szCs w:val="22"/>
        </w:rPr>
        <w:t>noms de toutes les entreprises P</w:t>
      </w:r>
      <w:r w:rsidRPr="00D124D9">
        <w:rPr>
          <w:rFonts w:ascii="Andes" w:eastAsiaTheme="minorHAnsi" w:hAnsi="Andes" w:cs="Arial"/>
          <w:color w:val="000000"/>
          <w:sz w:val="22"/>
          <w:szCs w:val="22"/>
        </w:rPr>
        <w:t xml:space="preserve">résélectionnées. Après que la Banque a émis un avis de non-objection sur la </w:t>
      </w:r>
      <w:r w:rsidRPr="002C081F">
        <w:rPr>
          <w:rFonts w:ascii="Andes" w:eastAsiaTheme="minorHAnsi" w:hAnsi="Andes" w:cs="Arial"/>
          <w:color w:val="000000"/>
          <w:sz w:val="22"/>
          <w:szCs w:val="22"/>
        </w:rPr>
        <w:t>Présélection</w:t>
      </w:r>
      <w:r w:rsidRPr="00D124D9">
        <w:rPr>
          <w:rFonts w:ascii="Calibri" w:eastAsiaTheme="minorHAnsi" w:hAnsi="Calibri" w:cs="Calibri"/>
          <w:color w:val="000000"/>
          <w:sz w:val="22"/>
          <w:szCs w:val="22"/>
        </w:rPr>
        <w:t xml:space="preserve">, </w:t>
      </w:r>
      <w:r w:rsidRPr="00D124D9">
        <w:rPr>
          <w:rFonts w:ascii="Andes" w:eastAsiaTheme="minorHAnsi" w:hAnsi="Andes" w:cs="Calibri"/>
          <w:color w:val="000000"/>
          <w:sz w:val="22"/>
          <w:szCs w:val="22"/>
        </w:rPr>
        <w:t>l’Emprunteur ne peut y apporter de modifications sans l’assentiment de la Banque</w:t>
      </w:r>
      <w:r w:rsidRPr="00D124D9">
        <w:rPr>
          <w:rFonts w:ascii="Andes" w:eastAsiaTheme="minorHAnsi" w:hAnsi="Andes" w:cs="Arial"/>
          <w:color w:val="000000"/>
          <w:sz w:val="22"/>
          <w:szCs w:val="22"/>
        </w:rPr>
        <w:t>.</w:t>
      </w:r>
    </w:p>
    <w:p w14:paraId="0240E024" w14:textId="0F4A05DD" w:rsidR="00341E34" w:rsidRPr="00D124D9" w:rsidRDefault="00341E34" w:rsidP="00341E34">
      <w:pPr>
        <w:pStyle w:val="Paragraphedeliste"/>
        <w:spacing w:before="240"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Procédures communes pour la SFQC, la S</w:t>
      </w:r>
      <w:r w:rsidR="007F2289">
        <w:rPr>
          <w:rFonts w:ascii="Andes" w:hAnsi="Andes" w:cs="Arial"/>
          <w:b/>
          <w:color w:val="000000" w:themeColor="text1"/>
          <w:sz w:val="28"/>
          <w:szCs w:val="28"/>
        </w:rPr>
        <w:t>C</w:t>
      </w:r>
      <w:r w:rsidRPr="00D124D9">
        <w:rPr>
          <w:rFonts w:ascii="Andes" w:hAnsi="Andes" w:cs="Arial"/>
          <w:b/>
          <w:color w:val="000000" w:themeColor="text1"/>
          <w:sz w:val="28"/>
          <w:szCs w:val="28"/>
        </w:rPr>
        <w:t>BD et la SMC</w:t>
      </w:r>
    </w:p>
    <w:p w14:paraId="0DE36633" w14:textId="25CFA935" w:rsidR="00341E34" w:rsidRPr="00D124D9" w:rsidRDefault="00341E34" w:rsidP="00341E34">
      <w:pPr>
        <w:pStyle w:val="Paragraphedeliste"/>
        <w:numPr>
          <w:ilvl w:val="1"/>
          <w:numId w:val="225"/>
        </w:numPr>
        <w:spacing w:before="0" w:line="240" w:lineRule="auto"/>
        <w:ind w:left="630" w:hanging="630"/>
        <w:contextualSpacing w:val="0"/>
        <w:rPr>
          <w:rFonts w:ascii="Andes" w:hAnsi="Andes" w:cs="Arial"/>
          <w:sz w:val="22"/>
          <w:szCs w:val="22"/>
        </w:rPr>
      </w:pPr>
      <w:r w:rsidRPr="00D124D9">
        <w:rPr>
          <w:rFonts w:ascii="Andes" w:hAnsi="Andes" w:cs="Arial"/>
          <w:sz w:val="22"/>
          <w:szCs w:val="22"/>
        </w:rPr>
        <w:t>La procédure de SFQC, S</w:t>
      </w:r>
      <w:r w:rsidR="007F2289">
        <w:rPr>
          <w:rFonts w:ascii="Andes" w:hAnsi="Andes" w:cs="Arial"/>
          <w:sz w:val="22"/>
          <w:szCs w:val="22"/>
        </w:rPr>
        <w:t>C</w:t>
      </w:r>
      <w:r w:rsidRPr="00D124D9">
        <w:rPr>
          <w:rFonts w:ascii="Andes" w:hAnsi="Andes" w:cs="Arial"/>
          <w:sz w:val="22"/>
          <w:szCs w:val="22"/>
        </w:rPr>
        <w:t>BD et SMC comprend les étapes ci-après que doit suivre l’Emprunteur.</w:t>
      </w:r>
    </w:p>
    <w:p w14:paraId="67D470F1" w14:textId="77777777" w:rsidR="00341E34" w:rsidRPr="00D124D9" w:rsidRDefault="00341E34" w:rsidP="00341E34">
      <w:pPr>
        <w:pStyle w:val="Paragraphedeliste"/>
        <w:numPr>
          <w:ilvl w:val="0"/>
          <w:numId w:val="23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 xml:space="preserve">Dossier d’appel à </w:t>
      </w:r>
      <w:r>
        <w:rPr>
          <w:rFonts w:ascii="Andes" w:eastAsiaTheme="minorHAnsi" w:hAnsi="Andes" w:cs="Arial"/>
          <w:b/>
          <w:color w:val="000000"/>
          <w:sz w:val="22"/>
          <w:szCs w:val="22"/>
        </w:rPr>
        <w:t>p</w:t>
      </w:r>
      <w:r w:rsidRPr="00D124D9">
        <w:rPr>
          <w:rFonts w:ascii="Andes" w:eastAsiaTheme="minorHAnsi" w:hAnsi="Andes" w:cs="Arial"/>
          <w:b/>
          <w:color w:val="000000"/>
          <w:sz w:val="22"/>
          <w:szCs w:val="22"/>
        </w:rPr>
        <w:t>ropositions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xml:space="preserve">: </w:t>
      </w:r>
      <w:r>
        <w:rPr>
          <w:rFonts w:ascii="Andes" w:eastAsiaTheme="minorHAnsi" w:hAnsi="Andes" w:cs="Arial"/>
          <w:color w:val="000000"/>
          <w:sz w:val="22"/>
          <w:szCs w:val="22"/>
        </w:rPr>
        <w:t>préparer le dossier d’appel à p</w:t>
      </w:r>
      <w:r w:rsidRPr="00D124D9">
        <w:rPr>
          <w:rFonts w:ascii="Andes" w:eastAsiaTheme="minorHAnsi" w:hAnsi="Andes" w:cs="Arial"/>
          <w:color w:val="000000"/>
          <w:sz w:val="22"/>
          <w:szCs w:val="22"/>
        </w:rPr>
        <w:t>ropositions en suivant le modèle type élaboré par la Banque en la matière</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5BFDCA28" w14:textId="77777777" w:rsidR="00341E34" w:rsidRPr="00D124D9" w:rsidRDefault="00341E34" w:rsidP="00341E34">
      <w:pPr>
        <w:pStyle w:val="Paragraphedeliste"/>
        <w:numPr>
          <w:ilvl w:val="0"/>
          <w:numId w:val="23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 xml:space="preserve">Délai de préparation des </w:t>
      </w:r>
      <w:r>
        <w:rPr>
          <w:rFonts w:ascii="Andes" w:eastAsiaTheme="minorHAnsi" w:hAnsi="Andes" w:cs="Arial"/>
          <w:b/>
          <w:color w:val="000000"/>
          <w:sz w:val="22"/>
          <w:szCs w:val="22"/>
        </w:rPr>
        <w:t>P</w:t>
      </w:r>
      <w:r w:rsidRPr="00D124D9">
        <w:rPr>
          <w:rFonts w:ascii="Andes" w:eastAsiaTheme="minorHAnsi" w:hAnsi="Andes" w:cs="Arial"/>
          <w:b/>
          <w:color w:val="000000"/>
          <w:sz w:val="22"/>
          <w:szCs w:val="22"/>
        </w:rPr>
        <w:t>ropositions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xml:space="preserve">: l’Emprunteur doit donner suffisamment de temps aux entreprises </w:t>
      </w:r>
      <w:r>
        <w:rPr>
          <w:rFonts w:ascii="Andes" w:eastAsiaTheme="minorHAnsi" w:hAnsi="Andes" w:cs="Arial"/>
          <w:color w:val="000000"/>
          <w:sz w:val="22"/>
          <w:szCs w:val="22"/>
        </w:rPr>
        <w:t>pour préparer leurs P</w:t>
      </w:r>
      <w:r w:rsidRPr="00D124D9">
        <w:rPr>
          <w:rFonts w:ascii="Andes" w:eastAsiaTheme="minorHAnsi" w:hAnsi="Andes" w:cs="Arial"/>
          <w:color w:val="000000"/>
          <w:sz w:val="22"/>
          <w:szCs w:val="22"/>
        </w:rPr>
        <w:t>ropositions en fonction de la nature et de la complexité de la mission</w:t>
      </w:r>
      <w:r w:rsidRPr="00D124D9">
        <w:rPr>
          <w:rFonts w:ascii="Calibri" w:eastAsiaTheme="minorHAnsi" w:hAnsi="Calibri" w:cs="Calibri"/>
          <w:color w:val="000000"/>
          <w:sz w:val="22"/>
          <w:szCs w:val="22"/>
        </w:rPr>
        <w:t> </w:t>
      </w:r>
      <w:r w:rsidRPr="00D124D9">
        <w:rPr>
          <w:rFonts w:ascii="Andes" w:eastAsiaTheme="minorHAnsi" w:hAnsi="Andes" w:cs="Arial"/>
          <w:color w:val="000000"/>
          <w:sz w:val="22"/>
          <w:szCs w:val="22"/>
        </w:rPr>
        <w:t>;</w:t>
      </w:r>
    </w:p>
    <w:p w14:paraId="32413CFE" w14:textId="77777777" w:rsidR="00341E34" w:rsidRPr="00D124D9" w:rsidRDefault="00341E34" w:rsidP="00341E34">
      <w:pPr>
        <w:pStyle w:val="Paragraphedeliste"/>
        <w:numPr>
          <w:ilvl w:val="0"/>
          <w:numId w:val="23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lastRenderedPageBreak/>
        <w:t>Lettre d’invitation à soumettre des Propositions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l’Emprunteur adresse une lettr</w:t>
      </w:r>
      <w:r>
        <w:rPr>
          <w:rFonts w:ascii="Andes" w:eastAsiaTheme="minorHAnsi" w:hAnsi="Andes" w:cs="Arial"/>
          <w:color w:val="000000"/>
          <w:sz w:val="22"/>
          <w:szCs w:val="22"/>
        </w:rPr>
        <w:t>e d’invitation à soumettre des P</w:t>
      </w:r>
      <w:r w:rsidRPr="00D124D9">
        <w:rPr>
          <w:rFonts w:ascii="Andes" w:eastAsiaTheme="minorHAnsi" w:hAnsi="Andes" w:cs="Arial"/>
          <w:color w:val="000000"/>
          <w:sz w:val="22"/>
          <w:szCs w:val="22"/>
        </w:rPr>
        <w:t>ropositions en même temps que le dossier d’appel à proposi</w:t>
      </w:r>
      <w:r>
        <w:rPr>
          <w:rFonts w:ascii="Andes" w:eastAsiaTheme="minorHAnsi" w:hAnsi="Andes" w:cs="Arial"/>
          <w:color w:val="000000"/>
          <w:sz w:val="22"/>
          <w:szCs w:val="22"/>
        </w:rPr>
        <w:t>tions à toutes les entreprises P</w:t>
      </w:r>
      <w:r w:rsidRPr="00D124D9">
        <w:rPr>
          <w:rFonts w:ascii="Andes" w:eastAsiaTheme="minorHAnsi" w:hAnsi="Andes" w:cs="Arial"/>
          <w:color w:val="000000"/>
          <w:sz w:val="22"/>
          <w:szCs w:val="22"/>
        </w:rPr>
        <w:t>résélectionnées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0BCDBBA9" w14:textId="77777777" w:rsidR="00341E34" w:rsidRPr="00341B38" w:rsidRDefault="00341E34" w:rsidP="00341E34">
      <w:pPr>
        <w:pStyle w:val="Paragraphedeliste"/>
        <w:numPr>
          <w:ilvl w:val="0"/>
          <w:numId w:val="233"/>
        </w:numPr>
        <w:spacing w:before="0" w:line="240" w:lineRule="auto"/>
        <w:contextualSpacing w:val="0"/>
        <w:rPr>
          <w:rFonts w:ascii="Andes" w:eastAsiaTheme="minorHAnsi" w:hAnsi="Andes" w:cs="Arial"/>
          <w:color w:val="000000"/>
          <w:sz w:val="22"/>
          <w:szCs w:val="22"/>
        </w:rPr>
      </w:pPr>
      <w:r>
        <w:rPr>
          <w:rFonts w:ascii="Andes" w:eastAsiaTheme="minorHAnsi" w:hAnsi="Andes" w:cs="Arial"/>
          <w:b/>
          <w:color w:val="000000"/>
          <w:sz w:val="22"/>
          <w:szCs w:val="22"/>
        </w:rPr>
        <w:t>É</w:t>
      </w:r>
      <w:r w:rsidRPr="00D124D9">
        <w:rPr>
          <w:rFonts w:ascii="Andes" w:eastAsiaTheme="minorHAnsi" w:hAnsi="Andes" w:cs="Arial"/>
          <w:b/>
          <w:color w:val="000000"/>
          <w:sz w:val="22"/>
          <w:szCs w:val="22"/>
        </w:rPr>
        <w:t>claircissements et avenants</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w:t>
      </w:r>
      <w:r w:rsidRPr="00D124D9">
        <w:rPr>
          <w:rFonts w:ascii="Andes" w:eastAsiaTheme="minorHAnsi" w:hAnsi="Andes" w:cs="Arial"/>
          <w:color w:val="000000"/>
          <w:sz w:val="22"/>
          <w:szCs w:val="22"/>
        </w:rPr>
        <w:t xml:space="preserve"> ils doivent se conformer aux dispositions des paragraphes 5.31 et 5.32 </w:t>
      </w:r>
      <w:r w:rsidRPr="00341B38">
        <w:rPr>
          <w:rFonts w:ascii="Andes" w:eastAsiaTheme="minorHAnsi" w:hAnsi="Andes" w:cs="Arial"/>
          <w:color w:val="000000"/>
          <w:sz w:val="22"/>
          <w:szCs w:val="22"/>
        </w:rPr>
        <w:t>(Éclaircissements sur les Dossiers de Passation des Marchés)</w:t>
      </w:r>
      <w:r w:rsidRPr="00341B38">
        <w:rPr>
          <w:rFonts w:ascii="Calibri" w:eastAsiaTheme="minorHAnsi" w:hAnsi="Calibri" w:cs="Arial"/>
          <w:color w:val="000000"/>
          <w:sz w:val="22"/>
          <w:szCs w:val="22"/>
        </w:rPr>
        <w:t> </w:t>
      </w:r>
      <w:r w:rsidRPr="00341B38">
        <w:rPr>
          <w:rFonts w:ascii="Andes" w:eastAsiaTheme="minorHAnsi" w:hAnsi="Andes" w:cs="Arial"/>
          <w:color w:val="000000"/>
          <w:sz w:val="22"/>
          <w:szCs w:val="22"/>
        </w:rPr>
        <w:t>;</w:t>
      </w:r>
    </w:p>
    <w:p w14:paraId="6EA4FEA2" w14:textId="77777777" w:rsidR="00341E34" w:rsidRPr="00D124D9" w:rsidRDefault="00341E34" w:rsidP="00341E34">
      <w:pPr>
        <w:pStyle w:val="Paragraphedeliste"/>
        <w:numPr>
          <w:ilvl w:val="0"/>
          <w:numId w:val="23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 xml:space="preserve">Remise des </w:t>
      </w:r>
      <w:r>
        <w:rPr>
          <w:rFonts w:ascii="Andes" w:eastAsiaTheme="minorHAnsi" w:hAnsi="Andes" w:cs="Arial"/>
          <w:b/>
          <w:color w:val="000000"/>
          <w:sz w:val="22"/>
          <w:szCs w:val="22"/>
        </w:rPr>
        <w:t>Propositions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w:t>
      </w:r>
    </w:p>
    <w:p w14:paraId="4AC98E8D" w14:textId="77777777" w:rsidR="00341E34" w:rsidRPr="00D124D9" w:rsidRDefault="00341E34" w:rsidP="00341E34">
      <w:pPr>
        <w:pStyle w:val="Paragraphedeliste"/>
        <w:numPr>
          <w:ilvl w:val="0"/>
          <w:numId w:val="92"/>
        </w:numPr>
        <w:spacing w:before="0" w:line="240" w:lineRule="auto"/>
        <w:ind w:left="1890" w:hanging="187"/>
        <w:contextualSpacing w:val="0"/>
        <w:rPr>
          <w:rFonts w:ascii="Andes" w:hAnsi="Andes" w:cs="Arial"/>
          <w:sz w:val="22"/>
          <w:szCs w:val="22"/>
        </w:rPr>
      </w:pPr>
      <w:r>
        <w:rPr>
          <w:rFonts w:ascii="Andes" w:hAnsi="Andes" w:cs="Arial"/>
          <w:sz w:val="22"/>
          <w:szCs w:val="22"/>
        </w:rPr>
        <w:t>les P</w:t>
      </w:r>
      <w:r w:rsidRPr="00D124D9">
        <w:rPr>
          <w:rFonts w:ascii="Andes" w:hAnsi="Andes" w:cs="Arial"/>
          <w:sz w:val="22"/>
          <w:szCs w:val="22"/>
        </w:rPr>
        <w:t xml:space="preserve">ropositions techniques et financières sont </w:t>
      </w:r>
      <w:r>
        <w:rPr>
          <w:rFonts w:ascii="Andes" w:hAnsi="Andes" w:cs="Arial"/>
          <w:sz w:val="22"/>
          <w:szCs w:val="22"/>
        </w:rPr>
        <w:t>remises</w:t>
      </w:r>
      <w:r w:rsidRPr="00D124D9">
        <w:rPr>
          <w:rFonts w:ascii="Andes" w:hAnsi="Andes" w:cs="Arial"/>
          <w:sz w:val="22"/>
          <w:szCs w:val="22"/>
        </w:rPr>
        <w:t xml:space="preserve"> au même moment dans deux (02) </w:t>
      </w:r>
      <w:r>
        <w:rPr>
          <w:rFonts w:ascii="Andes" w:hAnsi="Andes" w:cs="Arial"/>
          <w:sz w:val="22"/>
          <w:szCs w:val="22"/>
        </w:rPr>
        <w:t>plis</w:t>
      </w:r>
      <w:r w:rsidRPr="00D124D9">
        <w:rPr>
          <w:rFonts w:ascii="Andes" w:hAnsi="Andes" w:cs="Arial"/>
          <w:sz w:val="22"/>
          <w:szCs w:val="22"/>
        </w:rPr>
        <w:t xml:space="preserve"> cachetés séparés </w:t>
      </w:r>
    </w:p>
    <w:p w14:paraId="316EA13F" w14:textId="77777777" w:rsidR="00341E34" w:rsidRPr="00D124D9" w:rsidRDefault="00341E34" w:rsidP="00341E34">
      <w:pPr>
        <w:pStyle w:val="Paragraphedeliste"/>
        <w:numPr>
          <w:ilvl w:val="0"/>
          <w:numId w:val="92"/>
        </w:numPr>
        <w:spacing w:before="0" w:line="240" w:lineRule="auto"/>
        <w:ind w:left="1890" w:hanging="187"/>
        <w:contextualSpacing w:val="0"/>
        <w:rPr>
          <w:rFonts w:ascii="Andes" w:hAnsi="Andes" w:cs="Arial"/>
          <w:sz w:val="22"/>
          <w:szCs w:val="22"/>
        </w:rPr>
      </w:pPr>
      <w:r w:rsidRPr="00D124D9">
        <w:rPr>
          <w:rFonts w:ascii="Andes" w:hAnsi="Andes" w:cs="Arial"/>
          <w:sz w:val="22"/>
          <w:szCs w:val="22"/>
        </w:rPr>
        <w:t>cette procédure doit se conformer aux paragraphes 5.36 et 5.37 (</w:t>
      </w:r>
      <w:r>
        <w:rPr>
          <w:rFonts w:ascii="Andes" w:hAnsi="Andes" w:cs="Arial"/>
          <w:sz w:val="22"/>
          <w:szCs w:val="22"/>
        </w:rPr>
        <w:t xml:space="preserve">Délai de </w:t>
      </w:r>
      <w:r w:rsidRPr="00D124D9">
        <w:rPr>
          <w:rFonts w:ascii="Andes" w:hAnsi="Andes" w:cs="Arial"/>
          <w:sz w:val="22"/>
          <w:szCs w:val="22"/>
        </w:rPr>
        <w:t xml:space="preserve">préparation et </w:t>
      </w:r>
      <w:r>
        <w:rPr>
          <w:rFonts w:ascii="Andes" w:hAnsi="Andes" w:cs="Arial"/>
          <w:sz w:val="22"/>
          <w:szCs w:val="22"/>
        </w:rPr>
        <w:t xml:space="preserve">de remise </w:t>
      </w:r>
      <w:r w:rsidRPr="00D124D9">
        <w:rPr>
          <w:rFonts w:ascii="Andes" w:hAnsi="Andes" w:cs="Arial"/>
          <w:sz w:val="22"/>
          <w:szCs w:val="22"/>
        </w:rPr>
        <w:t xml:space="preserve">des </w:t>
      </w:r>
      <w:r>
        <w:rPr>
          <w:rFonts w:ascii="Andes" w:hAnsi="Andes" w:cs="Arial"/>
          <w:sz w:val="22"/>
          <w:szCs w:val="22"/>
        </w:rPr>
        <w:t>O</w:t>
      </w:r>
      <w:r w:rsidRPr="00D124D9">
        <w:rPr>
          <w:rFonts w:ascii="Andes" w:hAnsi="Andes" w:cs="Arial"/>
          <w:sz w:val="22"/>
          <w:szCs w:val="22"/>
        </w:rPr>
        <w:t>ffres</w:t>
      </w:r>
      <w:r>
        <w:rPr>
          <w:rFonts w:ascii="Andes" w:hAnsi="Andes" w:cs="Arial"/>
          <w:sz w:val="22"/>
          <w:szCs w:val="22"/>
        </w:rPr>
        <w:t>/P</w:t>
      </w:r>
      <w:r w:rsidRPr="00D124D9">
        <w:rPr>
          <w:rFonts w:ascii="Andes" w:hAnsi="Andes" w:cs="Arial"/>
          <w:sz w:val="22"/>
          <w:szCs w:val="22"/>
        </w:rPr>
        <w:t xml:space="preserve">ropositions).  </w:t>
      </w:r>
    </w:p>
    <w:p w14:paraId="7C2CC88C" w14:textId="77777777" w:rsidR="00341E34" w:rsidRPr="00D124D9" w:rsidRDefault="00341E34" w:rsidP="00341E34">
      <w:pPr>
        <w:pStyle w:val="Paragraphedeliste"/>
        <w:numPr>
          <w:ilvl w:val="0"/>
          <w:numId w:val="233"/>
        </w:numPr>
        <w:spacing w:before="0" w:line="240" w:lineRule="auto"/>
        <w:contextualSpacing w:val="0"/>
        <w:rPr>
          <w:rFonts w:ascii="Andes" w:eastAsiaTheme="minorHAnsi" w:hAnsi="Andes" w:cs="Arial"/>
          <w:b/>
          <w:color w:val="000000"/>
          <w:sz w:val="22"/>
          <w:szCs w:val="22"/>
        </w:rPr>
      </w:pPr>
      <w:r>
        <w:rPr>
          <w:rFonts w:ascii="Andes" w:eastAsiaTheme="minorHAnsi" w:hAnsi="Andes" w:cs="Arial"/>
          <w:b/>
          <w:color w:val="000000"/>
          <w:sz w:val="22"/>
          <w:szCs w:val="22"/>
        </w:rPr>
        <w:t>Ouverture des plis contenant les P</w:t>
      </w:r>
      <w:r w:rsidRPr="00D124D9">
        <w:rPr>
          <w:rFonts w:ascii="Andes" w:eastAsiaTheme="minorHAnsi" w:hAnsi="Andes" w:cs="Arial"/>
          <w:b/>
          <w:color w:val="000000"/>
          <w:sz w:val="22"/>
          <w:szCs w:val="22"/>
        </w:rPr>
        <w:t>ropositions techniques</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w:t>
      </w:r>
    </w:p>
    <w:p w14:paraId="5D169AD1" w14:textId="77777777" w:rsidR="00341E34" w:rsidRPr="00D124D9" w:rsidRDefault="00341E34" w:rsidP="00341E34">
      <w:pPr>
        <w:pStyle w:val="Paragraphedeliste"/>
        <w:numPr>
          <w:ilvl w:val="0"/>
          <w:numId w:val="235"/>
        </w:numPr>
        <w:tabs>
          <w:tab w:val="left" w:pos="720"/>
        </w:tabs>
        <w:spacing w:before="0" w:line="240" w:lineRule="auto"/>
        <w:ind w:left="1890"/>
        <w:contextualSpacing w:val="0"/>
        <w:rPr>
          <w:rFonts w:ascii="Andes" w:hAnsi="Andes" w:cs="Arial"/>
          <w:sz w:val="22"/>
          <w:szCs w:val="22"/>
        </w:rPr>
      </w:pPr>
      <w:r w:rsidRPr="00D124D9">
        <w:rPr>
          <w:rFonts w:ascii="Andes" w:hAnsi="Andes" w:cs="Arial"/>
          <w:sz w:val="22"/>
          <w:szCs w:val="22"/>
        </w:rPr>
        <w:t>l’E</w:t>
      </w:r>
      <w:r>
        <w:rPr>
          <w:rFonts w:ascii="Andes" w:hAnsi="Andes" w:cs="Arial"/>
          <w:sz w:val="22"/>
          <w:szCs w:val="22"/>
        </w:rPr>
        <w:t>mprunteur ouvre uniquement les P</w:t>
      </w:r>
      <w:r w:rsidRPr="00D124D9">
        <w:rPr>
          <w:rFonts w:ascii="Andes" w:hAnsi="Andes" w:cs="Arial"/>
          <w:sz w:val="22"/>
          <w:szCs w:val="22"/>
        </w:rPr>
        <w:t>ropositions techniques reçues dans les délais fixés pour le dépôt des Propositions.</w:t>
      </w:r>
    </w:p>
    <w:p w14:paraId="473E3CC9" w14:textId="77777777" w:rsidR="00341E34" w:rsidRPr="00D124D9" w:rsidRDefault="00341E34" w:rsidP="00341E34">
      <w:pPr>
        <w:pStyle w:val="Paragraphedeliste"/>
        <w:numPr>
          <w:ilvl w:val="0"/>
          <w:numId w:val="235"/>
        </w:numPr>
        <w:tabs>
          <w:tab w:val="left" w:pos="720"/>
        </w:tabs>
        <w:spacing w:before="0" w:line="240" w:lineRule="auto"/>
        <w:ind w:left="1890"/>
        <w:contextualSpacing w:val="0"/>
        <w:rPr>
          <w:rFonts w:ascii="Andes" w:hAnsi="Andes" w:cs="Arial"/>
          <w:sz w:val="22"/>
          <w:szCs w:val="22"/>
        </w:rPr>
      </w:pPr>
      <w:r w:rsidRPr="00D124D9">
        <w:rPr>
          <w:rFonts w:ascii="Andes" w:hAnsi="Andes" w:cs="Arial"/>
          <w:sz w:val="22"/>
          <w:szCs w:val="22"/>
        </w:rPr>
        <w:t xml:space="preserve">cette procédure doit se conformer aux paragraphes 5.40 à 5.48 (Ouverture des </w:t>
      </w:r>
      <w:r>
        <w:rPr>
          <w:rFonts w:ascii="Andes" w:hAnsi="Andes" w:cs="Arial"/>
          <w:sz w:val="22"/>
          <w:szCs w:val="22"/>
        </w:rPr>
        <w:t>plis</w:t>
      </w:r>
      <w:r w:rsidRPr="00D124D9">
        <w:rPr>
          <w:rFonts w:ascii="Andes" w:hAnsi="Andes" w:cs="Arial"/>
          <w:sz w:val="22"/>
          <w:szCs w:val="22"/>
        </w:rPr>
        <w:t>), selon le cas.</w:t>
      </w:r>
    </w:p>
    <w:p w14:paraId="39AEC456" w14:textId="5F62CE07" w:rsidR="00341E34" w:rsidRPr="00D124D9" w:rsidRDefault="00341E34" w:rsidP="00341E34">
      <w:pPr>
        <w:pStyle w:val="Paragraphedeliste"/>
        <w:numPr>
          <w:ilvl w:val="0"/>
          <w:numId w:val="23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 xml:space="preserve">Évaluation </w:t>
      </w:r>
      <w:r>
        <w:rPr>
          <w:rFonts w:ascii="Andes" w:eastAsiaTheme="minorHAnsi" w:hAnsi="Andes" w:cs="Arial"/>
          <w:b/>
          <w:color w:val="000000"/>
          <w:sz w:val="22"/>
          <w:szCs w:val="22"/>
        </w:rPr>
        <w:t>des P</w:t>
      </w:r>
      <w:r w:rsidRPr="00D124D9">
        <w:rPr>
          <w:rFonts w:ascii="Andes" w:eastAsiaTheme="minorHAnsi" w:hAnsi="Andes" w:cs="Arial"/>
          <w:b/>
          <w:color w:val="000000"/>
          <w:sz w:val="22"/>
          <w:szCs w:val="22"/>
        </w:rPr>
        <w:t>ropositions techniques</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w:t>
      </w:r>
      <w:r w:rsidRPr="00D124D9">
        <w:rPr>
          <w:rFonts w:ascii="Andes" w:eastAsiaTheme="minorHAnsi" w:hAnsi="Andes" w:cs="Arial"/>
          <w:color w:val="000000"/>
          <w:sz w:val="22"/>
          <w:szCs w:val="22"/>
        </w:rPr>
        <w:t xml:space="preserve"> </w:t>
      </w:r>
      <w:r>
        <w:rPr>
          <w:rFonts w:ascii="Andes" w:eastAsiaTheme="minorHAnsi" w:hAnsi="Andes" w:cs="Arial"/>
          <w:color w:val="000000"/>
          <w:sz w:val="22"/>
          <w:szCs w:val="22"/>
        </w:rPr>
        <w:t>l’évaluation des P</w:t>
      </w:r>
      <w:r w:rsidRPr="00D124D9">
        <w:rPr>
          <w:rFonts w:ascii="Andes" w:eastAsiaTheme="minorHAnsi" w:hAnsi="Andes" w:cs="Arial"/>
          <w:color w:val="000000"/>
          <w:sz w:val="22"/>
          <w:szCs w:val="22"/>
        </w:rPr>
        <w:t>ropositions techniques se f</w:t>
      </w:r>
      <w:r>
        <w:rPr>
          <w:rFonts w:ascii="Andes" w:eastAsiaTheme="minorHAnsi" w:hAnsi="Andes" w:cs="Arial"/>
          <w:color w:val="000000"/>
          <w:sz w:val="22"/>
          <w:szCs w:val="22"/>
        </w:rPr>
        <w:t xml:space="preserve">onde </w:t>
      </w:r>
      <w:r w:rsidRPr="00D124D9">
        <w:rPr>
          <w:rFonts w:ascii="Andes" w:eastAsiaTheme="minorHAnsi" w:hAnsi="Andes" w:cs="Arial"/>
          <w:color w:val="000000"/>
          <w:sz w:val="22"/>
          <w:szCs w:val="22"/>
        </w:rPr>
        <w:t>sur l</w:t>
      </w:r>
      <w:r>
        <w:rPr>
          <w:rFonts w:ascii="Andes" w:eastAsiaTheme="minorHAnsi" w:hAnsi="Andes" w:cs="Arial"/>
          <w:color w:val="000000"/>
          <w:sz w:val="22"/>
          <w:szCs w:val="22"/>
        </w:rPr>
        <w:t>e</w:t>
      </w:r>
      <w:r w:rsidRPr="00D124D9">
        <w:rPr>
          <w:rFonts w:ascii="Andes" w:eastAsiaTheme="minorHAnsi" w:hAnsi="Andes" w:cs="Arial"/>
          <w:color w:val="000000"/>
          <w:sz w:val="22"/>
          <w:szCs w:val="22"/>
        </w:rPr>
        <w:t xml:space="preserve">s </w:t>
      </w:r>
      <w:r w:rsidR="00A157CC">
        <w:rPr>
          <w:rFonts w:ascii="Andes" w:eastAsiaTheme="minorHAnsi" w:hAnsi="Andes" w:cs="Arial"/>
          <w:color w:val="000000"/>
          <w:sz w:val="22"/>
          <w:szCs w:val="22"/>
        </w:rPr>
        <w:t>C</w:t>
      </w:r>
      <w:r w:rsidRPr="00D124D9">
        <w:rPr>
          <w:rFonts w:ascii="Andes" w:eastAsiaTheme="minorHAnsi" w:hAnsi="Andes" w:cs="Arial"/>
          <w:color w:val="000000"/>
          <w:sz w:val="22"/>
          <w:szCs w:val="22"/>
        </w:rPr>
        <w:t>ritères d’</w:t>
      </w:r>
      <w:r w:rsidR="00A157CC">
        <w:rPr>
          <w:rFonts w:ascii="Andes" w:eastAsiaTheme="minorHAnsi" w:hAnsi="Andes" w:cs="Arial"/>
          <w:color w:val="000000"/>
          <w:sz w:val="22"/>
          <w:szCs w:val="22"/>
        </w:rPr>
        <w:t>E</w:t>
      </w:r>
      <w:r w:rsidRPr="00D124D9">
        <w:rPr>
          <w:rFonts w:ascii="Andes" w:eastAsiaTheme="minorHAnsi" w:hAnsi="Andes" w:cs="Arial"/>
          <w:color w:val="000000"/>
          <w:sz w:val="22"/>
          <w:szCs w:val="22"/>
        </w:rPr>
        <w:t>valuation spécifiés dans le dossier d’appel à propositions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00AEDE81" w14:textId="77777777" w:rsidR="00341E34" w:rsidRPr="00D124D9" w:rsidRDefault="00341E34" w:rsidP="00341E34">
      <w:pPr>
        <w:pStyle w:val="Paragraphedeliste"/>
        <w:numPr>
          <w:ilvl w:val="0"/>
          <w:numId w:val="23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Communication des résultats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w:t>
      </w:r>
    </w:p>
    <w:p w14:paraId="4F9AA45F" w14:textId="77777777" w:rsidR="00341E34" w:rsidRPr="00D124D9" w:rsidRDefault="00341E34" w:rsidP="00341E34">
      <w:pPr>
        <w:pStyle w:val="Paragraphedeliste"/>
        <w:numPr>
          <w:ilvl w:val="0"/>
          <w:numId w:val="237"/>
        </w:numPr>
        <w:tabs>
          <w:tab w:val="left" w:pos="720"/>
        </w:tabs>
        <w:spacing w:before="0" w:line="240" w:lineRule="auto"/>
        <w:ind w:left="1890"/>
        <w:contextualSpacing w:val="0"/>
        <w:rPr>
          <w:rFonts w:ascii="Andes" w:hAnsi="Andes" w:cs="Arial"/>
          <w:sz w:val="22"/>
          <w:szCs w:val="22"/>
        </w:rPr>
      </w:pPr>
      <w:r>
        <w:rPr>
          <w:rFonts w:ascii="Andes" w:hAnsi="Andes" w:cs="Arial"/>
          <w:sz w:val="22"/>
          <w:szCs w:val="22"/>
        </w:rPr>
        <w:t>À l’issue de l’évaluation des P</w:t>
      </w:r>
      <w:r w:rsidRPr="00D124D9">
        <w:rPr>
          <w:rFonts w:ascii="Andes" w:hAnsi="Andes" w:cs="Arial"/>
          <w:sz w:val="22"/>
          <w:szCs w:val="22"/>
        </w:rPr>
        <w:t>ropositions techniques, l’Em</w:t>
      </w:r>
      <w:r>
        <w:rPr>
          <w:rFonts w:ascii="Andes" w:hAnsi="Andes" w:cs="Arial"/>
          <w:sz w:val="22"/>
          <w:szCs w:val="22"/>
        </w:rPr>
        <w:t>prunteur communique à tous les P</w:t>
      </w:r>
      <w:r w:rsidRPr="00D124D9">
        <w:rPr>
          <w:rFonts w:ascii="Andes" w:hAnsi="Andes" w:cs="Arial"/>
          <w:sz w:val="22"/>
          <w:szCs w:val="22"/>
        </w:rPr>
        <w:t>roposants leurs notes et leur indique s’ils ont obtenu ou non la note technique minim</w:t>
      </w:r>
      <w:r>
        <w:rPr>
          <w:rFonts w:ascii="Andes" w:hAnsi="Andes" w:cs="Arial"/>
          <w:sz w:val="22"/>
          <w:szCs w:val="22"/>
        </w:rPr>
        <w:t>um</w:t>
      </w:r>
      <w:r w:rsidRPr="00D124D9">
        <w:rPr>
          <w:rFonts w:ascii="Andes" w:hAnsi="Andes" w:cs="Arial"/>
          <w:sz w:val="22"/>
          <w:szCs w:val="22"/>
        </w:rPr>
        <w:t xml:space="preserve"> spécifiée dans le dossier d’appel à propositions. Il informe, dans le même temps, les entreprises ayant satisfait aux exigences de la </w:t>
      </w:r>
      <w:r>
        <w:rPr>
          <w:rFonts w:ascii="Andes" w:hAnsi="Andes" w:cs="Arial"/>
          <w:sz w:val="22"/>
          <w:szCs w:val="22"/>
        </w:rPr>
        <w:t>P</w:t>
      </w:r>
      <w:r w:rsidRPr="00D124D9">
        <w:rPr>
          <w:rFonts w:ascii="Andes" w:hAnsi="Andes" w:cs="Arial"/>
          <w:sz w:val="22"/>
          <w:szCs w:val="22"/>
        </w:rPr>
        <w:t>roposition techni</w:t>
      </w:r>
      <w:r>
        <w:rPr>
          <w:rFonts w:ascii="Andes" w:hAnsi="Andes" w:cs="Arial"/>
          <w:sz w:val="22"/>
          <w:szCs w:val="22"/>
        </w:rPr>
        <w:t>que de la date d’ouverture des P</w:t>
      </w:r>
      <w:r w:rsidRPr="00D124D9">
        <w:rPr>
          <w:rFonts w:ascii="Andes" w:hAnsi="Andes" w:cs="Arial"/>
          <w:sz w:val="22"/>
          <w:szCs w:val="22"/>
        </w:rPr>
        <w:t xml:space="preserve">ropositions financières.  </w:t>
      </w:r>
    </w:p>
    <w:p w14:paraId="7AA0C27A" w14:textId="77777777" w:rsidR="00341E34" w:rsidRPr="00D124D9" w:rsidRDefault="00341E34" w:rsidP="00341E34">
      <w:pPr>
        <w:pStyle w:val="Paragraphedeliste"/>
        <w:numPr>
          <w:ilvl w:val="0"/>
          <w:numId w:val="23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 xml:space="preserve"> </w:t>
      </w:r>
      <w:r>
        <w:rPr>
          <w:rFonts w:ascii="Andes" w:eastAsiaTheme="minorHAnsi" w:hAnsi="Andes" w:cs="Arial"/>
          <w:b/>
          <w:color w:val="000000"/>
          <w:sz w:val="22"/>
          <w:szCs w:val="22"/>
        </w:rPr>
        <w:t>Ouverture des plis contenant les P</w:t>
      </w:r>
      <w:r w:rsidRPr="00D124D9">
        <w:rPr>
          <w:rFonts w:ascii="Andes" w:eastAsiaTheme="minorHAnsi" w:hAnsi="Andes" w:cs="Arial"/>
          <w:b/>
          <w:color w:val="000000"/>
          <w:sz w:val="22"/>
          <w:szCs w:val="22"/>
        </w:rPr>
        <w:t>ropositions financières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w:t>
      </w:r>
    </w:p>
    <w:p w14:paraId="4D2DBC9E" w14:textId="68C6D6AA" w:rsidR="00341E34" w:rsidRPr="00D124D9" w:rsidRDefault="00BB0A47" w:rsidP="003C30CC">
      <w:pPr>
        <w:pStyle w:val="Paragraphedeliste"/>
        <w:numPr>
          <w:ilvl w:val="0"/>
          <w:numId w:val="282"/>
        </w:numPr>
        <w:spacing w:before="0" w:line="240" w:lineRule="auto"/>
        <w:contextualSpacing w:val="0"/>
        <w:rPr>
          <w:rFonts w:ascii="Andes" w:hAnsi="Andes" w:cs="Arial"/>
          <w:sz w:val="22"/>
          <w:szCs w:val="22"/>
        </w:rPr>
      </w:pPr>
      <w:r>
        <w:rPr>
          <w:rFonts w:ascii="Andes" w:hAnsi="Andes" w:cs="Arial"/>
          <w:sz w:val="22"/>
          <w:szCs w:val="22"/>
        </w:rPr>
        <w:t>L</w:t>
      </w:r>
      <w:r w:rsidR="00341E34" w:rsidRPr="00D124D9">
        <w:rPr>
          <w:rFonts w:ascii="Andes" w:hAnsi="Andes" w:cs="Arial"/>
          <w:sz w:val="22"/>
          <w:szCs w:val="22"/>
        </w:rPr>
        <w:t xml:space="preserve">’Emprunteur procède à l’ouverture des plis conformément aux dispositions des paragraphes 5.40 à 5.48 (Ouverture des </w:t>
      </w:r>
      <w:r w:rsidR="00341E34">
        <w:rPr>
          <w:rFonts w:ascii="Andes" w:hAnsi="Andes" w:cs="Arial"/>
          <w:sz w:val="22"/>
          <w:szCs w:val="22"/>
        </w:rPr>
        <w:t>plis</w:t>
      </w:r>
      <w:r w:rsidR="00341E34" w:rsidRPr="00D124D9">
        <w:rPr>
          <w:rFonts w:ascii="Andes" w:hAnsi="Andes" w:cs="Arial"/>
          <w:sz w:val="22"/>
          <w:szCs w:val="22"/>
        </w:rPr>
        <w:t xml:space="preserve">), selon le cas.  </w:t>
      </w:r>
    </w:p>
    <w:p w14:paraId="6EA9E9CA" w14:textId="77777777" w:rsidR="00341E34" w:rsidRPr="00D124D9" w:rsidRDefault="00341E34" w:rsidP="00341E34">
      <w:pPr>
        <w:pStyle w:val="Paragraphedeliste"/>
        <w:numPr>
          <w:ilvl w:val="0"/>
          <w:numId w:val="233"/>
        </w:numPr>
        <w:spacing w:before="0" w:line="240" w:lineRule="auto"/>
        <w:contextualSpacing w:val="0"/>
        <w:rPr>
          <w:rFonts w:ascii="Andes" w:eastAsiaTheme="minorHAnsi" w:hAnsi="Andes" w:cs="Arial"/>
          <w:color w:val="000000"/>
          <w:sz w:val="22"/>
          <w:szCs w:val="22"/>
        </w:rPr>
      </w:pPr>
      <w:r>
        <w:rPr>
          <w:rFonts w:ascii="Andes" w:eastAsiaTheme="minorHAnsi" w:hAnsi="Andes" w:cs="Arial"/>
          <w:b/>
          <w:color w:val="000000"/>
          <w:sz w:val="22"/>
          <w:szCs w:val="22"/>
        </w:rPr>
        <w:t>É</w:t>
      </w:r>
      <w:r w:rsidRPr="00D124D9">
        <w:rPr>
          <w:rFonts w:ascii="Andes" w:eastAsiaTheme="minorHAnsi" w:hAnsi="Andes" w:cs="Arial"/>
          <w:b/>
          <w:color w:val="000000"/>
          <w:sz w:val="22"/>
          <w:szCs w:val="22"/>
        </w:rPr>
        <w:t xml:space="preserve">valuation </w:t>
      </w:r>
      <w:r>
        <w:rPr>
          <w:rFonts w:ascii="Andes" w:eastAsiaTheme="minorHAnsi" w:hAnsi="Andes" w:cs="Arial"/>
          <w:b/>
          <w:color w:val="000000"/>
          <w:sz w:val="22"/>
          <w:szCs w:val="22"/>
        </w:rPr>
        <w:t>des P</w:t>
      </w:r>
      <w:r w:rsidRPr="00D124D9">
        <w:rPr>
          <w:rFonts w:ascii="Andes" w:eastAsiaTheme="minorHAnsi" w:hAnsi="Andes" w:cs="Arial"/>
          <w:b/>
          <w:color w:val="000000"/>
          <w:sz w:val="22"/>
          <w:szCs w:val="22"/>
        </w:rPr>
        <w:t>ropositions financières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elle se conforme aux spécifications du dossier d’appel à propositions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077AD5E9" w14:textId="77777777" w:rsidR="00341E34" w:rsidRPr="00D124D9" w:rsidRDefault="00341E34" w:rsidP="00341E34">
      <w:pPr>
        <w:pStyle w:val="Paragraphedeliste"/>
        <w:numPr>
          <w:ilvl w:val="0"/>
          <w:numId w:val="23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Évaluation combinée de la qualité technique et du coût</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elle se conforme aux spécifications du dossier d’appel à propositions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0E6CF1F0" w14:textId="77777777" w:rsidR="00341E34" w:rsidRPr="00D124D9" w:rsidRDefault="00341E34" w:rsidP="00341E34">
      <w:pPr>
        <w:pStyle w:val="Paragraphedeliste"/>
        <w:numPr>
          <w:ilvl w:val="0"/>
          <w:numId w:val="23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Négociations</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w:t>
      </w:r>
      <w:r w:rsidRPr="00D124D9">
        <w:rPr>
          <w:rFonts w:ascii="Andes" w:eastAsiaTheme="minorHAnsi" w:hAnsi="Andes" w:cs="Arial"/>
          <w:color w:val="000000"/>
          <w:sz w:val="22"/>
          <w:szCs w:val="22"/>
        </w:rPr>
        <w:t xml:space="preserve"> elles comprennent des discussions sur les T</w:t>
      </w:r>
      <w:r>
        <w:rPr>
          <w:rFonts w:ascii="Andes" w:eastAsiaTheme="minorHAnsi" w:hAnsi="Andes" w:cs="Arial"/>
          <w:color w:val="000000"/>
          <w:sz w:val="22"/>
          <w:szCs w:val="22"/>
        </w:rPr>
        <w:t>ermes de Référence</w:t>
      </w:r>
      <w:r w:rsidRPr="00D124D9">
        <w:rPr>
          <w:rFonts w:ascii="Andes" w:eastAsiaTheme="minorHAnsi" w:hAnsi="Andes" w:cs="Arial"/>
          <w:color w:val="000000"/>
          <w:sz w:val="22"/>
          <w:szCs w:val="22"/>
        </w:rPr>
        <w:t>, la méthodologie, les apports de l’Emprunteur, et les c</w:t>
      </w:r>
      <w:r>
        <w:rPr>
          <w:rFonts w:ascii="Andes" w:eastAsiaTheme="minorHAnsi" w:hAnsi="Andes" w:cs="Arial"/>
          <w:color w:val="000000"/>
          <w:sz w:val="22"/>
          <w:szCs w:val="22"/>
        </w:rPr>
        <w:t>lauses</w:t>
      </w:r>
      <w:r w:rsidRPr="00D124D9">
        <w:rPr>
          <w:rFonts w:ascii="Andes" w:eastAsiaTheme="minorHAnsi" w:hAnsi="Andes" w:cs="Arial"/>
          <w:color w:val="000000"/>
          <w:sz w:val="22"/>
          <w:szCs w:val="22"/>
        </w:rPr>
        <w:t xml:space="preserve"> particulières du contrat. Les discussions visées ici ne doivent pas modifier fondamentalement la portée </w:t>
      </w:r>
      <w:r>
        <w:rPr>
          <w:rFonts w:ascii="Andes" w:eastAsiaTheme="minorHAnsi" w:hAnsi="Andes" w:cs="Arial"/>
          <w:color w:val="000000"/>
          <w:sz w:val="22"/>
          <w:szCs w:val="22"/>
        </w:rPr>
        <w:t>Initiale</w:t>
      </w:r>
      <w:r w:rsidRPr="00D124D9">
        <w:rPr>
          <w:rFonts w:ascii="Andes" w:eastAsiaTheme="minorHAnsi" w:hAnsi="Andes" w:cs="Arial"/>
          <w:color w:val="000000"/>
          <w:sz w:val="22"/>
          <w:szCs w:val="22"/>
        </w:rPr>
        <w:t xml:space="preserve"> des services tels que définis dans le T</w:t>
      </w:r>
      <w:r>
        <w:rPr>
          <w:rFonts w:ascii="Andes" w:eastAsiaTheme="minorHAnsi" w:hAnsi="Andes" w:cs="Arial"/>
          <w:color w:val="000000"/>
          <w:sz w:val="22"/>
          <w:szCs w:val="22"/>
        </w:rPr>
        <w:t xml:space="preserve">ermes de Référence ou les conditions et clauses </w:t>
      </w:r>
      <w:r w:rsidRPr="00D124D9">
        <w:rPr>
          <w:rFonts w:ascii="Andes" w:eastAsiaTheme="minorHAnsi" w:hAnsi="Andes" w:cs="Arial"/>
          <w:color w:val="000000"/>
          <w:sz w:val="22"/>
          <w:szCs w:val="22"/>
        </w:rPr>
        <w:t>contra</w:t>
      </w:r>
      <w:r>
        <w:rPr>
          <w:rFonts w:ascii="Andes" w:eastAsiaTheme="minorHAnsi" w:hAnsi="Andes" w:cs="Arial"/>
          <w:color w:val="000000"/>
          <w:sz w:val="22"/>
          <w:szCs w:val="22"/>
        </w:rPr>
        <w:t>c</w:t>
      </w:r>
      <w:r w:rsidRPr="00D124D9">
        <w:rPr>
          <w:rFonts w:ascii="Andes" w:eastAsiaTheme="minorHAnsi" w:hAnsi="Andes" w:cs="Arial"/>
          <w:color w:val="000000"/>
          <w:sz w:val="22"/>
          <w:szCs w:val="22"/>
        </w:rPr>
        <w:t>t</w:t>
      </w:r>
      <w:r>
        <w:rPr>
          <w:rFonts w:ascii="Andes" w:eastAsiaTheme="minorHAnsi" w:hAnsi="Andes" w:cs="Arial"/>
          <w:color w:val="000000"/>
          <w:sz w:val="22"/>
          <w:szCs w:val="22"/>
        </w:rPr>
        <w:t>uelles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048A30B3" w14:textId="7F7FF518" w:rsidR="00341E34" w:rsidRPr="00341B38" w:rsidRDefault="00341E34" w:rsidP="00341E34">
      <w:pPr>
        <w:pStyle w:val="Paragraphedeliste"/>
        <w:numPr>
          <w:ilvl w:val="0"/>
          <w:numId w:val="233"/>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 xml:space="preserve">Notification d’intention d’attribution et délai </w:t>
      </w:r>
      <w:r w:rsidR="002911A5">
        <w:rPr>
          <w:rFonts w:ascii="Andes" w:eastAsiaTheme="minorHAnsi" w:hAnsi="Andes" w:cs="Arial"/>
          <w:b/>
          <w:color w:val="000000"/>
          <w:sz w:val="22"/>
          <w:szCs w:val="22"/>
        </w:rPr>
        <w:t>d’attente</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w:t>
      </w:r>
      <w:r w:rsidRPr="00D124D9">
        <w:rPr>
          <w:rFonts w:ascii="Andes" w:eastAsiaTheme="minorHAnsi" w:hAnsi="Andes" w:cs="Arial"/>
          <w:color w:val="000000"/>
          <w:sz w:val="22"/>
          <w:szCs w:val="22"/>
        </w:rPr>
        <w:t xml:space="preserve"> conformément aux paragraphes 5.7</w:t>
      </w:r>
      <w:r w:rsidR="00560015">
        <w:rPr>
          <w:rFonts w:ascii="Andes" w:eastAsiaTheme="minorHAnsi" w:hAnsi="Andes" w:cs="Arial"/>
          <w:color w:val="000000"/>
          <w:sz w:val="22"/>
          <w:szCs w:val="22"/>
        </w:rPr>
        <w:t>5</w:t>
      </w:r>
      <w:r w:rsidRPr="00D124D9">
        <w:rPr>
          <w:rFonts w:ascii="Andes" w:eastAsiaTheme="minorHAnsi" w:hAnsi="Andes" w:cs="Arial"/>
          <w:color w:val="000000"/>
          <w:sz w:val="22"/>
          <w:szCs w:val="22"/>
        </w:rPr>
        <w:t xml:space="preserve"> à 5.77 </w:t>
      </w:r>
      <w:r w:rsidRPr="00341B38">
        <w:rPr>
          <w:rFonts w:ascii="Andes" w:eastAsiaTheme="minorHAnsi" w:hAnsi="Andes" w:cs="Arial"/>
          <w:color w:val="000000"/>
          <w:sz w:val="22"/>
          <w:szCs w:val="22"/>
        </w:rPr>
        <w:t>(Notification d’Intention d’Attribution de Marché/Contrat), et 5.78 à 5.80 (Délai de suspension)</w:t>
      </w:r>
      <w:r w:rsidRPr="00341B38">
        <w:rPr>
          <w:rFonts w:ascii="Calibri" w:eastAsiaTheme="minorHAnsi" w:hAnsi="Calibri" w:cs="Arial"/>
          <w:color w:val="000000"/>
          <w:sz w:val="22"/>
          <w:szCs w:val="22"/>
        </w:rPr>
        <w:t> </w:t>
      </w:r>
      <w:r w:rsidRPr="00341B38">
        <w:rPr>
          <w:rFonts w:ascii="Andes" w:eastAsiaTheme="minorHAnsi" w:hAnsi="Andes" w:cs="Arial"/>
          <w:color w:val="000000"/>
          <w:sz w:val="22"/>
          <w:szCs w:val="22"/>
        </w:rPr>
        <w:t>;</w:t>
      </w:r>
    </w:p>
    <w:p w14:paraId="447AF275" w14:textId="51043396" w:rsidR="00341E34" w:rsidRPr="00341B38" w:rsidRDefault="00341E34" w:rsidP="00341E34">
      <w:pPr>
        <w:pStyle w:val="Paragraphedeliste"/>
        <w:numPr>
          <w:ilvl w:val="0"/>
          <w:numId w:val="233"/>
        </w:numPr>
        <w:spacing w:before="0" w:line="240" w:lineRule="auto"/>
        <w:contextualSpacing w:val="0"/>
        <w:rPr>
          <w:rFonts w:ascii="Andes" w:eastAsiaTheme="minorHAnsi" w:hAnsi="Andes" w:cs="Arial"/>
          <w:color w:val="000000"/>
          <w:sz w:val="22"/>
          <w:szCs w:val="22"/>
        </w:rPr>
      </w:pPr>
      <w:r w:rsidRPr="00341B38">
        <w:rPr>
          <w:rFonts w:ascii="Andes" w:eastAsiaTheme="minorHAnsi" w:hAnsi="Andes" w:cs="Arial"/>
          <w:b/>
          <w:color w:val="000000"/>
          <w:sz w:val="22"/>
          <w:szCs w:val="22"/>
        </w:rPr>
        <w:lastRenderedPageBreak/>
        <w:t>Attribution et Avis d’attribution du contrat</w:t>
      </w:r>
      <w:r w:rsidRPr="00341B38">
        <w:rPr>
          <w:rFonts w:ascii="Calibri" w:eastAsiaTheme="minorHAnsi" w:hAnsi="Calibri" w:cs="Arial"/>
          <w:b/>
          <w:color w:val="000000"/>
          <w:sz w:val="22"/>
          <w:szCs w:val="22"/>
        </w:rPr>
        <w:t> </w:t>
      </w:r>
      <w:r w:rsidRPr="00341B38">
        <w:rPr>
          <w:rFonts w:ascii="Andes" w:eastAsiaTheme="minorHAnsi" w:hAnsi="Andes" w:cs="Arial"/>
          <w:color w:val="000000"/>
          <w:sz w:val="22"/>
          <w:szCs w:val="22"/>
        </w:rPr>
        <w:t xml:space="preserve">: conformément aux paragraphes 5.88 à 5.92 (Fin du Délai </w:t>
      </w:r>
      <w:r w:rsidR="002911A5">
        <w:rPr>
          <w:rFonts w:ascii="Andes" w:eastAsiaTheme="minorHAnsi" w:hAnsi="Andes" w:cs="Arial"/>
          <w:color w:val="000000"/>
          <w:sz w:val="22"/>
          <w:szCs w:val="22"/>
        </w:rPr>
        <w:t>d’</w:t>
      </w:r>
      <w:r w:rsidR="00E74B91">
        <w:rPr>
          <w:rFonts w:ascii="Andes" w:eastAsiaTheme="minorHAnsi" w:hAnsi="Andes" w:cs="Arial"/>
          <w:color w:val="000000"/>
          <w:sz w:val="22"/>
          <w:szCs w:val="22"/>
        </w:rPr>
        <w:t>A</w:t>
      </w:r>
      <w:r w:rsidR="002911A5">
        <w:rPr>
          <w:rFonts w:ascii="Andes" w:eastAsiaTheme="minorHAnsi" w:hAnsi="Andes" w:cs="Arial"/>
          <w:color w:val="000000"/>
          <w:sz w:val="22"/>
          <w:szCs w:val="22"/>
        </w:rPr>
        <w:t>ttente</w:t>
      </w:r>
      <w:r w:rsidRPr="00341B38">
        <w:rPr>
          <w:rFonts w:ascii="Andes" w:eastAsiaTheme="minorHAnsi" w:hAnsi="Andes" w:cs="Arial"/>
          <w:color w:val="000000"/>
          <w:sz w:val="22"/>
          <w:szCs w:val="22"/>
        </w:rPr>
        <w:t xml:space="preserve"> et attribution du marché), et 5.93 à 5.95 (Avis d’Attribution de Marché/Contrat)</w:t>
      </w:r>
      <w:r w:rsidRPr="00341B38">
        <w:rPr>
          <w:rFonts w:ascii="Calibri" w:eastAsiaTheme="minorHAnsi" w:hAnsi="Calibri" w:cs="Arial"/>
          <w:color w:val="000000"/>
          <w:sz w:val="22"/>
          <w:szCs w:val="22"/>
        </w:rPr>
        <w:t> </w:t>
      </w:r>
      <w:r w:rsidRPr="00341B38">
        <w:rPr>
          <w:rFonts w:ascii="Andes" w:eastAsiaTheme="minorHAnsi" w:hAnsi="Andes" w:cs="Arial"/>
          <w:color w:val="000000"/>
          <w:sz w:val="22"/>
          <w:szCs w:val="22"/>
        </w:rPr>
        <w:t>; et</w:t>
      </w:r>
    </w:p>
    <w:p w14:paraId="3BB44B85" w14:textId="77777777" w:rsidR="00341E34" w:rsidRPr="00341B38" w:rsidRDefault="00341E34" w:rsidP="00341E34">
      <w:pPr>
        <w:pStyle w:val="Paragraphedeliste"/>
        <w:numPr>
          <w:ilvl w:val="0"/>
          <w:numId w:val="233"/>
        </w:numPr>
        <w:spacing w:before="0" w:line="240" w:lineRule="auto"/>
        <w:contextualSpacing w:val="0"/>
        <w:rPr>
          <w:rFonts w:ascii="Andes" w:eastAsiaTheme="minorHAnsi" w:hAnsi="Andes" w:cs="Arial"/>
          <w:color w:val="000000"/>
          <w:sz w:val="22"/>
          <w:szCs w:val="22"/>
        </w:rPr>
      </w:pPr>
      <w:r w:rsidRPr="00341B38">
        <w:rPr>
          <w:rFonts w:ascii="Andes" w:eastAsiaTheme="minorHAnsi" w:hAnsi="Andes" w:cs="Arial"/>
          <w:b/>
          <w:color w:val="000000"/>
          <w:sz w:val="22"/>
          <w:szCs w:val="22"/>
        </w:rPr>
        <w:t>Débriefing </w:t>
      </w:r>
      <w:r w:rsidRPr="00341B38">
        <w:rPr>
          <w:rFonts w:ascii="Andes" w:eastAsiaTheme="minorHAnsi" w:hAnsi="Andes" w:cs="Arial"/>
          <w:color w:val="000000"/>
          <w:sz w:val="22"/>
          <w:szCs w:val="22"/>
        </w:rPr>
        <w:t>: conformément aux paragraphes 5.81 à 5.87 (Débriefing par l’Emprunteur).</w:t>
      </w:r>
    </w:p>
    <w:p w14:paraId="0EC1FF11" w14:textId="50260CF7" w:rsidR="00341E34" w:rsidRPr="00341B38" w:rsidRDefault="00341E34" w:rsidP="00341E34">
      <w:pPr>
        <w:pStyle w:val="Paragraphedeliste"/>
        <w:spacing w:before="240" w:line="240" w:lineRule="auto"/>
        <w:contextualSpacing w:val="0"/>
        <w:rPr>
          <w:rFonts w:ascii="Andes" w:hAnsi="Andes" w:cs="Arial"/>
          <w:b/>
          <w:color w:val="000000" w:themeColor="text1"/>
          <w:sz w:val="28"/>
          <w:szCs w:val="28"/>
        </w:rPr>
      </w:pPr>
      <w:r w:rsidRPr="00341B38">
        <w:rPr>
          <w:rFonts w:ascii="Andes" w:hAnsi="Andes" w:cs="Arial"/>
          <w:b/>
          <w:color w:val="000000" w:themeColor="text1"/>
          <w:sz w:val="28"/>
          <w:szCs w:val="28"/>
        </w:rPr>
        <w:t>Procédures de la sélection fondée sur</w:t>
      </w:r>
      <w:r w:rsidR="00D56701">
        <w:rPr>
          <w:rFonts w:ascii="Andes" w:hAnsi="Andes" w:cs="Arial"/>
          <w:b/>
          <w:color w:val="000000" w:themeColor="text1"/>
          <w:sz w:val="28"/>
          <w:szCs w:val="28"/>
        </w:rPr>
        <w:t xml:space="preserve"> la</w:t>
      </w:r>
      <w:r w:rsidR="00D56701" w:rsidRPr="00341B38">
        <w:rPr>
          <w:rFonts w:ascii="Andes" w:hAnsi="Andes" w:cs="Arial"/>
          <w:b/>
          <w:color w:val="000000" w:themeColor="text1"/>
          <w:sz w:val="28"/>
          <w:szCs w:val="28"/>
        </w:rPr>
        <w:t xml:space="preserve"> </w:t>
      </w:r>
      <w:r w:rsidR="00EE46BE">
        <w:rPr>
          <w:rFonts w:ascii="Andes" w:hAnsi="Andes" w:cs="Arial"/>
          <w:b/>
          <w:color w:val="000000" w:themeColor="text1"/>
          <w:sz w:val="28"/>
          <w:szCs w:val="28"/>
        </w:rPr>
        <w:t>Q</w:t>
      </w:r>
      <w:r w:rsidRPr="00341B38">
        <w:rPr>
          <w:rFonts w:ascii="Andes" w:hAnsi="Andes" w:cs="Arial"/>
          <w:b/>
          <w:color w:val="000000" w:themeColor="text1"/>
          <w:sz w:val="28"/>
          <w:szCs w:val="28"/>
        </w:rPr>
        <w:t>ualité</w:t>
      </w:r>
    </w:p>
    <w:p w14:paraId="4362E92C" w14:textId="5ECC36DF" w:rsidR="00341E34" w:rsidRPr="00341B38" w:rsidRDefault="00341E34" w:rsidP="00341E34">
      <w:pPr>
        <w:pStyle w:val="Paragraphedeliste"/>
        <w:numPr>
          <w:ilvl w:val="1"/>
          <w:numId w:val="225"/>
        </w:numPr>
        <w:spacing w:before="0" w:line="240" w:lineRule="auto"/>
        <w:ind w:left="630" w:hanging="630"/>
        <w:contextualSpacing w:val="0"/>
        <w:rPr>
          <w:rFonts w:ascii="Andes" w:hAnsi="Andes" w:cs="Arial"/>
          <w:sz w:val="22"/>
          <w:szCs w:val="22"/>
        </w:rPr>
      </w:pPr>
      <w:r w:rsidRPr="00341B38">
        <w:rPr>
          <w:rFonts w:ascii="Andes" w:hAnsi="Andes" w:cs="Arial"/>
          <w:sz w:val="22"/>
          <w:szCs w:val="22"/>
        </w:rPr>
        <w:t>Sélection fondée sur la qualité</w:t>
      </w:r>
      <w:r w:rsidR="000A7F1B">
        <w:rPr>
          <w:rFonts w:ascii="Andes" w:hAnsi="Andes" w:cs="Arial"/>
          <w:sz w:val="22"/>
          <w:szCs w:val="22"/>
        </w:rPr>
        <w:t xml:space="preserve"> </w:t>
      </w:r>
      <w:r w:rsidRPr="00341B38">
        <w:rPr>
          <w:rFonts w:ascii="Andes" w:hAnsi="Andes" w:cs="Arial"/>
          <w:sz w:val="22"/>
          <w:szCs w:val="22"/>
        </w:rPr>
        <w:t>:</w:t>
      </w:r>
    </w:p>
    <w:p w14:paraId="44980717" w14:textId="77777777" w:rsidR="00341E34" w:rsidRPr="00341B38" w:rsidRDefault="00341E34" w:rsidP="00341E34">
      <w:pPr>
        <w:pStyle w:val="Paragraphedeliste"/>
        <w:numPr>
          <w:ilvl w:val="0"/>
          <w:numId w:val="234"/>
        </w:numPr>
        <w:spacing w:before="0" w:line="240" w:lineRule="auto"/>
        <w:contextualSpacing w:val="0"/>
        <w:rPr>
          <w:rFonts w:ascii="Andes" w:eastAsiaTheme="minorHAnsi" w:hAnsi="Andes" w:cs="Arial"/>
          <w:color w:val="000000"/>
          <w:sz w:val="22"/>
          <w:szCs w:val="22"/>
        </w:rPr>
      </w:pPr>
      <w:r w:rsidRPr="00341B38">
        <w:rPr>
          <w:rFonts w:ascii="Andes" w:eastAsiaTheme="minorHAnsi" w:hAnsi="Andes" w:cs="Arial"/>
          <w:b/>
          <w:color w:val="000000"/>
          <w:sz w:val="22"/>
          <w:szCs w:val="22"/>
        </w:rPr>
        <w:t>Dossier d’appel à propositions</w:t>
      </w:r>
      <w:r w:rsidRPr="00341B38">
        <w:rPr>
          <w:rFonts w:ascii="Calibri" w:eastAsiaTheme="minorHAnsi" w:hAnsi="Calibri" w:cs="Arial"/>
          <w:b/>
          <w:color w:val="000000"/>
          <w:sz w:val="22"/>
          <w:szCs w:val="22"/>
        </w:rPr>
        <w:t> </w:t>
      </w:r>
      <w:r w:rsidRPr="00341B38">
        <w:rPr>
          <w:rFonts w:ascii="Andes" w:eastAsiaTheme="minorHAnsi" w:hAnsi="Andes" w:cs="Arial"/>
          <w:color w:val="000000"/>
          <w:sz w:val="22"/>
          <w:szCs w:val="22"/>
        </w:rPr>
        <w:t>: préparé suivant le modèle type publié par la Banque mondiale en la matière</w:t>
      </w:r>
      <w:r w:rsidRPr="00341B38">
        <w:rPr>
          <w:rFonts w:ascii="Calibri" w:eastAsiaTheme="minorHAnsi" w:hAnsi="Calibri" w:cs="Arial"/>
          <w:color w:val="000000"/>
          <w:sz w:val="22"/>
          <w:szCs w:val="22"/>
        </w:rPr>
        <w:t> ;</w:t>
      </w:r>
    </w:p>
    <w:p w14:paraId="1754C97C" w14:textId="77777777" w:rsidR="00341E34" w:rsidRPr="00341B38" w:rsidRDefault="00341E34" w:rsidP="00341E34">
      <w:pPr>
        <w:pStyle w:val="Paragraphedeliste"/>
        <w:numPr>
          <w:ilvl w:val="0"/>
          <w:numId w:val="234"/>
        </w:numPr>
        <w:spacing w:before="0" w:line="240" w:lineRule="auto"/>
        <w:contextualSpacing w:val="0"/>
        <w:rPr>
          <w:rFonts w:ascii="Andes" w:eastAsiaTheme="minorHAnsi" w:hAnsi="Andes" w:cs="Arial"/>
          <w:color w:val="000000"/>
          <w:sz w:val="22"/>
          <w:szCs w:val="22"/>
        </w:rPr>
      </w:pPr>
      <w:r w:rsidRPr="00341B38">
        <w:rPr>
          <w:rFonts w:ascii="Andes" w:eastAsiaTheme="minorHAnsi" w:hAnsi="Andes" w:cs="Arial"/>
          <w:b/>
          <w:color w:val="000000"/>
          <w:sz w:val="22"/>
          <w:szCs w:val="22"/>
        </w:rPr>
        <w:t>Délai de préparation de la Proposition</w:t>
      </w:r>
      <w:r w:rsidRPr="00341B38">
        <w:rPr>
          <w:rFonts w:ascii="Calibri" w:eastAsiaTheme="minorHAnsi" w:hAnsi="Calibri" w:cs="Arial"/>
          <w:b/>
          <w:color w:val="000000"/>
          <w:sz w:val="22"/>
          <w:szCs w:val="22"/>
        </w:rPr>
        <w:t> </w:t>
      </w:r>
      <w:r w:rsidRPr="00341B38">
        <w:rPr>
          <w:rFonts w:ascii="Andes" w:eastAsiaTheme="minorHAnsi" w:hAnsi="Andes" w:cs="Arial"/>
          <w:color w:val="000000"/>
          <w:sz w:val="22"/>
          <w:szCs w:val="22"/>
        </w:rPr>
        <w:t>: l’Emprunteur donne suffisamment de temps aux entreprises pour préparer leurs Propositions en fonction de la nature et de la complexité de la mission</w:t>
      </w:r>
      <w:r w:rsidRPr="00341B38">
        <w:rPr>
          <w:rFonts w:ascii="Calibri" w:eastAsiaTheme="minorHAnsi" w:hAnsi="Calibri" w:cs="Arial"/>
          <w:color w:val="000000"/>
          <w:sz w:val="22"/>
          <w:szCs w:val="22"/>
        </w:rPr>
        <w:t> </w:t>
      </w:r>
      <w:r w:rsidRPr="00341B38">
        <w:rPr>
          <w:rFonts w:ascii="Andes" w:eastAsiaTheme="minorHAnsi" w:hAnsi="Andes" w:cs="Arial"/>
          <w:color w:val="000000"/>
          <w:sz w:val="22"/>
          <w:szCs w:val="22"/>
        </w:rPr>
        <w:t>;</w:t>
      </w:r>
    </w:p>
    <w:p w14:paraId="2AC26281" w14:textId="77777777" w:rsidR="00341E34" w:rsidRPr="00341B38" w:rsidRDefault="00341E34" w:rsidP="00341E34">
      <w:pPr>
        <w:pStyle w:val="Paragraphedeliste"/>
        <w:numPr>
          <w:ilvl w:val="0"/>
          <w:numId w:val="234"/>
        </w:numPr>
        <w:spacing w:before="0" w:line="240" w:lineRule="auto"/>
        <w:contextualSpacing w:val="0"/>
        <w:rPr>
          <w:rFonts w:ascii="Andes" w:eastAsiaTheme="minorHAnsi" w:hAnsi="Andes" w:cs="Arial"/>
          <w:color w:val="000000"/>
          <w:sz w:val="22"/>
          <w:szCs w:val="22"/>
        </w:rPr>
      </w:pPr>
      <w:r w:rsidRPr="00341B38">
        <w:rPr>
          <w:rFonts w:ascii="Andes" w:eastAsiaTheme="minorHAnsi" w:hAnsi="Andes" w:cs="Arial"/>
          <w:b/>
          <w:color w:val="000000"/>
          <w:sz w:val="22"/>
          <w:szCs w:val="22"/>
        </w:rPr>
        <w:t>Lettre d’invitation à soumettre des propositions</w:t>
      </w:r>
      <w:r w:rsidRPr="00341B38">
        <w:rPr>
          <w:rFonts w:ascii="Calibri" w:eastAsiaTheme="minorHAnsi" w:hAnsi="Calibri" w:cs="Arial"/>
          <w:b/>
          <w:color w:val="000000"/>
          <w:sz w:val="22"/>
          <w:szCs w:val="22"/>
        </w:rPr>
        <w:t> </w:t>
      </w:r>
      <w:r w:rsidRPr="00341B38">
        <w:rPr>
          <w:rFonts w:ascii="Andes" w:eastAsiaTheme="minorHAnsi" w:hAnsi="Andes" w:cs="Arial"/>
          <w:color w:val="000000"/>
          <w:sz w:val="22"/>
          <w:szCs w:val="22"/>
        </w:rPr>
        <w:t>: l’Emprunteur adresse une lettre d’invitation à soumettre des Propositions en même temps que le dossier d’appel à propositions à toutes les entreprises présélectionnées</w:t>
      </w:r>
      <w:r w:rsidRPr="00341B38">
        <w:rPr>
          <w:rFonts w:ascii="Calibri" w:eastAsiaTheme="minorHAnsi" w:hAnsi="Calibri" w:cs="Arial"/>
          <w:color w:val="000000"/>
          <w:sz w:val="22"/>
          <w:szCs w:val="22"/>
        </w:rPr>
        <w:t> </w:t>
      </w:r>
      <w:r w:rsidRPr="00341B38">
        <w:rPr>
          <w:rFonts w:ascii="Andes" w:eastAsiaTheme="minorHAnsi" w:hAnsi="Andes" w:cs="Arial"/>
          <w:color w:val="000000"/>
          <w:sz w:val="22"/>
          <w:szCs w:val="22"/>
        </w:rPr>
        <w:t>;</w:t>
      </w:r>
    </w:p>
    <w:p w14:paraId="7E49BB23" w14:textId="67D73303" w:rsidR="00341E34" w:rsidRPr="00341B38" w:rsidRDefault="00341E34" w:rsidP="00341E34">
      <w:pPr>
        <w:pStyle w:val="Paragraphedeliste"/>
        <w:numPr>
          <w:ilvl w:val="0"/>
          <w:numId w:val="234"/>
        </w:numPr>
        <w:spacing w:before="0" w:line="240" w:lineRule="auto"/>
        <w:contextualSpacing w:val="0"/>
        <w:rPr>
          <w:rFonts w:ascii="Andes" w:eastAsiaTheme="minorHAnsi" w:hAnsi="Andes" w:cs="Arial"/>
          <w:color w:val="000000"/>
          <w:sz w:val="22"/>
          <w:szCs w:val="22"/>
        </w:rPr>
      </w:pPr>
      <w:r w:rsidRPr="00341B38">
        <w:rPr>
          <w:rFonts w:ascii="Andes" w:eastAsiaTheme="minorHAnsi" w:hAnsi="Andes" w:cs="Arial"/>
          <w:b/>
          <w:color w:val="000000"/>
          <w:sz w:val="22"/>
          <w:szCs w:val="22"/>
        </w:rPr>
        <w:t xml:space="preserve">Éclaircissements et </w:t>
      </w:r>
      <w:r w:rsidR="008402BC" w:rsidRPr="00341B38">
        <w:rPr>
          <w:rFonts w:ascii="Andes" w:eastAsiaTheme="minorHAnsi" w:hAnsi="Andes" w:cs="Arial"/>
          <w:b/>
          <w:color w:val="000000"/>
          <w:sz w:val="22"/>
          <w:szCs w:val="22"/>
        </w:rPr>
        <w:t>a</w:t>
      </w:r>
      <w:r w:rsidR="008402BC">
        <w:rPr>
          <w:rFonts w:ascii="Andes" w:eastAsiaTheme="minorHAnsi" w:hAnsi="Andes" w:cs="Arial"/>
          <w:b/>
          <w:color w:val="000000"/>
          <w:sz w:val="22"/>
          <w:szCs w:val="22"/>
        </w:rPr>
        <w:t>dditif</w:t>
      </w:r>
      <w:r w:rsidR="008402BC" w:rsidRPr="00341B38">
        <w:rPr>
          <w:rFonts w:ascii="Andes" w:eastAsiaTheme="minorHAnsi" w:hAnsi="Andes" w:cs="Arial"/>
          <w:b/>
          <w:color w:val="000000"/>
          <w:sz w:val="22"/>
          <w:szCs w:val="22"/>
        </w:rPr>
        <w:t>s</w:t>
      </w:r>
      <w:r w:rsidR="008402BC" w:rsidRPr="00341B38">
        <w:rPr>
          <w:rFonts w:ascii="Calibri" w:eastAsiaTheme="minorHAnsi" w:hAnsi="Calibri" w:cs="Arial"/>
          <w:b/>
          <w:color w:val="000000"/>
          <w:sz w:val="22"/>
          <w:szCs w:val="22"/>
        </w:rPr>
        <w:t> </w:t>
      </w:r>
      <w:r w:rsidRPr="00341B38">
        <w:rPr>
          <w:rFonts w:ascii="Andes" w:eastAsiaTheme="minorHAnsi" w:hAnsi="Andes" w:cs="Arial"/>
          <w:b/>
          <w:color w:val="000000"/>
          <w:sz w:val="22"/>
          <w:szCs w:val="22"/>
        </w:rPr>
        <w:t>:</w:t>
      </w:r>
      <w:r w:rsidRPr="00341B38">
        <w:rPr>
          <w:rFonts w:ascii="Andes" w:eastAsiaTheme="minorHAnsi" w:hAnsi="Andes" w:cs="Arial"/>
          <w:color w:val="000000"/>
          <w:sz w:val="22"/>
          <w:szCs w:val="22"/>
        </w:rPr>
        <w:t xml:space="preserve"> ils doivent se conformer aux dispositions des paragraphes 5.31 et 5.32 (Éclaircissements sur les Dossiers de Passation des Marchés)</w:t>
      </w:r>
      <w:r w:rsidRPr="00341B38">
        <w:rPr>
          <w:rFonts w:ascii="Calibri" w:eastAsiaTheme="minorHAnsi" w:hAnsi="Calibri" w:cs="Arial"/>
          <w:color w:val="000000"/>
          <w:sz w:val="22"/>
          <w:szCs w:val="22"/>
        </w:rPr>
        <w:t> </w:t>
      </w:r>
      <w:r w:rsidRPr="00341B38">
        <w:rPr>
          <w:rFonts w:ascii="Andes" w:eastAsiaTheme="minorHAnsi" w:hAnsi="Andes" w:cs="Arial"/>
          <w:color w:val="000000"/>
          <w:sz w:val="22"/>
          <w:szCs w:val="22"/>
        </w:rPr>
        <w:t>;</w:t>
      </w:r>
    </w:p>
    <w:p w14:paraId="6D9D2A78" w14:textId="77777777" w:rsidR="00341E34" w:rsidRPr="00D124D9" w:rsidRDefault="00341E34" w:rsidP="00341E34">
      <w:pPr>
        <w:pStyle w:val="Paragraphedeliste"/>
        <w:numPr>
          <w:ilvl w:val="0"/>
          <w:numId w:val="234"/>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Remise des Propositions</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w:t>
      </w:r>
      <w:r w:rsidRPr="00D124D9">
        <w:rPr>
          <w:rFonts w:ascii="Andes" w:eastAsiaTheme="minorHAnsi" w:hAnsi="Andes" w:cs="Arial"/>
          <w:color w:val="000000"/>
          <w:sz w:val="22"/>
          <w:szCs w:val="22"/>
        </w:rPr>
        <w:t xml:space="preserve"> l’Emprunteur choisit l’une </w:t>
      </w:r>
      <w:r>
        <w:rPr>
          <w:rFonts w:ascii="Andes" w:eastAsiaTheme="minorHAnsi" w:hAnsi="Andes" w:cs="Arial"/>
          <w:color w:val="000000"/>
          <w:sz w:val="22"/>
          <w:szCs w:val="22"/>
        </w:rPr>
        <w:t>d</w:t>
      </w:r>
      <w:r w:rsidRPr="00D124D9">
        <w:rPr>
          <w:rFonts w:ascii="Andes" w:eastAsiaTheme="minorHAnsi" w:hAnsi="Andes" w:cs="Arial"/>
          <w:color w:val="000000"/>
          <w:sz w:val="22"/>
          <w:szCs w:val="22"/>
        </w:rPr>
        <w:t>es deux (02) options suivantes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41732811" w14:textId="77777777" w:rsidR="00341E34" w:rsidRPr="00D124D9" w:rsidRDefault="00341E34" w:rsidP="00341E34">
      <w:pPr>
        <w:pStyle w:val="Paragraphedeliste"/>
        <w:numPr>
          <w:ilvl w:val="0"/>
          <w:numId w:val="93"/>
        </w:numPr>
        <w:tabs>
          <w:tab w:val="left" w:pos="720"/>
          <w:tab w:val="left" w:pos="1800"/>
        </w:tabs>
        <w:spacing w:before="0" w:line="240" w:lineRule="auto"/>
        <w:ind w:left="1814" w:hanging="187"/>
        <w:contextualSpacing w:val="0"/>
        <w:rPr>
          <w:rFonts w:ascii="Andes" w:hAnsi="Andes" w:cs="Arial"/>
          <w:sz w:val="22"/>
          <w:szCs w:val="22"/>
        </w:rPr>
      </w:pPr>
      <w:r>
        <w:rPr>
          <w:rFonts w:ascii="Andes" w:hAnsi="Andes" w:cs="Arial"/>
          <w:sz w:val="22"/>
          <w:szCs w:val="22"/>
        </w:rPr>
        <w:t>les P</w:t>
      </w:r>
      <w:r w:rsidRPr="00D124D9">
        <w:rPr>
          <w:rFonts w:ascii="Andes" w:hAnsi="Andes" w:cs="Arial"/>
          <w:sz w:val="22"/>
          <w:szCs w:val="22"/>
        </w:rPr>
        <w:t xml:space="preserve">ropositions techniques et financières sont </w:t>
      </w:r>
      <w:r>
        <w:rPr>
          <w:rFonts w:ascii="Andes" w:hAnsi="Andes" w:cs="Arial"/>
          <w:sz w:val="22"/>
          <w:szCs w:val="22"/>
        </w:rPr>
        <w:t>remises</w:t>
      </w:r>
      <w:r w:rsidRPr="00D124D9">
        <w:rPr>
          <w:rFonts w:ascii="Andes" w:hAnsi="Andes" w:cs="Arial"/>
          <w:sz w:val="22"/>
          <w:szCs w:val="22"/>
        </w:rPr>
        <w:t xml:space="preserve"> au même moment dans deux (02) </w:t>
      </w:r>
      <w:r>
        <w:rPr>
          <w:rFonts w:ascii="Andes" w:hAnsi="Andes" w:cs="Arial"/>
          <w:sz w:val="22"/>
          <w:szCs w:val="22"/>
        </w:rPr>
        <w:t>plis</w:t>
      </w:r>
      <w:r w:rsidRPr="00D124D9">
        <w:rPr>
          <w:rFonts w:ascii="Andes" w:hAnsi="Andes" w:cs="Arial"/>
          <w:sz w:val="22"/>
          <w:szCs w:val="22"/>
        </w:rPr>
        <w:t xml:space="preserve"> cacheté</w:t>
      </w:r>
      <w:r>
        <w:rPr>
          <w:rFonts w:ascii="Andes" w:hAnsi="Andes" w:cs="Arial"/>
          <w:sz w:val="22"/>
          <w:szCs w:val="22"/>
        </w:rPr>
        <w:t>s séparé</w:t>
      </w:r>
      <w:r w:rsidRPr="00D124D9">
        <w:rPr>
          <w:rFonts w:ascii="Andes" w:hAnsi="Andes" w:cs="Arial"/>
          <w:sz w:val="22"/>
          <w:szCs w:val="22"/>
        </w:rPr>
        <w:t>s</w:t>
      </w:r>
      <w:r w:rsidRPr="00D124D9">
        <w:rPr>
          <w:rFonts w:ascii="Calibri" w:hAnsi="Calibri" w:cs="Arial"/>
          <w:sz w:val="22"/>
          <w:szCs w:val="22"/>
        </w:rPr>
        <w:t> </w:t>
      </w:r>
      <w:r w:rsidRPr="00D124D9">
        <w:rPr>
          <w:rFonts w:ascii="Andes" w:hAnsi="Andes" w:cs="Arial"/>
          <w:sz w:val="22"/>
          <w:szCs w:val="22"/>
        </w:rPr>
        <w:t>; o</w:t>
      </w:r>
      <w:r>
        <w:rPr>
          <w:rFonts w:ascii="Andes" w:hAnsi="Andes" w:cs="Arial"/>
          <w:sz w:val="22"/>
          <w:szCs w:val="22"/>
        </w:rPr>
        <w:t>u</w:t>
      </w:r>
    </w:p>
    <w:p w14:paraId="79D4F25C" w14:textId="77777777" w:rsidR="00341E34" w:rsidRPr="00D124D9" w:rsidRDefault="00341E34" w:rsidP="00341E34">
      <w:pPr>
        <w:pStyle w:val="Paragraphedeliste"/>
        <w:numPr>
          <w:ilvl w:val="0"/>
          <w:numId w:val="93"/>
        </w:numPr>
        <w:tabs>
          <w:tab w:val="left" w:pos="720"/>
          <w:tab w:val="left" w:pos="1800"/>
        </w:tabs>
        <w:spacing w:before="0" w:line="240" w:lineRule="auto"/>
        <w:ind w:left="1814" w:hanging="187"/>
        <w:contextualSpacing w:val="0"/>
        <w:rPr>
          <w:rFonts w:ascii="Andes" w:hAnsi="Andes" w:cs="Arial"/>
          <w:sz w:val="22"/>
          <w:szCs w:val="22"/>
        </w:rPr>
      </w:pPr>
      <w:r w:rsidRPr="00D124D9">
        <w:rPr>
          <w:rFonts w:ascii="Andes" w:hAnsi="Andes" w:cs="Arial"/>
          <w:sz w:val="22"/>
          <w:szCs w:val="22"/>
        </w:rPr>
        <w:t xml:space="preserve">seules les </w:t>
      </w:r>
      <w:r>
        <w:rPr>
          <w:rFonts w:ascii="Andes" w:hAnsi="Andes" w:cs="Arial"/>
          <w:sz w:val="22"/>
          <w:szCs w:val="22"/>
        </w:rPr>
        <w:t>P</w:t>
      </w:r>
      <w:r w:rsidRPr="00D124D9">
        <w:rPr>
          <w:rFonts w:ascii="Andes" w:hAnsi="Andes" w:cs="Arial"/>
          <w:sz w:val="22"/>
          <w:szCs w:val="22"/>
        </w:rPr>
        <w:t xml:space="preserve">ropositions techniques sont </w:t>
      </w:r>
      <w:r>
        <w:rPr>
          <w:rFonts w:ascii="Andes" w:hAnsi="Andes" w:cs="Arial"/>
          <w:sz w:val="22"/>
          <w:szCs w:val="22"/>
        </w:rPr>
        <w:t>remises</w:t>
      </w:r>
      <w:r w:rsidRPr="00D124D9">
        <w:rPr>
          <w:rFonts w:ascii="Andes" w:hAnsi="Andes" w:cs="Arial"/>
          <w:sz w:val="22"/>
          <w:szCs w:val="22"/>
        </w:rPr>
        <w:t xml:space="preserve"> et à l’issue de leur évaluation, l’Emprunteur invite l’entreprise ayant obtenu la meilleure note technique à soumettre une </w:t>
      </w:r>
      <w:r>
        <w:rPr>
          <w:rFonts w:ascii="Andes" w:hAnsi="Andes" w:cs="Arial"/>
          <w:sz w:val="22"/>
          <w:szCs w:val="22"/>
        </w:rPr>
        <w:t>P</w:t>
      </w:r>
      <w:r w:rsidRPr="00D124D9">
        <w:rPr>
          <w:rFonts w:ascii="Andes" w:hAnsi="Andes" w:cs="Arial"/>
          <w:sz w:val="22"/>
          <w:szCs w:val="22"/>
        </w:rPr>
        <w:t>roposition financière détaillée qui sera négociée</w:t>
      </w:r>
      <w:r w:rsidRPr="00D124D9">
        <w:rPr>
          <w:rFonts w:ascii="Calibri" w:hAnsi="Calibri" w:cs="Arial"/>
          <w:sz w:val="22"/>
          <w:szCs w:val="22"/>
        </w:rPr>
        <w:t> </w:t>
      </w:r>
      <w:r w:rsidRPr="00D124D9">
        <w:rPr>
          <w:rFonts w:ascii="Andes" w:hAnsi="Andes" w:cs="Arial"/>
          <w:sz w:val="22"/>
          <w:szCs w:val="22"/>
        </w:rPr>
        <w:t>;</w:t>
      </w:r>
    </w:p>
    <w:p w14:paraId="7962999F" w14:textId="0E0DE87F" w:rsidR="00341E34" w:rsidRPr="00D124D9" w:rsidRDefault="00341E34" w:rsidP="00341E34">
      <w:pPr>
        <w:pStyle w:val="Paragraphedeliste"/>
        <w:numPr>
          <w:ilvl w:val="0"/>
          <w:numId w:val="234"/>
        </w:numPr>
        <w:spacing w:before="0" w:line="240" w:lineRule="auto"/>
        <w:contextualSpacing w:val="0"/>
        <w:rPr>
          <w:rFonts w:ascii="Andes" w:eastAsiaTheme="minorHAnsi" w:hAnsi="Andes" w:cs="Arial"/>
          <w:color w:val="000000"/>
          <w:sz w:val="22"/>
          <w:szCs w:val="22"/>
        </w:rPr>
      </w:pPr>
      <w:r>
        <w:rPr>
          <w:rFonts w:ascii="Andes" w:eastAsiaTheme="minorHAnsi" w:hAnsi="Andes" w:cs="Arial"/>
          <w:b/>
          <w:color w:val="000000"/>
          <w:sz w:val="22"/>
          <w:szCs w:val="22"/>
        </w:rPr>
        <w:t>Ouverture des plis contenant les P</w:t>
      </w:r>
      <w:r w:rsidRPr="00D124D9">
        <w:rPr>
          <w:rFonts w:ascii="Andes" w:eastAsiaTheme="minorHAnsi" w:hAnsi="Andes" w:cs="Arial"/>
          <w:b/>
          <w:color w:val="000000"/>
          <w:sz w:val="22"/>
          <w:szCs w:val="22"/>
        </w:rPr>
        <w:t>ropositions techniques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xml:space="preserve">: </w:t>
      </w:r>
      <w:r w:rsidRPr="00D124D9">
        <w:rPr>
          <w:rFonts w:ascii="Andes" w:hAnsi="Andes" w:cs="Arial"/>
          <w:sz w:val="22"/>
          <w:szCs w:val="22"/>
        </w:rPr>
        <w:t xml:space="preserve">conformément aux paragraphes 5.40 à 5.48 (Ouverture des </w:t>
      </w:r>
      <w:r>
        <w:rPr>
          <w:rFonts w:ascii="Andes" w:hAnsi="Andes" w:cs="Arial"/>
          <w:sz w:val="22"/>
          <w:szCs w:val="22"/>
        </w:rPr>
        <w:t>plis</w:t>
      </w:r>
      <w:r w:rsidRPr="00D124D9">
        <w:rPr>
          <w:rFonts w:ascii="Andes" w:hAnsi="Andes" w:cs="Arial"/>
          <w:sz w:val="22"/>
          <w:szCs w:val="22"/>
        </w:rPr>
        <w:t xml:space="preserve">), selon le cas, l’Emprunteur ouvre uniquement les </w:t>
      </w:r>
      <w:r>
        <w:rPr>
          <w:rFonts w:ascii="Andes" w:hAnsi="Andes" w:cs="Arial"/>
          <w:sz w:val="22"/>
          <w:szCs w:val="22"/>
        </w:rPr>
        <w:t>P</w:t>
      </w:r>
      <w:r w:rsidRPr="00D124D9">
        <w:rPr>
          <w:rFonts w:ascii="Andes" w:hAnsi="Andes" w:cs="Arial"/>
          <w:sz w:val="22"/>
          <w:szCs w:val="22"/>
        </w:rPr>
        <w:t>ropositions techniques reçues dans les délais fixés pour l</w:t>
      </w:r>
      <w:r>
        <w:rPr>
          <w:rFonts w:ascii="Andes" w:hAnsi="Andes" w:cs="Arial"/>
          <w:sz w:val="22"/>
          <w:szCs w:val="22"/>
        </w:rPr>
        <w:t>a remise</w:t>
      </w:r>
      <w:r w:rsidRPr="00D124D9">
        <w:rPr>
          <w:rFonts w:ascii="Andes" w:hAnsi="Andes" w:cs="Arial"/>
          <w:sz w:val="22"/>
          <w:szCs w:val="22"/>
        </w:rPr>
        <w:t xml:space="preserve"> des Propositions</w:t>
      </w:r>
      <w:r w:rsidRPr="00D124D9">
        <w:rPr>
          <w:rFonts w:ascii="Calibri" w:hAnsi="Calibri" w:cs="Arial"/>
          <w:sz w:val="22"/>
          <w:szCs w:val="22"/>
        </w:rPr>
        <w:t> </w:t>
      </w:r>
      <w:r w:rsidRPr="00D124D9">
        <w:rPr>
          <w:rFonts w:ascii="Andes" w:eastAsiaTheme="minorHAnsi" w:hAnsi="Andes" w:cs="Arial"/>
          <w:color w:val="000000"/>
          <w:sz w:val="22"/>
          <w:szCs w:val="22"/>
        </w:rPr>
        <w:t>;</w:t>
      </w:r>
    </w:p>
    <w:p w14:paraId="56AC5FAC" w14:textId="0CD27547" w:rsidR="00341E34" w:rsidRPr="00D124D9" w:rsidRDefault="00341E34" w:rsidP="00341E34">
      <w:pPr>
        <w:pStyle w:val="Paragraphedeliste"/>
        <w:numPr>
          <w:ilvl w:val="0"/>
          <w:numId w:val="234"/>
        </w:numPr>
        <w:spacing w:before="0" w:line="240" w:lineRule="auto"/>
        <w:contextualSpacing w:val="0"/>
        <w:rPr>
          <w:rFonts w:ascii="Andes" w:eastAsiaTheme="minorHAnsi" w:hAnsi="Andes" w:cs="Arial"/>
          <w:color w:val="000000"/>
          <w:sz w:val="22"/>
          <w:szCs w:val="22"/>
        </w:rPr>
      </w:pPr>
      <w:r>
        <w:rPr>
          <w:rFonts w:ascii="Andes" w:eastAsiaTheme="minorHAnsi" w:hAnsi="Andes" w:cs="Arial"/>
          <w:b/>
          <w:color w:val="000000"/>
          <w:sz w:val="22"/>
          <w:szCs w:val="22"/>
        </w:rPr>
        <w:t>Évaluation des P</w:t>
      </w:r>
      <w:r w:rsidRPr="00D124D9">
        <w:rPr>
          <w:rFonts w:ascii="Andes" w:eastAsiaTheme="minorHAnsi" w:hAnsi="Andes" w:cs="Arial"/>
          <w:b/>
          <w:color w:val="000000"/>
          <w:sz w:val="22"/>
          <w:szCs w:val="22"/>
        </w:rPr>
        <w:t>ropositions techniques</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w:t>
      </w:r>
      <w:r w:rsidRPr="00D124D9">
        <w:rPr>
          <w:rFonts w:ascii="Andes" w:eastAsiaTheme="minorHAnsi" w:hAnsi="Andes" w:cs="Arial"/>
          <w:color w:val="000000"/>
          <w:sz w:val="22"/>
          <w:szCs w:val="22"/>
        </w:rPr>
        <w:t xml:space="preserve"> </w:t>
      </w:r>
      <w:r>
        <w:rPr>
          <w:rFonts w:ascii="Andes" w:eastAsiaTheme="minorHAnsi" w:hAnsi="Andes" w:cs="Arial"/>
          <w:color w:val="000000"/>
          <w:sz w:val="22"/>
          <w:szCs w:val="22"/>
        </w:rPr>
        <w:t>elle se fonde sur l</w:t>
      </w:r>
      <w:r w:rsidRPr="00D124D9">
        <w:rPr>
          <w:rFonts w:ascii="Andes" w:eastAsiaTheme="minorHAnsi" w:hAnsi="Andes" w:cs="Arial"/>
          <w:color w:val="000000"/>
          <w:sz w:val="22"/>
          <w:szCs w:val="22"/>
        </w:rPr>
        <w:t xml:space="preserve">es </w:t>
      </w:r>
      <w:r w:rsidR="007351DF">
        <w:rPr>
          <w:rFonts w:ascii="Andes" w:eastAsiaTheme="minorHAnsi" w:hAnsi="Andes" w:cs="Arial"/>
          <w:color w:val="000000"/>
          <w:sz w:val="22"/>
          <w:szCs w:val="22"/>
        </w:rPr>
        <w:t>C</w:t>
      </w:r>
      <w:r w:rsidRPr="00D124D9">
        <w:rPr>
          <w:rFonts w:ascii="Andes" w:eastAsiaTheme="minorHAnsi" w:hAnsi="Andes" w:cs="Arial"/>
          <w:color w:val="000000"/>
          <w:sz w:val="22"/>
          <w:szCs w:val="22"/>
        </w:rPr>
        <w:t>ritères d’</w:t>
      </w:r>
      <w:r w:rsidR="007351DF">
        <w:rPr>
          <w:rFonts w:ascii="Andes" w:eastAsiaTheme="minorHAnsi" w:hAnsi="Andes" w:cs="Arial"/>
          <w:color w:val="000000"/>
          <w:sz w:val="22"/>
          <w:szCs w:val="22"/>
        </w:rPr>
        <w:t>E</w:t>
      </w:r>
      <w:r w:rsidRPr="00D124D9">
        <w:rPr>
          <w:rFonts w:ascii="Andes" w:eastAsiaTheme="minorHAnsi" w:hAnsi="Andes" w:cs="Arial"/>
          <w:color w:val="000000"/>
          <w:sz w:val="22"/>
          <w:szCs w:val="22"/>
        </w:rPr>
        <w:t>valuation spécifiés dans le dossier d’appel à propositions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2DDF2D84" w14:textId="77777777" w:rsidR="00341E34" w:rsidRPr="00D124D9" w:rsidRDefault="00341E34" w:rsidP="00341E34">
      <w:pPr>
        <w:pStyle w:val="Paragraphedeliste"/>
        <w:numPr>
          <w:ilvl w:val="0"/>
          <w:numId w:val="234"/>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Communication des résultats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xml:space="preserve">: l’Emprunteur </w:t>
      </w:r>
    </w:p>
    <w:p w14:paraId="65E1E73C" w14:textId="77777777" w:rsidR="00341E34" w:rsidRPr="00D124D9" w:rsidRDefault="00341E34" w:rsidP="00341E34">
      <w:pPr>
        <w:pStyle w:val="Paragraphedeliste"/>
        <w:numPr>
          <w:ilvl w:val="0"/>
          <w:numId w:val="94"/>
        </w:numPr>
        <w:tabs>
          <w:tab w:val="left" w:pos="720"/>
          <w:tab w:val="left" w:pos="1800"/>
        </w:tabs>
        <w:spacing w:before="0" w:line="240" w:lineRule="auto"/>
        <w:ind w:left="1814" w:hanging="187"/>
        <w:contextualSpacing w:val="0"/>
        <w:rPr>
          <w:rFonts w:ascii="Andes" w:hAnsi="Andes" w:cs="Arial"/>
          <w:sz w:val="22"/>
          <w:szCs w:val="22"/>
        </w:rPr>
      </w:pPr>
      <w:r w:rsidRPr="00D124D9">
        <w:rPr>
          <w:rFonts w:ascii="Andes" w:hAnsi="Andes" w:cs="Arial"/>
          <w:sz w:val="22"/>
          <w:szCs w:val="22"/>
        </w:rPr>
        <w:t>notif</w:t>
      </w:r>
      <w:r>
        <w:rPr>
          <w:rFonts w:ascii="Andes" w:hAnsi="Andes" w:cs="Arial"/>
          <w:sz w:val="22"/>
          <w:szCs w:val="22"/>
        </w:rPr>
        <w:t>ie le cabinet de consultants</w:t>
      </w:r>
      <w:r w:rsidRPr="00D124D9">
        <w:rPr>
          <w:rFonts w:ascii="Andes" w:hAnsi="Andes" w:cs="Arial"/>
          <w:sz w:val="22"/>
          <w:szCs w:val="22"/>
        </w:rPr>
        <w:t xml:space="preserve"> dont la </w:t>
      </w:r>
      <w:r>
        <w:rPr>
          <w:rFonts w:ascii="Andes" w:hAnsi="Andes" w:cs="Arial"/>
          <w:sz w:val="22"/>
          <w:szCs w:val="22"/>
        </w:rPr>
        <w:t>P</w:t>
      </w:r>
      <w:r w:rsidRPr="00D124D9">
        <w:rPr>
          <w:rFonts w:ascii="Andes" w:hAnsi="Andes" w:cs="Arial"/>
          <w:sz w:val="22"/>
          <w:szCs w:val="22"/>
        </w:rPr>
        <w:t xml:space="preserve">roposition technique aura enregistré la meilleure note de la date </w:t>
      </w:r>
      <w:r>
        <w:rPr>
          <w:rFonts w:ascii="Andes" w:hAnsi="Andes" w:cs="Arial"/>
          <w:sz w:val="22"/>
          <w:szCs w:val="22"/>
        </w:rPr>
        <w:t xml:space="preserve">d’ouverture ou </w:t>
      </w:r>
      <w:r w:rsidRPr="00D124D9">
        <w:rPr>
          <w:rFonts w:ascii="Andes" w:hAnsi="Andes" w:cs="Arial"/>
          <w:sz w:val="22"/>
          <w:szCs w:val="22"/>
        </w:rPr>
        <w:t xml:space="preserve">de </w:t>
      </w:r>
      <w:r>
        <w:rPr>
          <w:rFonts w:ascii="Andes" w:hAnsi="Andes" w:cs="Arial"/>
          <w:sz w:val="22"/>
          <w:szCs w:val="22"/>
        </w:rPr>
        <w:t>remise des plis contenant les P</w:t>
      </w:r>
      <w:r w:rsidRPr="00D124D9">
        <w:rPr>
          <w:rFonts w:ascii="Andes" w:hAnsi="Andes" w:cs="Arial"/>
          <w:sz w:val="22"/>
          <w:szCs w:val="22"/>
        </w:rPr>
        <w:t>ropositions financières</w:t>
      </w:r>
      <w:r>
        <w:rPr>
          <w:rFonts w:ascii="Andes" w:hAnsi="Andes" w:cs="Arial"/>
          <w:sz w:val="22"/>
          <w:szCs w:val="22"/>
        </w:rPr>
        <w:t xml:space="preserve"> </w:t>
      </w:r>
      <w:r w:rsidRPr="00D124D9">
        <w:rPr>
          <w:rFonts w:ascii="Andes" w:hAnsi="Andes" w:cs="Arial"/>
          <w:sz w:val="22"/>
          <w:szCs w:val="22"/>
        </w:rPr>
        <w:t>; et</w:t>
      </w:r>
    </w:p>
    <w:p w14:paraId="2670D12D" w14:textId="77777777" w:rsidR="00341E34" w:rsidRPr="00D124D9" w:rsidRDefault="00341E34" w:rsidP="00341E34">
      <w:pPr>
        <w:pStyle w:val="Paragraphedeliste"/>
        <w:numPr>
          <w:ilvl w:val="0"/>
          <w:numId w:val="94"/>
        </w:numPr>
        <w:tabs>
          <w:tab w:val="left" w:pos="720"/>
          <w:tab w:val="left" w:pos="1800"/>
        </w:tabs>
        <w:spacing w:before="0" w:line="240" w:lineRule="auto"/>
        <w:ind w:left="1814" w:hanging="187"/>
        <w:contextualSpacing w:val="0"/>
        <w:rPr>
          <w:rFonts w:ascii="Andes" w:hAnsi="Andes" w:cs="Arial"/>
          <w:sz w:val="22"/>
          <w:szCs w:val="22"/>
        </w:rPr>
      </w:pPr>
      <w:r w:rsidRPr="00D124D9">
        <w:rPr>
          <w:rFonts w:ascii="Andes" w:hAnsi="Andes" w:cs="Arial"/>
          <w:sz w:val="22"/>
          <w:szCs w:val="22"/>
        </w:rPr>
        <w:t xml:space="preserve">informe dans le même temps </w:t>
      </w:r>
      <w:r>
        <w:rPr>
          <w:rFonts w:ascii="Andes" w:hAnsi="Andes" w:cs="Arial"/>
          <w:sz w:val="22"/>
          <w:szCs w:val="22"/>
        </w:rPr>
        <w:t>les autres P</w:t>
      </w:r>
      <w:r w:rsidRPr="00D124D9">
        <w:rPr>
          <w:rFonts w:ascii="Andes" w:hAnsi="Andes" w:cs="Arial"/>
          <w:sz w:val="22"/>
          <w:szCs w:val="22"/>
        </w:rPr>
        <w:t xml:space="preserve">roposants de leurs notes </w:t>
      </w:r>
      <w:r>
        <w:rPr>
          <w:rFonts w:ascii="Andes" w:hAnsi="Andes" w:cs="Arial"/>
          <w:sz w:val="22"/>
          <w:szCs w:val="22"/>
        </w:rPr>
        <w:t>techniques et de ce que leurs P</w:t>
      </w:r>
      <w:r w:rsidRPr="00D124D9">
        <w:rPr>
          <w:rFonts w:ascii="Andes" w:hAnsi="Andes" w:cs="Arial"/>
          <w:sz w:val="22"/>
          <w:szCs w:val="22"/>
        </w:rPr>
        <w:t>ropositions techniques n’</w:t>
      </w:r>
      <w:r>
        <w:rPr>
          <w:rFonts w:ascii="Andes" w:hAnsi="Andes" w:cs="Arial"/>
          <w:sz w:val="22"/>
          <w:szCs w:val="22"/>
        </w:rPr>
        <w:t>ont</w:t>
      </w:r>
      <w:r w:rsidRPr="00D124D9">
        <w:rPr>
          <w:rFonts w:ascii="Andes" w:hAnsi="Andes" w:cs="Arial"/>
          <w:sz w:val="22"/>
          <w:szCs w:val="22"/>
        </w:rPr>
        <w:t xml:space="preserve"> pas été évaluées les meilleures</w:t>
      </w:r>
      <w:r w:rsidRPr="00D124D9">
        <w:rPr>
          <w:rFonts w:ascii="Calibri" w:hAnsi="Calibri" w:cs="Arial"/>
          <w:sz w:val="22"/>
          <w:szCs w:val="22"/>
        </w:rPr>
        <w:t> </w:t>
      </w:r>
      <w:r w:rsidRPr="00D124D9">
        <w:rPr>
          <w:rFonts w:ascii="Andes" w:hAnsi="Andes" w:cs="Arial"/>
          <w:sz w:val="22"/>
          <w:szCs w:val="22"/>
        </w:rPr>
        <w:t>;</w:t>
      </w:r>
    </w:p>
    <w:p w14:paraId="51155FCC" w14:textId="77777777" w:rsidR="00341E34" w:rsidRPr="00D124D9" w:rsidRDefault="00341E34" w:rsidP="00341E34">
      <w:pPr>
        <w:pStyle w:val="Paragraphedeliste"/>
        <w:numPr>
          <w:ilvl w:val="0"/>
          <w:numId w:val="234"/>
        </w:numPr>
        <w:spacing w:before="0" w:line="240" w:lineRule="auto"/>
        <w:contextualSpacing w:val="0"/>
        <w:rPr>
          <w:rFonts w:ascii="Andes" w:eastAsiaTheme="minorHAnsi" w:hAnsi="Andes" w:cs="Arial"/>
          <w:color w:val="000000"/>
          <w:sz w:val="22"/>
          <w:szCs w:val="22"/>
        </w:rPr>
      </w:pPr>
      <w:r>
        <w:rPr>
          <w:rFonts w:ascii="Andes" w:eastAsiaTheme="minorHAnsi" w:hAnsi="Andes" w:cs="Arial"/>
          <w:b/>
          <w:color w:val="000000"/>
          <w:sz w:val="22"/>
          <w:szCs w:val="22"/>
        </w:rPr>
        <w:t>Ouverture des plis contenant les P</w:t>
      </w:r>
      <w:r w:rsidRPr="00D124D9">
        <w:rPr>
          <w:rFonts w:ascii="Andes" w:eastAsiaTheme="minorHAnsi" w:hAnsi="Andes" w:cs="Arial"/>
          <w:b/>
          <w:color w:val="000000"/>
          <w:sz w:val="22"/>
          <w:szCs w:val="22"/>
        </w:rPr>
        <w:t>ropositions financières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w:t>
      </w:r>
      <w:r>
        <w:rPr>
          <w:rFonts w:ascii="Andes" w:eastAsiaTheme="minorHAnsi" w:hAnsi="Andes" w:cs="Arial"/>
          <w:color w:val="000000"/>
          <w:sz w:val="22"/>
          <w:szCs w:val="22"/>
        </w:rPr>
        <w:t>dans le cas où des P</w:t>
      </w:r>
      <w:r w:rsidRPr="00D124D9">
        <w:rPr>
          <w:rFonts w:ascii="Andes" w:eastAsiaTheme="minorHAnsi" w:hAnsi="Andes" w:cs="Arial"/>
          <w:color w:val="000000"/>
          <w:sz w:val="22"/>
          <w:szCs w:val="22"/>
        </w:rPr>
        <w:t xml:space="preserve">ropositions techniques et financières ont été </w:t>
      </w:r>
      <w:r>
        <w:rPr>
          <w:rFonts w:ascii="Andes" w:eastAsiaTheme="minorHAnsi" w:hAnsi="Andes" w:cs="Arial"/>
          <w:color w:val="000000"/>
          <w:sz w:val="22"/>
          <w:szCs w:val="22"/>
        </w:rPr>
        <w:t>remises</w:t>
      </w:r>
      <w:r w:rsidRPr="00D124D9">
        <w:rPr>
          <w:rFonts w:ascii="Andes" w:eastAsiaTheme="minorHAnsi" w:hAnsi="Andes" w:cs="Arial"/>
          <w:color w:val="000000"/>
          <w:sz w:val="22"/>
          <w:szCs w:val="22"/>
        </w:rPr>
        <w:t>)</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3C08F4A5" w14:textId="3BACCB76" w:rsidR="00341E34" w:rsidRPr="00D124D9" w:rsidRDefault="00341E34" w:rsidP="00341E34">
      <w:pPr>
        <w:pStyle w:val="Paragraphedeliste"/>
        <w:numPr>
          <w:ilvl w:val="0"/>
          <w:numId w:val="95"/>
        </w:numPr>
        <w:tabs>
          <w:tab w:val="left" w:pos="720"/>
          <w:tab w:val="left" w:pos="1800"/>
        </w:tabs>
        <w:spacing w:before="0" w:line="240" w:lineRule="auto"/>
        <w:ind w:left="1814" w:hanging="187"/>
        <w:contextualSpacing w:val="0"/>
        <w:rPr>
          <w:rFonts w:ascii="Andes" w:hAnsi="Andes" w:cs="Arial"/>
          <w:sz w:val="22"/>
          <w:szCs w:val="22"/>
        </w:rPr>
      </w:pPr>
      <w:r>
        <w:rPr>
          <w:rFonts w:ascii="Andes" w:hAnsi="Andes" w:cs="Arial"/>
          <w:sz w:val="22"/>
          <w:szCs w:val="22"/>
        </w:rPr>
        <w:t>les P</w:t>
      </w:r>
      <w:r w:rsidRPr="00D124D9">
        <w:rPr>
          <w:rFonts w:ascii="Andes" w:hAnsi="Andes" w:cs="Arial"/>
          <w:sz w:val="22"/>
          <w:szCs w:val="22"/>
        </w:rPr>
        <w:t xml:space="preserve">ropositions financières doivent être ouvertes </w:t>
      </w:r>
      <w:r w:rsidR="00BB0A47">
        <w:rPr>
          <w:rFonts w:ascii="Andes" w:hAnsi="Andes" w:cs="Arial"/>
          <w:sz w:val="22"/>
          <w:szCs w:val="22"/>
        </w:rPr>
        <w:t>comme spécifié au Paragraphe 5.40</w:t>
      </w:r>
      <w:r w:rsidRPr="00D124D9">
        <w:rPr>
          <w:rFonts w:ascii="Andes" w:hAnsi="Andes" w:cs="Arial"/>
          <w:sz w:val="22"/>
          <w:szCs w:val="22"/>
        </w:rPr>
        <w:t>;</w:t>
      </w:r>
    </w:p>
    <w:p w14:paraId="3E9E281F" w14:textId="77777777" w:rsidR="00341E34" w:rsidRPr="00D124D9" w:rsidRDefault="00341E34" w:rsidP="00341E34">
      <w:pPr>
        <w:pStyle w:val="Paragraphedeliste"/>
        <w:numPr>
          <w:ilvl w:val="0"/>
          <w:numId w:val="95"/>
        </w:numPr>
        <w:tabs>
          <w:tab w:val="left" w:pos="720"/>
          <w:tab w:val="left" w:pos="1800"/>
        </w:tabs>
        <w:spacing w:before="0" w:line="240" w:lineRule="auto"/>
        <w:ind w:left="1814" w:hanging="187"/>
        <w:contextualSpacing w:val="0"/>
        <w:rPr>
          <w:rFonts w:ascii="Andes" w:hAnsi="Andes" w:cs="Arial"/>
          <w:sz w:val="22"/>
          <w:szCs w:val="22"/>
        </w:rPr>
      </w:pPr>
      <w:r w:rsidRPr="00D124D9">
        <w:rPr>
          <w:rFonts w:ascii="Andes" w:hAnsi="Andes" w:cs="Arial"/>
          <w:sz w:val="22"/>
          <w:szCs w:val="22"/>
        </w:rPr>
        <w:lastRenderedPageBreak/>
        <w:t xml:space="preserve">l’Emprunteur procède à l’ouverture de la </w:t>
      </w:r>
      <w:r>
        <w:rPr>
          <w:rFonts w:ascii="Andes" w:hAnsi="Andes" w:cs="Arial"/>
          <w:sz w:val="22"/>
          <w:szCs w:val="22"/>
        </w:rPr>
        <w:t>P</w:t>
      </w:r>
      <w:r w:rsidRPr="00D124D9">
        <w:rPr>
          <w:rFonts w:ascii="Andes" w:hAnsi="Andes" w:cs="Arial"/>
          <w:sz w:val="22"/>
          <w:szCs w:val="22"/>
        </w:rPr>
        <w:t>roposition fi</w:t>
      </w:r>
      <w:r>
        <w:rPr>
          <w:rFonts w:ascii="Andes" w:hAnsi="Andes" w:cs="Arial"/>
          <w:sz w:val="22"/>
          <w:szCs w:val="22"/>
        </w:rPr>
        <w:t xml:space="preserve">nancière du </w:t>
      </w:r>
      <w:r w:rsidRPr="007504C3">
        <w:rPr>
          <w:rFonts w:ascii="Andes" w:hAnsi="Andes" w:cs="Arial"/>
          <w:sz w:val="22"/>
          <w:szCs w:val="22"/>
        </w:rPr>
        <w:t>c</w:t>
      </w:r>
      <w:r>
        <w:rPr>
          <w:rFonts w:ascii="Andes" w:hAnsi="Andes" w:cs="Arial"/>
          <w:sz w:val="22"/>
          <w:szCs w:val="22"/>
        </w:rPr>
        <w:t>abinet</w:t>
      </w:r>
      <w:r w:rsidRPr="007504C3">
        <w:rPr>
          <w:rFonts w:ascii="Andes" w:hAnsi="Andes" w:cs="Arial"/>
          <w:sz w:val="22"/>
          <w:szCs w:val="22"/>
        </w:rPr>
        <w:t xml:space="preserve"> de consultants </w:t>
      </w:r>
      <w:r>
        <w:rPr>
          <w:rFonts w:ascii="Andes" w:hAnsi="Andes" w:cs="Arial"/>
          <w:sz w:val="22"/>
          <w:szCs w:val="22"/>
        </w:rPr>
        <w:t>dont la P</w:t>
      </w:r>
      <w:r w:rsidRPr="00D124D9">
        <w:rPr>
          <w:rFonts w:ascii="Andes" w:hAnsi="Andes" w:cs="Arial"/>
          <w:sz w:val="22"/>
          <w:szCs w:val="22"/>
        </w:rPr>
        <w:t>roposition technique a</w:t>
      </w:r>
      <w:r>
        <w:rPr>
          <w:rFonts w:ascii="Andes" w:hAnsi="Andes" w:cs="Arial"/>
          <w:sz w:val="22"/>
          <w:szCs w:val="22"/>
        </w:rPr>
        <w:t>ura</w:t>
      </w:r>
      <w:r w:rsidRPr="00D124D9">
        <w:rPr>
          <w:rFonts w:ascii="Andes" w:hAnsi="Andes" w:cs="Arial"/>
          <w:sz w:val="22"/>
          <w:szCs w:val="22"/>
        </w:rPr>
        <w:t xml:space="preserve"> recueilli la meilleure note</w:t>
      </w:r>
      <w:r>
        <w:rPr>
          <w:rFonts w:ascii="Andes" w:hAnsi="Andes" w:cs="Arial"/>
          <w:sz w:val="22"/>
          <w:szCs w:val="22"/>
        </w:rPr>
        <w:t>,</w:t>
      </w:r>
      <w:r w:rsidRPr="00D124D9">
        <w:rPr>
          <w:rFonts w:ascii="Andes" w:hAnsi="Andes" w:cs="Arial"/>
          <w:sz w:val="22"/>
          <w:szCs w:val="22"/>
        </w:rPr>
        <w:t xml:space="preserve"> en présence des autres </w:t>
      </w:r>
      <w:r>
        <w:rPr>
          <w:rFonts w:ascii="Andes" w:hAnsi="Andes" w:cs="Arial"/>
          <w:sz w:val="22"/>
          <w:szCs w:val="22"/>
        </w:rPr>
        <w:t>P</w:t>
      </w:r>
      <w:r w:rsidRPr="00D124D9">
        <w:rPr>
          <w:rFonts w:ascii="Andes" w:hAnsi="Andes" w:cs="Arial"/>
          <w:sz w:val="22"/>
          <w:szCs w:val="22"/>
        </w:rPr>
        <w:t>roposants qui le souhaitent</w:t>
      </w:r>
      <w:r w:rsidRPr="00D124D9">
        <w:rPr>
          <w:rFonts w:ascii="Calibri" w:hAnsi="Calibri" w:cs="Arial"/>
          <w:sz w:val="22"/>
          <w:szCs w:val="22"/>
        </w:rPr>
        <w:t> </w:t>
      </w:r>
      <w:r w:rsidRPr="00D124D9">
        <w:rPr>
          <w:rFonts w:ascii="Andes" w:hAnsi="Andes" w:cs="Arial"/>
          <w:sz w:val="22"/>
          <w:szCs w:val="22"/>
        </w:rPr>
        <w:t xml:space="preserve">; et </w:t>
      </w:r>
    </w:p>
    <w:p w14:paraId="5476005B" w14:textId="77777777" w:rsidR="00341E34" w:rsidRPr="00D124D9" w:rsidRDefault="00341E34" w:rsidP="00341E34">
      <w:pPr>
        <w:pStyle w:val="Paragraphedeliste"/>
        <w:numPr>
          <w:ilvl w:val="0"/>
          <w:numId w:val="95"/>
        </w:numPr>
        <w:tabs>
          <w:tab w:val="left" w:pos="720"/>
          <w:tab w:val="left" w:pos="1800"/>
        </w:tabs>
        <w:spacing w:before="0" w:line="240" w:lineRule="auto"/>
        <w:ind w:left="1814" w:hanging="187"/>
        <w:contextualSpacing w:val="0"/>
        <w:rPr>
          <w:rFonts w:ascii="Andes" w:hAnsi="Andes" w:cs="Arial"/>
          <w:sz w:val="22"/>
          <w:szCs w:val="22"/>
        </w:rPr>
      </w:pPr>
      <w:r w:rsidRPr="00D124D9">
        <w:rPr>
          <w:rFonts w:ascii="Andes" w:hAnsi="Andes" w:cs="Arial"/>
          <w:sz w:val="22"/>
          <w:szCs w:val="22"/>
        </w:rPr>
        <w:t xml:space="preserve">l’Emprunteur </w:t>
      </w:r>
      <w:r>
        <w:rPr>
          <w:rFonts w:ascii="Andes" w:hAnsi="Andes" w:cs="Arial"/>
          <w:sz w:val="22"/>
          <w:szCs w:val="22"/>
        </w:rPr>
        <w:t>dresse</w:t>
      </w:r>
      <w:r w:rsidRPr="00D124D9">
        <w:rPr>
          <w:rFonts w:ascii="Andes" w:hAnsi="Andes" w:cs="Arial"/>
          <w:sz w:val="22"/>
          <w:szCs w:val="22"/>
        </w:rPr>
        <w:t xml:space="preserve"> un compte-rendu de l’ouverture publique </w:t>
      </w:r>
      <w:r>
        <w:rPr>
          <w:rFonts w:ascii="Andes" w:hAnsi="Andes" w:cs="Arial"/>
          <w:sz w:val="22"/>
          <w:szCs w:val="22"/>
        </w:rPr>
        <w:t xml:space="preserve">des plis </w:t>
      </w:r>
      <w:r w:rsidRPr="00D124D9">
        <w:rPr>
          <w:rFonts w:ascii="Andes" w:hAnsi="Andes" w:cs="Arial"/>
          <w:sz w:val="22"/>
          <w:szCs w:val="22"/>
        </w:rPr>
        <w:t>et en adresse sa</w:t>
      </w:r>
      <w:r>
        <w:rPr>
          <w:rFonts w:ascii="Andes" w:hAnsi="Andes" w:cs="Arial"/>
          <w:sz w:val="22"/>
          <w:szCs w:val="22"/>
        </w:rPr>
        <w:t>ns tarder une copie à tous les cabinets de consultants ayant soumis des P</w:t>
      </w:r>
      <w:r w:rsidRPr="00D124D9">
        <w:rPr>
          <w:rFonts w:ascii="Andes" w:hAnsi="Andes" w:cs="Arial"/>
          <w:sz w:val="22"/>
          <w:szCs w:val="22"/>
        </w:rPr>
        <w:t xml:space="preserve">ropositions.  </w:t>
      </w:r>
    </w:p>
    <w:p w14:paraId="4DF88DC2" w14:textId="77777777" w:rsidR="00341E34" w:rsidRPr="00D124D9" w:rsidRDefault="00341E34" w:rsidP="00341E34">
      <w:pPr>
        <w:pStyle w:val="Paragraphedeliste"/>
        <w:numPr>
          <w:ilvl w:val="0"/>
          <w:numId w:val="234"/>
        </w:numPr>
        <w:spacing w:before="0" w:line="240" w:lineRule="auto"/>
        <w:contextualSpacing w:val="0"/>
        <w:rPr>
          <w:rFonts w:ascii="Andes" w:eastAsiaTheme="minorHAnsi" w:hAnsi="Andes" w:cs="Arial"/>
          <w:color w:val="000000"/>
          <w:sz w:val="22"/>
          <w:szCs w:val="22"/>
        </w:rPr>
      </w:pPr>
      <w:r>
        <w:rPr>
          <w:rFonts w:ascii="Andes" w:eastAsiaTheme="minorHAnsi" w:hAnsi="Andes" w:cs="Arial"/>
          <w:b/>
          <w:color w:val="000000"/>
          <w:sz w:val="22"/>
          <w:szCs w:val="22"/>
        </w:rPr>
        <w:t>Ouverture des plis contenant les P</w:t>
      </w:r>
      <w:r w:rsidRPr="00D124D9">
        <w:rPr>
          <w:rFonts w:ascii="Andes" w:eastAsiaTheme="minorHAnsi" w:hAnsi="Andes" w:cs="Arial"/>
          <w:b/>
          <w:color w:val="000000"/>
          <w:sz w:val="22"/>
          <w:szCs w:val="22"/>
        </w:rPr>
        <w:t>ropositions financières</w:t>
      </w:r>
      <w:r w:rsidRPr="00D124D9">
        <w:rPr>
          <w:rFonts w:ascii="Andes" w:eastAsiaTheme="minorHAnsi" w:hAnsi="Andes" w:cs="Arial"/>
          <w:color w:val="000000"/>
          <w:sz w:val="22"/>
          <w:szCs w:val="22"/>
        </w:rPr>
        <w:t xml:space="preserve"> (si l’</w:t>
      </w:r>
      <w:r>
        <w:rPr>
          <w:rFonts w:ascii="Andes" w:eastAsiaTheme="minorHAnsi" w:hAnsi="Andes" w:cs="Arial"/>
          <w:color w:val="000000"/>
          <w:sz w:val="22"/>
          <w:szCs w:val="22"/>
        </w:rPr>
        <w:t>invitation Initiale concernait uniquement les P</w:t>
      </w:r>
      <w:r w:rsidRPr="00D124D9">
        <w:rPr>
          <w:rFonts w:ascii="Andes" w:eastAsiaTheme="minorHAnsi" w:hAnsi="Andes" w:cs="Arial"/>
          <w:color w:val="000000"/>
          <w:sz w:val="22"/>
          <w:szCs w:val="22"/>
        </w:rPr>
        <w:t>ropositions techniques)</w:t>
      </w:r>
      <w:r>
        <w:rPr>
          <w:rFonts w:ascii="Calibri" w:eastAsiaTheme="minorHAnsi" w:hAnsi="Calibri" w:cs="Arial"/>
          <w:color w:val="000000"/>
          <w:sz w:val="22"/>
          <w:szCs w:val="22"/>
        </w:rPr>
        <w:t> </w:t>
      </w:r>
      <w:r w:rsidRPr="00D124D9">
        <w:rPr>
          <w:rFonts w:ascii="Andes" w:eastAsiaTheme="minorHAnsi" w:hAnsi="Andes" w:cs="Arial"/>
          <w:color w:val="000000"/>
          <w:sz w:val="22"/>
          <w:szCs w:val="22"/>
        </w:rPr>
        <w:t xml:space="preserve">: </w:t>
      </w:r>
    </w:p>
    <w:p w14:paraId="53631821" w14:textId="37DC80EB" w:rsidR="00341E34" w:rsidRPr="00D124D9" w:rsidRDefault="00EE46BE" w:rsidP="00341E34">
      <w:pPr>
        <w:pStyle w:val="Paragraphedeliste"/>
        <w:numPr>
          <w:ilvl w:val="0"/>
          <w:numId w:val="106"/>
        </w:numPr>
        <w:tabs>
          <w:tab w:val="left" w:pos="720"/>
          <w:tab w:val="left" w:pos="1800"/>
        </w:tabs>
        <w:spacing w:before="0" w:line="240" w:lineRule="auto"/>
        <w:ind w:left="1814" w:hanging="187"/>
        <w:contextualSpacing w:val="0"/>
        <w:rPr>
          <w:rFonts w:ascii="Andes" w:hAnsi="Andes" w:cs="Arial"/>
          <w:sz w:val="22"/>
          <w:szCs w:val="22"/>
        </w:rPr>
      </w:pPr>
      <w:r w:rsidRPr="00D124D9">
        <w:rPr>
          <w:rFonts w:ascii="Andes" w:hAnsi="Andes" w:cs="Arial"/>
          <w:sz w:val="22"/>
          <w:szCs w:val="22"/>
        </w:rPr>
        <w:t>L</w:t>
      </w:r>
      <w:r>
        <w:rPr>
          <w:rFonts w:ascii="Andes" w:hAnsi="Andes" w:cs="Arial"/>
          <w:sz w:val="22"/>
          <w:szCs w:val="22"/>
        </w:rPr>
        <w:t>’invitation de la firme</w:t>
      </w:r>
      <w:r w:rsidR="00341E34" w:rsidRPr="00D124D9">
        <w:rPr>
          <w:rFonts w:ascii="Andes" w:hAnsi="Andes" w:cs="Arial"/>
          <w:sz w:val="22"/>
          <w:szCs w:val="22"/>
        </w:rPr>
        <w:t xml:space="preserve"> ayant obtenu la note technique la plus élevée à soumettre sa </w:t>
      </w:r>
      <w:r w:rsidR="00341E34">
        <w:rPr>
          <w:rFonts w:ascii="Andes" w:hAnsi="Andes" w:cs="Arial"/>
          <w:sz w:val="22"/>
          <w:szCs w:val="22"/>
        </w:rPr>
        <w:t>P</w:t>
      </w:r>
      <w:r w:rsidR="00341E34" w:rsidRPr="00D124D9">
        <w:rPr>
          <w:rFonts w:ascii="Andes" w:hAnsi="Andes" w:cs="Arial"/>
          <w:sz w:val="22"/>
          <w:szCs w:val="22"/>
        </w:rPr>
        <w:t xml:space="preserve">roposition financière </w:t>
      </w:r>
      <w:r w:rsidR="00B92936">
        <w:rPr>
          <w:rFonts w:ascii="Andes" w:hAnsi="Andes" w:cs="Arial"/>
          <w:sz w:val="22"/>
          <w:szCs w:val="22"/>
        </w:rPr>
        <w:t>doit intervenir pas plus tôt que la période spécifiée au Paragraphe 5.40</w:t>
      </w:r>
      <w:r w:rsidR="00341E34" w:rsidRPr="00D124D9">
        <w:rPr>
          <w:rFonts w:ascii="Calibri" w:hAnsi="Calibri" w:cs="Arial"/>
          <w:sz w:val="22"/>
          <w:szCs w:val="22"/>
        </w:rPr>
        <w:t> </w:t>
      </w:r>
      <w:r w:rsidR="00341E34" w:rsidRPr="00D124D9">
        <w:rPr>
          <w:rFonts w:ascii="Andes" w:hAnsi="Andes" w:cs="Arial"/>
          <w:sz w:val="22"/>
          <w:szCs w:val="22"/>
        </w:rPr>
        <w:t>; et</w:t>
      </w:r>
    </w:p>
    <w:p w14:paraId="1BA17CDD" w14:textId="214A7C9B" w:rsidR="00341E34" w:rsidRPr="00D124D9" w:rsidRDefault="00341E34" w:rsidP="00341E34">
      <w:pPr>
        <w:pStyle w:val="Paragraphedeliste"/>
        <w:numPr>
          <w:ilvl w:val="0"/>
          <w:numId w:val="106"/>
        </w:numPr>
        <w:tabs>
          <w:tab w:val="left" w:pos="720"/>
          <w:tab w:val="left" w:pos="1800"/>
        </w:tabs>
        <w:spacing w:before="0" w:line="240" w:lineRule="auto"/>
        <w:ind w:left="1814" w:hanging="187"/>
        <w:contextualSpacing w:val="0"/>
        <w:rPr>
          <w:rFonts w:ascii="Andes" w:hAnsi="Andes" w:cs="Arial"/>
          <w:sz w:val="22"/>
          <w:szCs w:val="22"/>
        </w:rPr>
      </w:pPr>
      <w:r w:rsidRPr="00D124D9">
        <w:rPr>
          <w:rFonts w:ascii="Andes" w:hAnsi="Andes" w:cs="Arial"/>
          <w:sz w:val="22"/>
          <w:szCs w:val="22"/>
        </w:rPr>
        <w:t>les nég</w:t>
      </w:r>
      <w:r>
        <w:rPr>
          <w:rFonts w:ascii="Andes" w:hAnsi="Andes" w:cs="Arial"/>
          <w:sz w:val="22"/>
          <w:szCs w:val="22"/>
        </w:rPr>
        <w:t>ociations sont ouvertes sur la P</w:t>
      </w:r>
      <w:r w:rsidRPr="00D124D9">
        <w:rPr>
          <w:rFonts w:ascii="Andes" w:hAnsi="Andes" w:cs="Arial"/>
          <w:sz w:val="22"/>
          <w:szCs w:val="22"/>
        </w:rPr>
        <w:t>roposition financière remise par l</w:t>
      </w:r>
      <w:r w:rsidR="00B92936">
        <w:rPr>
          <w:rFonts w:ascii="Andes" w:hAnsi="Andes" w:cs="Arial"/>
          <w:sz w:val="22"/>
          <w:szCs w:val="22"/>
        </w:rPr>
        <w:t>a firme</w:t>
      </w:r>
      <w:r w:rsidRPr="00D124D9">
        <w:rPr>
          <w:rFonts w:ascii="Andes" w:hAnsi="Andes" w:cs="Arial"/>
          <w:sz w:val="22"/>
          <w:szCs w:val="22"/>
        </w:rPr>
        <w:t xml:space="preserve"> ayant obtenu la meilleure note technique.</w:t>
      </w:r>
    </w:p>
    <w:p w14:paraId="1D3FD9B8" w14:textId="77777777" w:rsidR="00341E34" w:rsidRPr="00D124D9" w:rsidRDefault="00341E34" w:rsidP="00341E34">
      <w:pPr>
        <w:pStyle w:val="Paragraphedeliste"/>
        <w:numPr>
          <w:ilvl w:val="0"/>
          <w:numId w:val="234"/>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Évaluation des propositions financières et négociations</w:t>
      </w:r>
      <w:r w:rsidRPr="00D124D9">
        <w:rPr>
          <w:rFonts w:ascii="Calibri" w:eastAsiaTheme="minorHAnsi" w:hAnsi="Calibri" w:cs="Arial"/>
          <w:b/>
          <w:color w:val="000000"/>
          <w:sz w:val="22"/>
          <w:szCs w:val="22"/>
        </w:rPr>
        <w:t> </w:t>
      </w:r>
      <w:r w:rsidRPr="00D124D9">
        <w:rPr>
          <w:rFonts w:ascii="Andes" w:eastAsiaTheme="minorHAnsi" w:hAnsi="Andes" w:cs="Arial"/>
          <w:color w:val="000000"/>
          <w:sz w:val="22"/>
          <w:szCs w:val="22"/>
        </w:rPr>
        <w:t xml:space="preserve">: </w:t>
      </w:r>
      <w:r>
        <w:rPr>
          <w:rFonts w:ascii="Andes" w:eastAsiaTheme="minorHAnsi" w:hAnsi="Andes" w:cs="Arial"/>
          <w:color w:val="000000"/>
          <w:sz w:val="22"/>
          <w:szCs w:val="22"/>
        </w:rPr>
        <w:t>l’Emprunteur évalue la P</w:t>
      </w:r>
      <w:r w:rsidRPr="00D124D9">
        <w:rPr>
          <w:rFonts w:ascii="Andes" w:eastAsiaTheme="minorHAnsi" w:hAnsi="Andes" w:cs="Arial"/>
          <w:color w:val="000000"/>
          <w:sz w:val="22"/>
          <w:szCs w:val="22"/>
        </w:rPr>
        <w:t>roposition financière et négocie le contrat final</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35901A7F" w14:textId="6AEAA8C1" w:rsidR="00341E34" w:rsidRPr="00341B38" w:rsidRDefault="00341E34" w:rsidP="00341E34">
      <w:pPr>
        <w:pStyle w:val="Paragraphedeliste"/>
        <w:numPr>
          <w:ilvl w:val="0"/>
          <w:numId w:val="234"/>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b/>
          <w:color w:val="000000"/>
          <w:sz w:val="22"/>
          <w:szCs w:val="22"/>
        </w:rPr>
        <w:t xml:space="preserve">Notification d’intention d’attribution et délai </w:t>
      </w:r>
      <w:r w:rsidR="002911A5">
        <w:rPr>
          <w:rFonts w:ascii="Andes" w:eastAsiaTheme="minorHAnsi" w:hAnsi="Andes" w:cs="Arial"/>
          <w:b/>
          <w:color w:val="000000"/>
          <w:sz w:val="22"/>
          <w:szCs w:val="22"/>
        </w:rPr>
        <w:t>d’attente</w:t>
      </w:r>
      <w:r w:rsidRPr="00D124D9">
        <w:rPr>
          <w:rFonts w:ascii="Calibri" w:eastAsiaTheme="minorHAnsi" w:hAnsi="Calibri" w:cs="Arial"/>
          <w:b/>
          <w:color w:val="000000"/>
          <w:sz w:val="22"/>
          <w:szCs w:val="22"/>
        </w:rPr>
        <w:t> </w:t>
      </w:r>
      <w:r w:rsidRPr="00D124D9">
        <w:rPr>
          <w:rFonts w:ascii="Andes" w:eastAsiaTheme="minorHAnsi" w:hAnsi="Andes" w:cs="Arial"/>
          <w:b/>
          <w:color w:val="000000"/>
          <w:sz w:val="22"/>
          <w:szCs w:val="22"/>
        </w:rPr>
        <w:t>:</w:t>
      </w:r>
      <w:r w:rsidRPr="00D124D9">
        <w:rPr>
          <w:rFonts w:ascii="Andes" w:eastAsiaTheme="minorHAnsi" w:hAnsi="Andes" w:cs="Arial"/>
          <w:color w:val="000000"/>
          <w:sz w:val="22"/>
          <w:szCs w:val="22"/>
        </w:rPr>
        <w:t xml:space="preserve"> conformément aux paragra</w:t>
      </w:r>
      <w:r w:rsidRPr="00341B38">
        <w:rPr>
          <w:rFonts w:ascii="Andes" w:eastAsiaTheme="minorHAnsi" w:hAnsi="Andes" w:cs="Arial"/>
          <w:color w:val="000000"/>
          <w:sz w:val="22"/>
          <w:szCs w:val="22"/>
        </w:rPr>
        <w:t>phes 5.7</w:t>
      </w:r>
      <w:r w:rsidR="00054907">
        <w:rPr>
          <w:rFonts w:ascii="Andes" w:eastAsiaTheme="minorHAnsi" w:hAnsi="Andes" w:cs="Arial"/>
          <w:color w:val="000000"/>
          <w:sz w:val="22"/>
          <w:szCs w:val="22"/>
        </w:rPr>
        <w:t>5</w:t>
      </w:r>
      <w:r w:rsidRPr="00341B38">
        <w:rPr>
          <w:rFonts w:ascii="Andes" w:eastAsiaTheme="minorHAnsi" w:hAnsi="Andes" w:cs="Arial"/>
          <w:color w:val="000000"/>
          <w:sz w:val="22"/>
          <w:szCs w:val="22"/>
        </w:rPr>
        <w:t xml:space="preserve"> à 5.77 (Notification d’Intention d’Attribution de Marché/Contrat);</w:t>
      </w:r>
    </w:p>
    <w:p w14:paraId="74554BE1" w14:textId="35D9AFA9" w:rsidR="00341E34" w:rsidRPr="00341B38" w:rsidRDefault="00341E34" w:rsidP="00341E34">
      <w:pPr>
        <w:pStyle w:val="Paragraphedeliste"/>
        <w:numPr>
          <w:ilvl w:val="0"/>
          <w:numId w:val="234"/>
        </w:numPr>
        <w:spacing w:before="0" w:line="240" w:lineRule="auto"/>
        <w:contextualSpacing w:val="0"/>
        <w:rPr>
          <w:rFonts w:ascii="Andes" w:eastAsiaTheme="minorHAnsi" w:hAnsi="Andes" w:cs="Arial"/>
          <w:color w:val="000000"/>
          <w:sz w:val="22"/>
          <w:szCs w:val="22"/>
        </w:rPr>
      </w:pPr>
      <w:r w:rsidRPr="00341B38">
        <w:rPr>
          <w:rFonts w:ascii="Andes" w:eastAsiaTheme="minorHAnsi" w:hAnsi="Andes" w:cs="Arial"/>
          <w:b/>
          <w:color w:val="000000"/>
          <w:sz w:val="22"/>
          <w:szCs w:val="22"/>
        </w:rPr>
        <w:t>Attribution et Avis d’attribution du contrat</w:t>
      </w:r>
      <w:r w:rsidRPr="00341B38">
        <w:rPr>
          <w:rFonts w:ascii="Calibri" w:eastAsiaTheme="minorHAnsi" w:hAnsi="Calibri" w:cs="Arial"/>
          <w:b/>
          <w:color w:val="000000"/>
          <w:sz w:val="22"/>
          <w:szCs w:val="22"/>
        </w:rPr>
        <w:t> </w:t>
      </w:r>
      <w:r w:rsidRPr="00341B38">
        <w:rPr>
          <w:rFonts w:ascii="Andes" w:eastAsiaTheme="minorHAnsi" w:hAnsi="Andes" w:cs="Arial"/>
          <w:color w:val="000000"/>
          <w:sz w:val="22"/>
          <w:szCs w:val="22"/>
        </w:rPr>
        <w:t xml:space="preserve">: l’Emprunteur publie l’attribution du contrat sur son site web gratuit (s’il en a), ou dans un journal de diffusion nationale, ou dans le Journal officiel, et informe directement les Proposants. L’Emprunteur observe un délai </w:t>
      </w:r>
      <w:r w:rsidR="002911A5">
        <w:rPr>
          <w:rFonts w:ascii="Andes" w:eastAsiaTheme="minorHAnsi" w:hAnsi="Andes" w:cs="Arial"/>
          <w:color w:val="000000"/>
          <w:sz w:val="22"/>
          <w:szCs w:val="22"/>
        </w:rPr>
        <w:t>d’attente</w:t>
      </w:r>
      <w:r w:rsidRPr="00341B38">
        <w:rPr>
          <w:rFonts w:ascii="Andes" w:eastAsiaTheme="minorHAnsi" w:hAnsi="Andes" w:cs="Arial"/>
          <w:color w:val="000000"/>
          <w:sz w:val="22"/>
          <w:szCs w:val="22"/>
        </w:rPr>
        <w:t xml:space="preserve"> en application des paragraphes 5.78 à 5.80 (Délai de suspension)</w:t>
      </w:r>
      <w:r w:rsidRPr="00341B38">
        <w:rPr>
          <w:rFonts w:ascii="Calibri" w:eastAsiaTheme="minorHAnsi" w:hAnsi="Calibri" w:cs="Arial"/>
          <w:color w:val="000000"/>
          <w:sz w:val="22"/>
          <w:szCs w:val="22"/>
        </w:rPr>
        <w:t> </w:t>
      </w:r>
      <w:r w:rsidRPr="00341B38">
        <w:rPr>
          <w:rFonts w:ascii="Andes" w:eastAsiaTheme="minorHAnsi" w:hAnsi="Andes" w:cs="Arial"/>
          <w:color w:val="000000"/>
          <w:sz w:val="22"/>
          <w:szCs w:val="22"/>
        </w:rPr>
        <w:t>; et</w:t>
      </w:r>
    </w:p>
    <w:p w14:paraId="5A1EDDED" w14:textId="5B61EC5E" w:rsidR="00D66D1B" w:rsidRPr="00B1581D" w:rsidRDefault="00341E34" w:rsidP="00341E34">
      <w:pPr>
        <w:pStyle w:val="Paragraphedeliste"/>
        <w:numPr>
          <w:ilvl w:val="0"/>
          <w:numId w:val="234"/>
        </w:numPr>
        <w:spacing w:before="0" w:line="240" w:lineRule="auto"/>
        <w:contextualSpacing w:val="0"/>
        <w:rPr>
          <w:rFonts w:ascii="Andes" w:eastAsiaTheme="minorHAnsi" w:hAnsi="Andes" w:cs="Arial"/>
          <w:color w:val="000000"/>
          <w:sz w:val="22"/>
          <w:szCs w:val="22"/>
        </w:rPr>
      </w:pPr>
      <w:r w:rsidRPr="00341B38">
        <w:rPr>
          <w:rFonts w:ascii="Andes" w:eastAsiaTheme="minorHAnsi" w:hAnsi="Andes" w:cs="Arial"/>
          <w:b/>
          <w:color w:val="000000"/>
          <w:sz w:val="22"/>
          <w:szCs w:val="22"/>
        </w:rPr>
        <w:t>Débriefing</w:t>
      </w:r>
      <w:r w:rsidR="000A7F1B">
        <w:rPr>
          <w:rFonts w:ascii="Andes" w:eastAsiaTheme="minorHAnsi" w:hAnsi="Andes" w:cs="Arial"/>
          <w:b/>
          <w:color w:val="000000"/>
          <w:sz w:val="22"/>
          <w:szCs w:val="22"/>
        </w:rPr>
        <w:t xml:space="preserve"> </w:t>
      </w:r>
      <w:r w:rsidRPr="00341B38">
        <w:rPr>
          <w:rFonts w:ascii="Andes" w:eastAsiaTheme="minorHAnsi" w:hAnsi="Andes" w:cs="Arial"/>
          <w:color w:val="000000"/>
          <w:sz w:val="22"/>
          <w:szCs w:val="22"/>
        </w:rPr>
        <w:t>: conformément aux paragraphes 5.81 à 5.87 (Débriefing par l’Emprunteur).</w:t>
      </w:r>
    </w:p>
    <w:p w14:paraId="3969876F" w14:textId="77777777" w:rsidR="00341E34" w:rsidRDefault="00341E34" w:rsidP="00341E34">
      <w:pPr>
        <w:pStyle w:val="Paragraphedeliste"/>
        <w:spacing w:before="0" w:line="240" w:lineRule="auto"/>
        <w:ind w:left="1350"/>
        <w:contextualSpacing w:val="0"/>
        <w:rPr>
          <w:rFonts w:ascii="Andes" w:eastAsiaTheme="minorHAnsi" w:hAnsi="Andes" w:cs="Arial"/>
          <w:b/>
          <w:color w:val="000000"/>
          <w:sz w:val="22"/>
          <w:szCs w:val="22"/>
        </w:rPr>
      </w:pPr>
    </w:p>
    <w:p w14:paraId="1842B35F" w14:textId="77777777" w:rsidR="00103E69" w:rsidRPr="00B1581D" w:rsidRDefault="00103E69" w:rsidP="00A5557C">
      <w:pPr>
        <w:spacing w:before="0" w:after="200"/>
        <w:contextualSpacing w:val="0"/>
        <w:jc w:val="left"/>
        <w:rPr>
          <w:rFonts w:ascii="Andes" w:hAnsi="Andes" w:cs="Arial"/>
        </w:rPr>
      </w:pPr>
    </w:p>
    <w:p w14:paraId="51E7FA6F" w14:textId="77777777" w:rsidR="00F74207" w:rsidRPr="00B1581D" w:rsidRDefault="00F74207" w:rsidP="00A5557C">
      <w:pPr>
        <w:spacing w:before="0" w:after="0" w:line="240" w:lineRule="auto"/>
        <w:contextualSpacing w:val="0"/>
        <w:jc w:val="left"/>
        <w:rPr>
          <w:rFonts w:ascii="Andes" w:hAnsi="Andes" w:cs="Arial"/>
        </w:rPr>
        <w:sectPr w:rsidR="00F74207" w:rsidRPr="00B1581D" w:rsidSect="000B5EC0">
          <w:headerReference w:type="default" r:id="rId49"/>
          <w:pgSz w:w="12240" w:h="15840"/>
          <w:pgMar w:top="1872" w:right="1440" w:bottom="1440" w:left="1411" w:header="720" w:footer="720" w:gutter="0"/>
          <w:cols w:space="720"/>
          <w:docGrid w:linePitch="360"/>
        </w:sectPr>
      </w:pPr>
    </w:p>
    <w:p w14:paraId="4B7F53A2" w14:textId="77777777" w:rsidR="003F12E2" w:rsidRPr="000A5DC6" w:rsidRDefault="00D46DF0" w:rsidP="00EA632A">
      <w:pPr>
        <w:pStyle w:val="Titre1"/>
        <w:spacing w:before="0" w:after="0" w:line="240" w:lineRule="auto"/>
        <w:ind w:left="360"/>
        <w:jc w:val="center"/>
        <w:rPr>
          <w:rFonts w:ascii="Andes" w:hAnsi="Andes" w:cs="Arial"/>
          <w:sz w:val="32"/>
          <w:szCs w:val="32"/>
          <w:lang w:val="en-US"/>
        </w:rPr>
      </w:pPr>
      <w:bookmarkStart w:id="3583" w:name="_Toc453171010"/>
      <w:bookmarkStart w:id="3584" w:name="_Toc453544340"/>
      <w:bookmarkStart w:id="3585" w:name="_Toc392000121"/>
      <w:bookmarkStart w:id="3586" w:name="_Toc392590959"/>
      <w:r w:rsidRPr="00D46DF0">
        <w:rPr>
          <w:rFonts w:ascii="Andes" w:hAnsi="Andes" w:cs="Microsoft Sans Serif"/>
          <w:b w:val="0"/>
          <w:caps/>
          <w:noProof/>
          <w:color w:val="002060"/>
          <w:sz w:val="24"/>
          <w:lang w:val="en-US"/>
        </w:rPr>
        <w:lastRenderedPageBreak/>
        <mc:AlternateContent>
          <mc:Choice Requires="wps">
            <w:drawing>
              <wp:anchor distT="0" distB="0" distL="114300" distR="114300" simplePos="0" relativeHeight="251677696" behindDoc="0" locked="0" layoutInCell="1" allowOverlap="1" wp14:anchorId="1002D8B1" wp14:editId="7C7C2911">
                <wp:simplePos x="0" y="0"/>
                <wp:positionH relativeFrom="page">
                  <wp:posOffset>-6985</wp:posOffset>
                </wp:positionH>
                <wp:positionV relativeFrom="paragraph">
                  <wp:posOffset>-1057910</wp:posOffset>
                </wp:positionV>
                <wp:extent cx="8151963" cy="1466491"/>
                <wp:effectExtent l="0" t="0" r="1905" b="635"/>
                <wp:wrapNone/>
                <wp:docPr id="50" name="Rectangle 50"/>
                <wp:cNvGraphicFramePr/>
                <a:graphic xmlns:a="http://schemas.openxmlformats.org/drawingml/2006/main">
                  <a:graphicData uri="http://schemas.microsoft.com/office/word/2010/wordprocessingShape">
                    <wps:wsp>
                      <wps:cNvSpPr/>
                      <wps:spPr>
                        <a:xfrm>
                          <a:off x="0" y="0"/>
                          <a:ext cx="8151963" cy="1466491"/>
                        </a:xfrm>
                        <a:prstGeom prst="rect">
                          <a:avLst/>
                        </a:prstGeom>
                        <a:solidFill>
                          <a:srgbClr val="C45911"/>
                        </a:solidFill>
                        <a:ln w="12700" cap="flat" cmpd="sng" algn="ctr">
                          <a:noFill/>
                          <a:prstDash val="solid"/>
                          <a:miter lim="800000"/>
                        </a:ln>
                        <a:effectLst/>
                      </wps:spPr>
                      <wps:txbx>
                        <w:txbxContent>
                          <w:p w14:paraId="227AC521" w14:textId="75B11556" w:rsidR="00A41794" w:rsidRPr="00341E34" w:rsidRDefault="00A41794" w:rsidP="00C85AE9">
                            <w:pPr>
                              <w:tabs>
                                <w:tab w:val="left" w:pos="3330"/>
                              </w:tabs>
                              <w:ind w:left="1260"/>
                              <w:rPr>
                                <w:rFonts w:ascii="Andes" w:hAnsi="Andes"/>
                                <w:color w:val="FFFFFF" w:themeColor="background1"/>
                                <w:sz w:val="44"/>
                                <w:szCs w:val="44"/>
                              </w:rPr>
                            </w:pPr>
                            <w:r w:rsidRPr="00D67DFA">
                              <w:rPr>
                                <w:rFonts w:ascii="Andes" w:hAnsi="Andes"/>
                                <w:color w:val="FFFFFF" w:themeColor="background1"/>
                                <w:sz w:val="44"/>
                                <w:szCs w:val="44"/>
                              </w:rPr>
                              <w:t xml:space="preserve">Annexe XIII.  </w:t>
                            </w:r>
                            <w:r w:rsidRPr="00D67DFA">
                              <w:rPr>
                                <w:rFonts w:ascii="Andes" w:hAnsi="Andes"/>
                                <w:color w:val="FFFFFF" w:themeColor="background1"/>
                                <w:sz w:val="44"/>
                                <w:szCs w:val="44"/>
                              </w:rPr>
                              <w:tab/>
                            </w:r>
                            <w:proofErr w:type="gramStart"/>
                            <w:r w:rsidRPr="00D67DFA">
                              <w:rPr>
                                <w:rFonts w:ascii="Andes" w:hAnsi="Andes"/>
                                <w:color w:val="FFFFFF" w:themeColor="background1"/>
                                <w:sz w:val="44"/>
                                <w:szCs w:val="44"/>
                              </w:rPr>
                              <w:t xml:space="preserve">Dialogue </w:t>
                            </w:r>
                            <w:r>
                              <w:rPr>
                                <w:rFonts w:ascii="Andes" w:hAnsi="Andes"/>
                                <w:color w:val="FFFFFF" w:themeColor="background1"/>
                                <w:sz w:val="44"/>
                                <w:szCs w:val="44"/>
                              </w:rPr>
                              <w:t xml:space="preserve"> Compétitif</w:t>
                            </w:r>
                            <w:proofErr w:type="gramEnd"/>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2D8B1" id="Rectangle 50" o:spid="_x0000_s1052" style="position:absolute;left:0;text-align:left;margin-left:-.55pt;margin-top:-83.3pt;width:641.9pt;height:115.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" fillcolor="#c45911" stroked="f" strokeweight="1pt">
                <v:textbox>
                  <w:txbxContent>
                    <w:p w14:paraId="227AC521" w14:textId="75B11556" w:rsidR="00A41794" w:rsidRPr="00341E34" w:rsidRDefault="00A41794" w:rsidP="00C85AE9">
                      <w:pPr>
                        <w:tabs>
                          <w:tab w:val="left" w:pos="3330"/>
                        </w:tabs>
                        <w:ind w:left="1260"/>
                        <w:rPr>
                          <w:rFonts w:ascii="Andes" w:hAnsi="Andes"/>
                          <w:color w:val="FFFFFF" w:themeColor="background1"/>
                          <w:sz w:val="44"/>
                          <w:szCs w:val="44"/>
                        </w:rPr>
                      </w:pPr>
                      <w:r w:rsidRPr="00D67DFA">
                        <w:rPr>
                          <w:rFonts w:ascii="Andes" w:hAnsi="Andes"/>
                          <w:color w:val="FFFFFF" w:themeColor="background1"/>
                          <w:sz w:val="44"/>
                          <w:szCs w:val="44"/>
                        </w:rPr>
                        <w:t xml:space="preserve">Annexe XIII.  </w:t>
                      </w:r>
                      <w:r w:rsidRPr="00D67DFA">
                        <w:rPr>
                          <w:rFonts w:ascii="Andes" w:hAnsi="Andes"/>
                          <w:color w:val="FFFFFF" w:themeColor="background1"/>
                          <w:sz w:val="44"/>
                          <w:szCs w:val="44"/>
                        </w:rPr>
                        <w:tab/>
                      </w:r>
                      <w:proofErr w:type="gramStart"/>
                      <w:r w:rsidRPr="00D67DFA">
                        <w:rPr>
                          <w:rFonts w:ascii="Andes" w:hAnsi="Andes"/>
                          <w:color w:val="FFFFFF" w:themeColor="background1"/>
                          <w:sz w:val="44"/>
                          <w:szCs w:val="44"/>
                        </w:rPr>
                        <w:t xml:space="preserve">Dialogue </w:t>
                      </w:r>
                      <w:r>
                        <w:rPr>
                          <w:rFonts w:ascii="Andes" w:hAnsi="Andes"/>
                          <w:color w:val="FFFFFF" w:themeColor="background1"/>
                          <w:sz w:val="44"/>
                          <w:szCs w:val="44"/>
                        </w:rPr>
                        <w:t xml:space="preserve"> Compétitif</w:t>
                      </w:r>
                      <w:proofErr w:type="gramEnd"/>
                    </w:p>
                  </w:txbxContent>
                </v:textbox>
                <w10:wrap anchorx="page"/>
              </v:rect>
            </w:pict>
          </mc:Fallback>
        </mc:AlternateContent>
      </w:r>
      <w:r w:rsidR="00B07F38" w:rsidRPr="00E916B7">
        <w:rPr>
          <w:rFonts w:ascii="Andes" w:hAnsi="Andes" w:cs="Arial"/>
          <w:sz w:val="32"/>
          <w:szCs w:val="32"/>
          <w:lang w:val="en-US"/>
        </w:rPr>
        <w:t>Annex XIII</w:t>
      </w:r>
      <w:bookmarkEnd w:id="3583"/>
      <w:r w:rsidR="00687669">
        <w:rPr>
          <w:rFonts w:ascii="Andes" w:hAnsi="Andes" w:cs="Arial"/>
          <w:sz w:val="32"/>
          <w:szCs w:val="32"/>
          <w:lang w:val="en-US"/>
        </w:rPr>
        <w:t xml:space="preserve">.  </w:t>
      </w:r>
      <w:bookmarkStart w:id="3587" w:name="_Toc453171011"/>
      <w:r w:rsidR="00D66D1B" w:rsidRPr="00E916B7">
        <w:rPr>
          <w:rFonts w:ascii="Andes" w:hAnsi="Andes" w:cs="Arial"/>
          <w:sz w:val="32"/>
          <w:szCs w:val="32"/>
          <w:lang w:val="en-US"/>
        </w:rPr>
        <w:t>Competitive Dialogue</w:t>
      </w:r>
      <w:bookmarkEnd w:id="3584"/>
      <w:bookmarkEnd w:id="3587"/>
    </w:p>
    <w:p w14:paraId="59DC9E86" w14:textId="28D6769F" w:rsidR="00AE5222" w:rsidRPr="00D124D9" w:rsidRDefault="00AE5222" w:rsidP="00AE5222">
      <w:pPr>
        <w:pStyle w:val="Paragraphedeliste"/>
        <w:numPr>
          <w:ilvl w:val="0"/>
          <w:numId w:val="134"/>
        </w:numPr>
        <w:spacing w:before="360"/>
        <w:ind w:left="634" w:hanging="634"/>
        <w:contextualSpacing w:val="0"/>
        <w:rPr>
          <w:rFonts w:ascii="Andes" w:eastAsiaTheme="majorEastAsia" w:hAnsi="Andes"/>
          <w:b/>
          <w:color w:val="C45911"/>
          <w:sz w:val="32"/>
          <w:szCs w:val="32"/>
        </w:rPr>
      </w:pPr>
      <w:bookmarkStart w:id="3588" w:name="_Toc453544341"/>
      <w:bookmarkStart w:id="3589" w:name="_Toc453171016"/>
      <w:bookmarkStart w:id="3590" w:name="_Toc392590965"/>
      <w:bookmarkEnd w:id="3585"/>
      <w:bookmarkEnd w:id="3586"/>
      <w:r w:rsidRPr="00D124D9">
        <w:rPr>
          <w:rFonts w:ascii="Andes" w:eastAsiaTheme="majorEastAsia" w:hAnsi="Andes"/>
          <w:b/>
          <w:color w:val="C45911"/>
          <w:sz w:val="32"/>
          <w:szCs w:val="32"/>
        </w:rPr>
        <w:t xml:space="preserve">Objet </w:t>
      </w:r>
    </w:p>
    <w:p w14:paraId="7FBA727D" w14:textId="590A1F77" w:rsidR="00AE5222" w:rsidRPr="00D67DFA" w:rsidRDefault="00AE5222" w:rsidP="00AE5222">
      <w:pPr>
        <w:pStyle w:val="Paragraphedeliste"/>
        <w:numPr>
          <w:ilvl w:val="1"/>
          <w:numId w:val="109"/>
        </w:numPr>
        <w:spacing w:before="0" w:line="240" w:lineRule="auto"/>
        <w:ind w:left="634" w:hanging="634"/>
        <w:contextualSpacing w:val="0"/>
        <w:rPr>
          <w:rFonts w:ascii="Andes" w:hAnsi="Andes" w:cs="Arial"/>
          <w:sz w:val="22"/>
          <w:szCs w:val="22"/>
        </w:rPr>
      </w:pPr>
      <w:r w:rsidRPr="00D67DFA">
        <w:rPr>
          <w:rFonts w:ascii="Andes" w:hAnsi="Andes" w:cs="Arial"/>
          <w:szCs w:val="24"/>
        </w:rPr>
        <w:tab/>
        <w:t xml:space="preserve">La présente annexe décrit les procédures les plus couramment utilisées dans le cadre d’un </w:t>
      </w:r>
      <w:r>
        <w:rPr>
          <w:rFonts w:ascii="Andes" w:hAnsi="Andes" w:cs="Arial"/>
          <w:szCs w:val="24"/>
        </w:rPr>
        <w:t>D</w:t>
      </w:r>
      <w:r w:rsidRPr="00D67DFA">
        <w:rPr>
          <w:rFonts w:ascii="Andes" w:hAnsi="Andes" w:cs="Arial"/>
          <w:szCs w:val="24"/>
        </w:rPr>
        <w:t xml:space="preserve">ialogue </w:t>
      </w:r>
      <w:r w:rsidR="00D56701">
        <w:rPr>
          <w:rFonts w:ascii="Andes" w:hAnsi="Andes" w:cs="Arial"/>
          <w:szCs w:val="24"/>
        </w:rPr>
        <w:t>compétitif</w:t>
      </w:r>
      <w:r w:rsidRPr="00D67DFA">
        <w:rPr>
          <w:rFonts w:ascii="Andes" w:hAnsi="Andes" w:cs="Arial"/>
          <w:szCs w:val="24"/>
        </w:rPr>
        <w:t>. Chaque dialogue doit être soigneusement conçu pour en maximiser l’efficacité. On p</w:t>
      </w:r>
      <w:r>
        <w:rPr>
          <w:rFonts w:ascii="Andes" w:hAnsi="Andes" w:cs="Arial"/>
          <w:szCs w:val="24"/>
        </w:rPr>
        <w:t>eut</w:t>
      </w:r>
      <w:r w:rsidRPr="00D67DFA">
        <w:rPr>
          <w:rFonts w:ascii="Andes" w:hAnsi="Andes" w:cs="Arial"/>
          <w:szCs w:val="24"/>
        </w:rPr>
        <w:t xml:space="preserve"> ainsi obtenir des variantes </w:t>
      </w:r>
      <w:r>
        <w:rPr>
          <w:rFonts w:ascii="Andes" w:hAnsi="Andes" w:cs="Arial"/>
          <w:szCs w:val="24"/>
        </w:rPr>
        <w:t>des</w:t>
      </w:r>
      <w:r w:rsidRPr="00D67DFA">
        <w:rPr>
          <w:rFonts w:ascii="Andes" w:hAnsi="Andes" w:cs="Arial"/>
          <w:szCs w:val="24"/>
        </w:rPr>
        <w:t xml:space="preserve"> procédures génériques décrites ci-dessous. Le </w:t>
      </w:r>
      <w:r>
        <w:rPr>
          <w:rFonts w:ascii="Andes" w:hAnsi="Andes" w:cs="Arial"/>
          <w:szCs w:val="24"/>
        </w:rPr>
        <w:t>D</w:t>
      </w:r>
      <w:r w:rsidRPr="00D67DFA">
        <w:rPr>
          <w:rFonts w:ascii="Andes" w:hAnsi="Andes" w:cs="Arial"/>
          <w:szCs w:val="24"/>
        </w:rPr>
        <w:t xml:space="preserve">ialogue </w:t>
      </w:r>
      <w:r w:rsidR="00DE168F">
        <w:rPr>
          <w:rFonts w:ascii="Andes" w:hAnsi="Andes" w:cs="Arial"/>
          <w:szCs w:val="24"/>
        </w:rPr>
        <w:t>compétitif</w:t>
      </w:r>
      <w:r w:rsidR="00DE168F" w:rsidRPr="00D67DFA">
        <w:rPr>
          <w:rFonts w:ascii="Andes" w:hAnsi="Andes" w:cs="Arial"/>
          <w:szCs w:val="24"/>
        </w:rPr>
        <w:t xml:space="preserve"> </w:t>
      </w:r>
      <w:r w:rsidRPr="00D67DFA">
        <w:rPr>
          <w:rFonts w:ascii="Andes" w:hAnsi="Andes" w:cs="Arial"/>
          <w:szCs w:val="24"/>
        </w:rPr>
        <w:t>s’inspire du Modèle 3 d’appel à propositions (procédure i</w:t>
      </w:r>
      <w:r>
        <w:rPr>
          <w:rFonts w:ascii="Andes" w:hAnsi="Andes" w:cs="Arial"/>
          <w:szCs w:val="24"/>
        </w:rPr>
        <w:t>ntégrée à plusieurs étapes) du D</w:t>
      </w:r>
      <w:r w:rsidRPr="00D67DFA">
        <w:rPr>
          <w:rFonts w:ascii="Andes" w:hAnsi="Andes" w:cs="Arial"/>
          <w:szCs w:val="24"/>
        </w:rPr>
        <w:t>ossier type de passation de marché décr</w:t>
      </w:r>
      <w:r>
        <w:rPr>
          <w:rFonts w:ascii="Andes" w:hAnsi="Andes" w:cs="Arial"/>
          <w:szCs w:val="24"/>
        </w:rPr>
        <w:t>it à l’annexe XII consacré aux M</w:t>
      </w:r>
      <w:r w:rsidRPr="00D67DFA">
        <w:rPr>
          <w:rFonts w:ascii="Andes" w:hAnsi="Andes" w:cs="Arial"/>
          <w:szCs w:val="24"/>
        </w:rPr>
        <w:t xml:space="preserve">éthodes de </w:t>
      </w:r>
      <w:r>
        <w:rPr>
          <w:rFonts w:ascii="Andes" w:hAnsi="Andes" w:cs="Arial"/>
          <w:szCs w:val="24"/>
        </w:rPr>
        <w:t>S</w:t>
      </w:r>
      <w:r w:rsidRPr="00D67DFA">
        <w:rPr>
          <w:rFonts w:ascii="Andes" w:hAnsi="Andes" w:cs="Arial"/>
          <w:szCs w:val="24"/>
        </w:rPr>
        <w:t>élection. La figure 1 de la présente annexe propose un récapitulatif de cette procédure</w:t>
      </w:r>
      <w:r w:rsidRPr="00D67DFA">
        <w:rPr>
          <w:rFonts w:ascii="Andes" w:hAnsi="Andes" w:cs="Arial"/>
          <w:sz w:val="22"/>
          <w:szCs w:val="22"/>
        </w:rPr>
        <w:t xml:space="preserve">. </w:t>
      </w:r>
    </w:p>
    <w:p w14:paraId="2EC71042" w14:textId="746607F2" w:rsidR="00AE5222" w:rsidRPr="00D67DFA" w:rsidRDefault="00DE168F" w:rsidP="00AE5222">
      <w:pPr>
        <w:pStyle w:val="Paragraphedeliste"/>
        <w:numPr>
          <w:ilvl w:val="0"/>
          <w:numId w:val="134"/>
        </w:numPr>
        <w:spacing w:before="240"/>
        <w:ind w:left="630" w:hanging="630"/>
        <w:contextualSpacing w:val="0"/>
        <w:rPr>
          <w:rFonts w:ascii="Andes" w:eastAsiaTheme="majorEastAsia" w:hAnsi="Andes"/>
          <w:b/>
          <w:color w:val="C45911"/>
          <w:sz w:val="32"/>
          <w:szCs w:val="32"/>
        </w:rPr>
      </w:pPr>
      <w:r>
        <w:rPr>
          <w:rFonts w:ascii="Andes" w:eastAsiaTheme="majorEastAsia" w:hAnsi="Andes"/>
          <w:b/>
          <w:color w:val="C45911"/>
          <w:sz w:val="32"/>
          <w:szCs w:val="32"/>
        </w:rPr>
        <w:t xml:space="preserve">Exigences </w:t>
      </w:r>
    </w:p>
    <w:p w14:paraId="25C78EB7" w14:textId="7B34A52E" w:rsidR="00AE5222" w:rsidRPr="00D67DFA" w:rsidRDefault="00AE5222" w:rsidP="00AE5222">
      <w:pPr>
        <w:pStyle w:val="Paragraphedeliste"/>
        <w:numPr>
          <w:ilvl w:val="1"/>
          <w:numId w:val="110"/>
        </w:numPr>
        <w:spacing w:before="0" w:line="240" w:lineRule="auto"/>
        <w:ind w:left="630" w:hanging="630"/>
        <w:contextualSpacing w:val="0"/>
        <w:rPr>
          <w:rFonts w:ascii="Andes" w:hAnsi="Andes" w:cs="Arial"/>
          <w:sz w:val="22"/>
          <w:szCs w:val="22"/>
        </w:rPr>
      </w:pPr>
      <w:r w:rsidRPr="00D67DFA">
        <w:rPr>
          <w:rFonts w:ascii="Andes" w:hAnsi="Andes" w:cs="Arial"/>
          <w:sz w:val="22"/>
          <w:szCs w:val="22"/>
        </w:rPr>
        <w:t xml:space="preserve">Le </w:t>
      </w:r>
      <w:r>
        <w:rPr>
          <w:rFonts w:ascii="Andes" w:hAnsi="Andes" w:cs="Arial"/>
          <w:sz w:val="22"/>
          <w:szCs w:val="22"/>
        </w:rPr>
        <w:t>D</w:t>
      </w:r>
      <w:r w:rsidRPr="00D67DFA">
        <w:rPr>
          <w:rFonts w:ascii="Andes" w:hAnsi="Andes" w:cs="Arial"/>
          <w:sz w:val="22"/>
          <w:szCs w:val="22"/>
        </w:rPr>
        <w:t xml:space="preserve">ialogue </w:t>
      </w:r>
      <w:r w:rsidR="00D56701">
        <w:rPr>
          <w:rFonts w:ascii="Andes" w:hAnsi="Andes" w:cs="Arial"/>
          <w:sz w:val="22"/>
          <w:szCs w:val="22"/>
        </w:rPr>
        <w:t>compétitif</w:t>
      </w:r>
      <w:r w:rsidR="00D56701" w:rsidRPr="00D67DFA">
        <w:rPr>
          <w:rFonts w:ascii="Andes" w:hAnsi="Andes" w:cs="Arial"/>
          <w:sz w:val="22"/>
          <w:szCs w:val="22"/>
        </w:rPr>
        <w:t xml:space="preserve"> </w:t>
      </w:r>
      <w:r w:rsidRPr="00D67DFA">
        <w:rPr>
          <w:rFonts w:ascii="Andes" w:hAnsi="Andes" w:cs="Arial"/>
          <w:sz w:val="22"/>
          <w:szCs w:val="22"/>
        </w:rPr>
        <w:t>est un mode de sélection interactif à plusieurs étapes qui permet une collaboration dynamique avec les Proposants. L’Emprunteur justifie le recours à cette procédure dans la Stratégie de passation des marchés du projet pour promouvoir le développement (</w:t>
      </w:r>
      <w:r w:rsidR="006634EF">
        <w:rPr>
          <w:rFonts w:ascii="Andes" w:hAnsi="Andes" w:cs="Arial"/>
          <w:sz w:val="22"/>
          <w:szCs w:val="22"/>
        </w:rPr>
        <w:t>SPMPD</w:t>
      </w:r>
      <w:r w:rsidRPr="00D67DFA">
        <w:rPr>
          <w:rFonts w:ascii="Andes" w:hAnsi="Andes" w:cs="Arial"/>
          <w:sz w:val="22"/>
          <w:szCs w:val="22"/>
        </w:rPr>
        <w:t xml:space="preserve">). </w:t>
      </w:r>
      <w:r>
        <w:rPr>
          <w:rFonts w:ascii="Andes" w:hAnsi="Andes" w:cs="Arial"/>
          <w:sz w:val="22"/>
          <w:szCs w:val="22"/>
        </w:rPr>
        <w:t>On aura recours au</w:t>
      </w:r>
      <w:r w:rsidRPr="00D67DFA">
        <w:rPr>
          <w:rFonts w:ascii="Andes" w:hAnsi="Andes" w:cs="Arial"/>
          <w:sz w:val="22"/>
          <w:szCs w:val="22"/>
        </w:rPr>
        <w:t xml:space="preserve"> </w:t>
      </w:r>
      <w:r>
        <w:rPr>
          <w:rFonts w:ascii="Andes" w:hAnsi="Andes" w:cs="Arial"/>
          <w:sz w:val="22"/>
          <w:szCs w:val="22"/>
        </w:rPr>
        <w:t>D</w:t>
      </w:r>
      <w:r w:rsidRPr="00D67DFA">
        <w:rPr>
          <w:rFonts w:ascii="Andes" w:hAnsi="Andes" w:cs="Arial"/>
          <w:sz w:val="22"/>
          <w:szCs w:val="22"/>
        </w:rPr>
        <w:t xml:space="preserve">ialogue </w:t>
      </w:r>
      <w:r w:rsidR="00DE168F">
        <w:rPr>
          <w:rFonts w:ascii="Andes" w:hAnsi="Andes" w:cs="Arial"/>
          <w:sz w:val="22"/>
          <w:szCs w:val="22"/>
        </w:rPr>
        <w:t>compétitif</w:t>
      </w:r>
      <w:r w:rsidR="00DE168F" w:rsidRPr="00D67DFA">
        <w:rPr>
          <w:rFonts w:ascii="Andes" w:hAnsi="Andes" w:cs="Arial"/>
          <w:sz w:val="22"/>
          <w:szCs w:val="22"/>
        </w:rPr>
        <w:t xml:space="preserve"> </w:t>
      </w:r>
      <w:r w:rsidRPr="00D67DFA">
        <w:rPr>
          <w:rFonts w:ascii="Andes" w:hAnsi="Andes" w:cs="Arial"/>
          <w:sz w:val="22"/>
          <w:szCs w:val="22"/>
        </w:rPr>
        <w:t xml:space="preserve">uniquement dans le cas des marchés d’une grande complexité ou nécessitant des travaux innovants.  </w:t>
      </w:r>
    </w:p>
    <w:p w14:paraId="73BADB0B" w14:textId="2513FEF4" w:rsidR="00AE5222" w:rsidRPr="00D67DFA" w:rsidRDefault="00AE5222" w:rsidP="00D56701">
      <w:pPr>
        <w:pStyle w:val="Paragraphedeliste"/>
        <w:numPr>
          <w:ilvl w:val="1"/>
          <w:numId w:val="110"/>
        </w:numPr>
        <w:spacing w:before="0" w:line="240" w:lineRule="auto"/>
        <w:contextualSpacing w:val="0"/>
        <w:rPr>
          <w:rFonts w:ascii="Andes" w:hAnsi="Andes" w:cs="Arial"/>
          <w:sz w:val="22"/>
          <w:szCs w:val="22"/>
        </w:rPr>
      </w:pPr>
      <w:r w:rsidRPr="00D67DFA">
        <w:rPr>
          <w:rFonts w:ascii="Andes" w:hAnsi="Andes" w:cs="Arial"/>
          <w:sz w:val="22"/>
          <w:szCs w:val="22"/>
        </w:rPr>
        <w:t xml:space="preserve">Le </w:t>
      </w:r>
      <w:r>
        <w:rPr>
          <w:rFonts w:ascii="Andes" w:hAnsi="Andes" w:cs="Arial"/>
          <w:sz w:val="22"/>
          <w:szCs w:val="22"/>
        </w:rPr>
        <w:t>D</w:t>
      </w:r>
      <w:r w:rsidRPr="00D67DFA">
        <w:rPr>
          <w:rFonts w:ascii="Andes" w:hAnsi="Andes" w:cs="Arial"/>
          <w:sz w:val="22"/>
          <w:szCs w:val="22"/>
        </w:rPr>
        <w:t xml:space="preserve">ialogue </w:t>
      </w:r>
      <w:r w:rsidR="00D56701" w:rsidRPr="00D56701">
        <w:rPr>
          <w:rFonts w:ascii="Andes" w:hAnsi="Andes" w:cs="Arial"/>
          <w:sz w:val="22"/>
          <w:szCs w:val="22"/>
        </w:rPr>
        <w:t xml:space="preserve">compétitif </w:t>
      </w:r>
      <w:r w:rsidRPr="00D67DFA">
        <w:rPr>
          <w:rFonts w:ascii="Andes" w:hAnsi="Andes" w:cs="Arial"/>
          <w:sz w:val="22"/>
          <w:szCs w:val="22"/>
        </w:rPr>
        <w:t>peut être la procédure appropriée</w:t>
      </w:r>
      <w:r w:rsidRPr="00D67DFA">
        <w:rPr>
          <w:rFonts w:ascii="Calibri" w:hAnsi="Calibri" w:cs="Arial"/>
          <w:sz w:val="22"/>
          <w:szCs w:val="22"/>
        </w:rPr>
        <w:t xml:space="preserve"> </w:t>
      </w:r>
      <w:r w:rsidRPr="00D67DFA">
        <w:rPr>
          <w:rFonts w:ascii="Andes" w:hAnsi="Andes" w:cs="Arial"/>
          <w:sz w:val="22"/>
          <w:szCs w:val="22"/>
        </w:rPr>
        <w:t xml:space="preserve">lorsque : </w:t>
      </w:r>
    </w:p>
    <w:p w14:paraId="627229A8" w14:textId="77777777" w:rsidR="00AE5222" w:rsidRPr="00D67DFA" w:rsidRDefault="00AE5222" w:rsidP="00AE5222">
      <w:pPr>
        <w:pStyle w:val="Paragraphedeliste"/>
        <w:numPr>
          <w:ilvl w:val="1"/>
          <w:numId w:val="196"/>
        </w:numPr>
        <w:spacing w:before="0" w:line="240" w:lineRule="auto"/>
        <w:ind w:left="1260"/>
        <w:contextualSpacing w:val="0"/>
        <w:rPr>
          <w:rFonts w:ascii="Andes" w:hAnsi="Andes" w:cs="Arial"/>
          <w:sz w:val="22"/>
          <w:szCs w:val="22"/>
        </w:rPr>
      </w:pPr>
      <w:r w:rsidRPr="00D67DFA">
        <w:rPr>
          <w:rFonts w:ascii="Andes" w:hAnsi="Andes" w:cs="Arial"/>
          <w:sz w:val="22"/>
          <w:szCs w:val="22"/>
        </w:rPr>
        <w:t>un certain nombre de solutions répond</w:t>
      </w:r>
      <w:r>
        <w:rPr>
          <w:rFonts w:ascii="Andes" w:hAnsi="Andes" w:cs="Arial"/>
          <w:sz w:val="22"/>
          <w:szCs w:val="22"/>
        </w:rPr>
        <w:t>a</w:t>
      </w:r>
      <w:r w:rsidRPr="00D67DFA">
        <w:rPr>
          <w:rFonts w:ascii="Andes" w:hAnsi="Andes" w:cs="Arial"/>
          <w:sz w:val="22"/>
          <w:szCs w:val="22"/>
        </w:rPr>
        <w:t xml:space="preserve">nt aux exigences de l’Emprunteur </w:t>
      </w:r>
      <w:r>
        <w:rPr>
          <w:rFonts w:ascii="Andes" w:hAnsi="Andes" w:cs="Arial"/>
          <w:sz w:val="22"/>
          <w:szCs w:val="22"/>
        </w:rPr>
        <w:t xml:space="preserve">sont possibles </w:t>
      </w:r>
      <w:r w:rsidRPr="00D67DFA">
        <w:rPr>
          <w:rFonts w:ascii="Andes" w:hAnsi="Andes" w:cs="Arial"/>
          <w:sz w:val="22"/>
          <w:szCs w:val="22"/>
        </w:rPr>
        <w:t xml:space="preserve">et les parties doivent débattre et arrêter les conditions techniques et commerciales devant les accompagner ; et </w:t>
      </w:r>
    </w:p>
    <w:p w14:paraId="50B50B31" w14:textId="77777777" w:rsidR="00AE5222" w:rsidRPr="00D67DFA" w:rsidRDefault="00AE5222" w:rsidP="00AE5222">
      <w:pPr>
        <w:pStyle w:val="Paragraphedeliste"/>
        <w:numPr>
          <w:ilvl w:val="1"/>
          <w:numId w:val="196"/>
        </w:numPr>
        <w:spacing w:before="0" w:line="240" w:lineRule="auto"/>
        <w:ind w:left="1260"/>
        <w:contextualSpacing w:val="0"/>
        <w:rPr>
          <w:rFonts w:ascii="Andes" w:hAnsi="Andes" w:cs="Arial"/>
          <w:sz w:val="22"/>
          <w:szCs w:val="22"/>
        </w:rPr>
      </w:pPr>
      <w:r w:rsidRPr="00D67DFA">
        <w:rPr>
          <w:rFonts w:ascii="Andes" w:hAnsi="Andes" w:cs="Arial"/>
          <w:sz w:val="22"/>
          <w:szCs w:val="22"/>
        </w:rPr>
        <w:t>en raison de la nature et de la complexité du marché, l’Emprunteur n’est pas objectivement en mesure de</w:t>
      </w:r>
      <w:r w:rsidRPr="00D67DFA">
        <w:rPr>
          <w:rFonts w:ascii="Calibri" w:hAnsi="Calibri" w:cs="Arial"/>
          <w:sz w:val="22"/>
          <w:szCs w:val="22"/>
        </w:rPr>
        <w:t> </w:t>
      </w:r>
      <w:r w:rsidRPr="00D67DFA">
        <w:rPr>
          <w:rFonts w:ascii="Andes" w:hAnsi="Andes" w:cs="Arial"/>
          <w:sz w:val="22"/>
          <w:szCs w:val="22"/>
        </w:rPr>
        <w:t>:</w:t>
      </w:r>
    </w:p>
    <w:p w14:paraId="4C7B25A0" w14:textId="77777777" w:rsidR="00AE5222" w:rsidRPr="00D67DFA" w:rsidRDefault="00AE5222" w:rsidP="00AE5222">
      <w:pPr>
        <w:pStyle w:val="Paragraphedeliste"/>
        <w:numPr>
          <w:ilvl w:val="2"/>
          <w:numId w:val="197"/>
        </w:numPr>
        <w:spacing w:before="0" w:line="240" w:lineRule="auto"/>
        <w:ind w:left="1710"/>
        <w:contextualSpacing w:val="0"/>
        <w:rPr>
          <w:rFonts w:ascii="Andes" w:hAnsi="Andes" w:cs="Arial"/>
          <w:sz w:val="22"/>
          <w:szCs w:val="22"/>
        </w:rPr>
      </w:pPr>
      <w:r w:rsidRPr="00D67DFA">
        <w:rPr>
          <w:rFonts w:ascii="Andes" w:hAnsi="Andes" w:cs="Arial"/>
          <w:sz w:val="22"/>
          <w:szCs w:val="22"/>
        </w:rPr>
        <w:t>définir comme il convient les spécifications techniques ou normes de performance et l’ampleur des prestations pouvant satisfaire à ses exigences</w:t>
      </w:r>
      <w:r w:rsidRPr="00D67DFA">
        <w:rPr>
          <w:rFonts w:ascii="Calibri" w:hAnsi="Calibri" w:cs="Arial"/>
          <w:sz w:val="22"/>
          <w:szCs w:val="22"/>
        </w:rPr>
        <w:t> </w:t>
      </w:r>
      <w:r w:rsidRPr="00D67DFA">
        <w:rPr>
          <w:rFonts w:ascii="Andes" w:hAnsi="Andes" w:cs="Arial"/>
          <w:sz w:val="22"/>
          <w:szCs w:val="22"/>
        </w:rPr>
        <w:t xml:space="preserve">; et/ou </w:t>
      </w:r>
    </w:p>
    <w:p w14:paraId="2B5F4843" w14:textId="77777777" w:rsidR="00AE5222" w:rsidRPr="00D67DFA" w:rsidRDefault="00AE5222" w:rsidP="00AE5222">
      <w:pPr>
        <w:pStyle w:val="Paragraphedeliste"/>
        <w:numPr>
          <w:ilvl w:val="2"/>
          <w:numId w:val="197"/>
        </w:numPr>
        <w:spacing w:before="0" w:line="240" w:lineRule="auto"/>
        <w:ind w:left="1710"/>
        <w:contextualSpacing w:val="0"/>
        <w:rPr>
          <w:rFonts w:ascii="Andes" w:hAnsi="Andes" w:cs="Arial"/>
          <w:sz w:val="22"/>
          <w:szCs w:val="22"/>
        </w:rPr>
      </w:pPr>
      <w:r w:rsidRPr="00D67DFA">
        <w:rPr>
          <w:rFonts w:ascii="Andes" w:hAnsi="Andes" w:cs="Arial"/>
          <w:sz w:val="22"/>
          <w:szCs w:val="22"/>
        </w:rPr>
        <w:t xml:space="preserve">spécifier </w:t>
      </w:r>
      <w:r>
        <w:rPr>
          <w:rFonts w:ascii="Andes" w:hAnsi="Andes" w:cs="Arial"/>
          <w:sz w:val="22"/>
          <w:szCs w:val="22"/>
        </w:rPr>
        <w:t>tous</w:t>
      </w:r>
      <w:r w:rsidRPr="00D67DFA">
        <w:rPr>
          <w:rFonts w:ascii="Andes" w:hAnsi="Andes" w:cs="Arial"/>
          <w:sz w:val="22"/>
          <w:szCs w:val="22"/>
        </w:rPr>
        <w:t xml:space="preserve"> les contours juridiques et/ou financiers du marché.</w:t>
      </w:r>
    </w:p>
    <w:p w14:paraId="016403B7" w14:textId="0B289176" w:rsidR="00AE5222" w:rsidRPr="00D67DFA" w:rsidRDefault="00AE5222" w:rsidP="00D56701">
      <w:pPr>
        <w:pStyle w:val="Paragraphedeliste"/>
        <w:numPr>
          <w:ilvl w:val="1"/>
          <w:numId w:val="110"/>
        </w:numPr>
        <w:spacing w:before="0" w:line="240" w:lineRule="auto"/>
        <w:contextualSpacing w:val="0"/>
        <w:rPr>
          <w:rFonts w:ascii="Andes" w:hAnsi="Andes" w:cs="Arial"/>
          <w:sz w:val="22"/>
          <w:szCs w:val="22"/>
        </w:rPr>
      </w:pPr>
      <w:r w:rsidRPr="00D67DFA">
        <w:rPr>
          <w:rFonts w:ascii="Andes" w:hAnsi="Andes" w:cs="Arial"/>
          <w:sz w:val="22"/>
          <w:szCs w:val="22"/>
        </w:rPr>
        <w:t xml:space="preserve">Dans le cadre d’un </w:t>
      </w:r>
      <w:r>
        <w:rPr>
          <w:rFonts w:ascii="Andes" w:hAnsi="Andes" w:cs="Arial"/>
          <w:sz w:val="22"/>
          <w:szCs w:val="22"/>
        </w:rPr>
        <w:t>D</w:t>
      </w:r>
      <w:r w:rsidRPr="00D67DFA">
        <w:rPr>
          <w:rFonts w:ascii="Andes" w:hAnsi="Andes" w:cs="Arial"/>
          <w:sz w:val="22"/>
          <w:szCs w:val="22"/>
        </w:rPr>
        <w:t xml:space="preserve">ialogue </w:t>
      </w:r>
      <w:r w:rsidR="00D56701" w:rsidRPr="00D56701">
        <w:rPr>
          <w:rFonts w:ascii="Andes" w:hAnsi="Andes" w:cs="Arial"/>
          <w:sz w:val="22"/>
          <w:szCs w:val="22"/>
        </w:rPr>
        <w:t>compétitif</w:t>
      </w:r>
      <w:r w:rsidRPr="00D67DFA">
        <w:rPr>
          <w:rFonts w:ascii="Andes" w:hAnsi="Andes" w:cs="Arial"/>
          <w:sz w:val="22"/>
          <w:szCs w:val="22"/>
        </w:rPr>
        <w:t xml:space="preserve">, l’Emprunteur se lance dans un échange avec des entreprises/coentreprises </w:t>
      </w:r>
      <w:r>
        <w:rPr>
          <w:rFonts w:ascii="Andes" w:hAnsi="Andes" w:cs="Arial"/>
          <w:sz w:val="22"/>
          <w:szCs w:val="22"/>
        </w:rPr>
        <w:t>Initialement S</w:t>
      </w:r>
      <w:r w:rsidRPr="00D67DFA">
        <w:rPr>
          <w:rFonts w:ascii="Andes" w:hAnsi="Andes" w:cs="Arial"/>
          <w:sz w:val="22"/>
          <w:szCs w:val="22"/>
        </w:rPr>
        <w:t xml:space="preserve">électionnées, dans le but de mieux cerner et définir les moyens les mieux à même de répondre à ses exigences avant d’inviter les entreprises à soumettre leurs propositions définitives.   </w:t>
      </w:r>
    </w:p>
    <w:p w14:paraId="74EF40FE" w14:textId="2E6125E6" w:rsidR="00AE5222" w:rsidRPr="00D67DFA" w:rsidRDefault="00AE5222" w:rsidP="00AE5222">
      <w:pPr>
        <w:pStyle w:val="Paragraphedeliste"/>
        <w:numPr>
          <w:ilvl w:val="0"/>
          <w:numId w:val="134"/>
        </w:numPr>
        <w:spacing w:before="240"/>
        <w:ind w:left="630" w:hanging="630"/>
        <w:contextualSpacing w:val="0"/>
        <w:rPr>
          <w:rFonts w:ascii="Andes" w:eastAsiaTheme="majorEastAsia" w:hAnsi="Andes"/>
          <w:b/>
          <w:color w:val="C45911"/>
          <w:sz w:val="32"/>
          <w:szCs w:val="32"/>
        </w:rPr>
      </w:pPr>
      <w:bookmarkStart w:id="3591" w:name="_Toc453171014"/>
      <w:r>
        <w:rPr>
          <w:rFonts w:ascii="Andes" w:eastAsiaTheme="majorEastAsia" w:hAnsi="Andes"/>
          <w:b/>
          <w:color w:val="C45911"/>
          <w:sz w:val="32"/>
          <w:szCs w:val="32"/>
        </w:rPr>
        <w:t xml:space="preserve">Engager </w:t>
      </w:r>
      <w:r w:rsidRPr="00D67DFA">
        <w:rPr>
          <w:rFonts w:ascii="Andes" w:eastAsiaTheme="majorEastAsia" w:hAnsi="Andes"/>
          <w:b/>
          <w:color w:val="C45911"/>
          <w:sz w:val="32"/>
          <w:szCs w:val="32"/>
        </w:rPr>
        <w:t xml:space="preserve">un dialogue </w:t>
      </w:r>
      <w:bookmarkEnd w:id="3591"/>
      <w:r w:rsidR="00D56701">
        <w:rPr>
          <w:rFonts w:ascii="Andes" w:eastAsiaTheme="majorEastAsia" w:hAnsi="Andes"/>
          <w:b/>
          <w:color w:val="C45911"/>
          <w:sz w:val="32"/>
          <w:szCs w:val="32"/>
        </w:rPr>
        <w:t>compétitif</w:t>
      </w:r>
      <w:r w:rsidR="00D56701" w:rsidRPr="00D67DFA">
        <w:rPr>
          <w:rFonts w:ascii="Andes" w:eastAsiaTheme="majorEastAsia" w:hAnsi="Andes"/>
          <w:b/>
          <w:color w:val="C45911"/>
          <w:sz w:val="32"/>
          <w:szCs w:val="32"/>
        </w:rPr>
        <w:t xml:space="preserve"> </w:t>
      </w:r>
    </w:p>
    <w:p w14:paraId="199D555A" w14:textId="77777777" w:rsidR="00AE5222" w:rsidRPr="00D67DFA" w:rsidRDefault="00AE5222" w:rsidP="00AE5222">
      <w:pPr>
        <w:pStyle w:val="Paragraphedeliste"/>
        <w:numPr>
          <w:ilvl w:val="0"/>
          <w:numId w:val="96"/>
        </w:numPr>
        <w:tabs>
          <w:tab w:val="left" w:pos="630"/>
        </w:tabs>
        <w:spacing w:before="0" w:line="240" w:lineRule="auto"/>
        <w:ind w:left="634"/>
        <w:contextualSpacing w:val="0"/>
        <w:rPr>
          <w:rFonts w:ascii="Andes" w:hAnsi="Andes" w:cs="Arial"/>
          <w:sz w:val="22"/>
          <w:szCs w:val="22"/>
        </w:rPr>
      </w:pPr>
      <w:r w:rsidRPr="00D67DFA">
        <w:rPr>
          <w:rFonts w:ascii="Andes" w:eastAsiaTheme="minorHAnsi" w:hAnsi="Andes" w:cs="Arial"/>
          <w:sz w:val="22"/>
          <w:szCs w:val="22"/>
        </w:rPr>
        <w:t>Pour remplir toutes les conditions de transparence et d</w:t>
      </w:r>
      <w:r>
        <w:rPr>
          <w:rFonts w:ascii="Andes" w:eastAsiaTheme="minorHAnsi" w:hAnsi="Andes" w:cs="Arial"/>
          <w:sz w:val="22"/>
          <w:szCs w:val="22"/>
        </w:rPr>
        <w:t>’éthique de r</w:t>
      </w:r>
      <w:r w:rsidRPr="00D67DFA">
        <w:rPr>
          <w:rFonts w:ascii="Andes" w:eastAsiaTheme="minorHAnsi" w:hAnsi="Andes" w:cs="Arial"/>
          <w:sz w:val="22"/>
          <w:szCs w:val="22"/>
        </w:rPr>
        <w:t xml:space="preserve">esponsabilité, l’Emprunteur désigne un </w:t>
      </w:r>
      <w:r>
        <w:rPr>
          <w:rFonts w:ascii="Andes" w:eastAsiaTheme="minorHAnsi" w:hAnsi="Andes" w:cs="Arial"/>
          <w:sz w:val="22"/>
          <w:szCs w:val="22"/>
        </w:rPr>
        <w:t>Garant de probité indépendant (V</w:t>
      </w:r>
      <w:r w:rsidRPr="00D67DFA">
        <w:rPr>
          <w:rFonts w:ascii="Andes" w:eastAsiaTheme="minorHAnsi" w:hAnsi="Andes" w:cs="Arial"/>
          <w:sz w:val="22"/>
          <w:szCs w:val="22"/>
        </w:rPr>
        <w:t>érificateur de probité) jugé acceptable par la Banque. Le Garant de probité est nommé au début de la procédure de passation et en contrôle le déroulement jusqu’à l’attribution du marché</w:t>
      </w:r>
      <w:r w:rsidRPr="00D67DFA">
        <w:rPr>
          <w:rFonts w:ascii="Andes" w:eastAsiaTheme="minorHAnsi" w:hAnsi="Andes" w:cs="Arial"/>
          <w:color w:val="000000"/>
          <w:sz w:val="22"/>
          <w:szCs w:val="22"/>
        </w:rPr>
        <w:t xml:space="preserve">.  </w:t>
      </w:r>
    </w:p>
    <w:p w14:paraId="43E00D20" w14:textId="28D8012F" w:rsidR="00AE5222" w:rsidRPr="00D67DFA" w:rsidRDefault="00AE5222" w:rsidP="00AE5222">
      <w:pPr>
        <w:pStyle w:val="Paragraphedeliste"/>
        <w:numPr>
          <w:ilvl w:val="0"/>
          <w:numId w:val="96"/>
        </w:numPr>
        <w:tabs>
          <w:tab w:val="left" w:pos="630"/>
        </w:tabs>
        <w:spacing w:before="0" w:line="240" w:lineRule="auto"/>
        <w:ind w:left="634"/>
        <w:contextualSpacing w:val="0"/>
        <w:rPr>
          <w:rFonts w:ascii="Andes" w:hAnsi="Andes" w:cs="Arial"/>
          <w:sz w:val="22"/>
          <w:szCs w:val="22"/>
        </w:rPr>
      </w:pPr>
      <w:r w:rsidRPr="00D67DFA">
        <w:rPr>
          <w:rFonts w:ascii="Andes" w:hAnsi="Andes" w:cs="Arial"/>
          <w:sz w:val="22"/>
          <w:szCs w:val="22"/>
        </w:rPr>
        <w:t>Le Garant de probité assure la vérification indépendante de la procédure de passation de marché, de la prise des décisions dans le cadre de cette procédure, de la phase de dialogue avec</w:t>
      </w:r>
      <w:r>
        <w:rPr>
          <w:rFonts w:ascii="Andes" w:hAnsi="Andes" w:cs="Arial"/>
          <w:sz w:val="22"/>
          <w:szCs w:val="22"/>
        </w:rPr>
        <w:t xml:space="preserve"> chacun des </w:t>
      </w:r>
      <w:r>
        <w:rPr>
          <w:rFonts w:ascii="Andes" w:hAnsi="Andes" w:cs="Arial"/>
          <w:sz w:val="22"/>
          <w:szCs w:val="22"/>
        </w:rPr>
        <w:lastRenderedPageBreak/>
        <w:t>P</w:t>
      </w:r>
      <w:r w:rsidRPr="00D67DFA">
        <w:rPr>
          <w:rFonts w:ascii="Andes" w:hAnsi="Andes" w:cs="Arial"/>
          <w:sz w:val="22"/>
          <w:szCs w:val="22"/>
        </w:rPr>
        <w:t xml:space="preserve">roposants et, plus particulièrement, de la conduite d’une </w:t>
      </w:r>
      <w:r>
        <w:rPr>
          <w:rFonts w:ascii="Andes" w:hAnsi="Andes" w:cs="Arial"/>
          <w:sz w:val="22"/>
          <w:szCs w:val="22"/>
        </w:rPr>
        <w:t>procédure de MOF ou de N</w:t>
      </w:r>
      <w:r w:rsidRPr="00D67DFA">
        <w:rPr>
          <w:rFonts w:ascii="Andes" w:hAnsi="Andes" w:cs="Arial"/>
          <w:sz w:val="22"/>
          <w:szCs w:val="22"/>
        </w:rPr>
        <w:t>égociations éventuelles. Une fois que l’Emprunteur a décidé d’attribuer le marché et</w:t>
      </w:r>
      <w:r>
        <w:rPr>
          <w:rFonts w:ascii="Andes" w:hAnsi="Andes" w:cs="Arial"/>
          <w:sz w:val="22"/>
          <w:szCs w:val="22"/>
        </w:rPr>
        <w:t xml:space="preserve"> avant qu’il n’en transmette l</w:t>
      </w:r>
      <w:r w:rsidR="00A34194">
        <w:rPr>
          <w:rFonts w:ascii="Andes" w:hAnsi="Andes" w:cs="Arial"/>
          <w:sz w:val="22"/>
          <w:szCs w:val="22"/>
        </w:rPr>
        <w:t>a Notification</w:t>
      </w:r>
      <w:r w:rsidRPr="00D67DFA">
        <w:rPr>
          <w:rFonts w:ascii="Andes" w:hAnsi="Andes" w:cs="Arial"/>
          <w:sz w:val="22"/>
          <w:szCs w:val="22"/>
        </w:rPr>
        <w:t>, le Garant de</w:t>
      </w:r>
      <w:r>
        <w:rPr>
          <w:rFonts w:ascii="Andes" w:hAnsi="Andes" w:cs="Arial"/>
          <w:sz w:val="22"/>
          <w:szCs w:val="22"/>
        </w:rPr>
        <w:t xml:space="preserve"> probité présente son rapport. C</w:t>
      </w:r>
      <w:r w:rsidRPr="00D67DFA">
        <w:rPr>
          <w:rFonts w:ascii="Andes" w:hAnsi="Andes" w:cs="Arial"/>
          <w:sz w:val="22"/>
          <w:szCs w:val="22"/>
        </w:rPr>
        <w:t>e rapport est remis à l’Emprunteur et une copie est envoyée à la Banque.</w:t>
      </w:r>
    </w:p>
    <w:p w14:paraId="05645DA5" w14:textId="5FF7ADB6" w:rsidR="00AE5222" w:rsidRPr="00D67DFA" w:rsidRDefault="00AE5222" w:rsidP="00AE5222">
      <w:pPr>
        <w:pStyle w:val="Paragraphedeliste"/>
        <w:numPr>
          <w:ilvl w:val="0"/>
          <w:numId w:val="96"/>
        </w:numPr>
        <w:tabs>
          <w:tab w:val="left" w:pos="630"/>
        </w:tabs>
        <w:spacing w:before="0" w:line="240" w:lineRule="auto"/>
        <w:ind w:left="634"/>
        <w:contextualSpacing w:val="0"/>
        <w:rPr>
          <w:rFonts w:ascii="Andes" w:hAnsi="Andes" w:cs="Arial"/>
          <w:sz w:val="22"/>
          <w:szCs w:val="22"/>
        </w:rPr>
      </w:pPr>
      <w:r w:rsidRPr="00D67DFA">
        <w:rPr>
          <w:rFonts w:ascii="Andes" w:hAnsi="Andes" w:cs="Arial"/>
          <w:sz w:val="22"/>
          <w:szCs w:val="22"/>
        </w:rPr>
        <w:t xml:space="preserve">La procédure de passation de marché par </w:t>
      </w:r>
      <w:r>
        <w:rPr>
          <w:rFonts w:ascii="Andes" w:hAnsi="Andes" w:cs="Arial"/>
          <w:sz w:val="22"/>
          <w:szCs w:val="22"/>
        </w:rPr>
        <w:t xml:space="preserve">Dialogue </w:t>
      </w:r>
      <w:r w:rsidR="00D56701">
        <w:rPr>
          <w:rFonts w:ascii="Andes" w:hAnsi="Andes" w:cs="Arial"/>
          <w:sz w:val="22"/>
          <w:szCs w:val="22"/>
        </w:rPr>
        <w:t xml:space="preserve">compétitif </w:t>
      </w:r>
      <w:r>
        <w:rPr>
          <w:rFonts w:ascii="Andes" w:hAnsi="Andes" w:cs="Arial"/>
          <w:sz w:val="22"/>
          <w:szCs w:val="22"/>
        </w:rPr>
        <w:t>comporte</w:t>
      </w:r>
      <w:r w:rsidRPr="00D67DFA">
        <w:rPr>
          <w:rFonts w:ascii="Andes" w:hAnsi="Andes" w:cs="Arial"/>
          <w:sz w:val="22"/>
          <w:szCs w:val="22"/>
        </w:rPr>
        <w:t xml:space="preserve"> généralement plusieurs phases</w:t>
      </w:r>
      <w:r w:rsidRPr="00D67DFA">
        <w:rPr>
          <w:rFonts w:ascii="Calibri" w:hAnsi="Calibri" w:cs="Arial"/>
          <w:sz w:val="22"/>
          <w:szCs w:val="22"/>
        </w:rPr>
        <w:t> </w:t>
      </w:r>
      <w:r w:rsidRPr="00D67DFA">
        <w:rPr>
          <w:rFonts w:ascii="Andes" w:hAnsi="Andes" w:cs="Arial"/>
          <w:sz w:val="22"/>
          <w:szCs w:val="22"/>
        </w:rPr>
        <w:t>:</w:t>
      </w:r>
    </w:p>
    <w:p w14:paraId="76692E52" w14:textId="77777777" w:rsidR="00AE5222" w:rsidRPr="00D67DFA" w:rsidRDefault="00AE5222" w:rsidP="00AE5222">
      <w:pPr>
        <w:pStyle w:val="Paragraphedeliste"/>
        <w:spacing w:before="240" w:line="240" w:lineRule="auto"/>
        <w:contextualSpacing w:val="0"/>
        <w:rPr>
          <w:rFonts w:ascii="Andes" w:hAnsi="Andes" w:cs="Arial"/>
          <w:b/>
          <w:color w:val="000000" w:themeColor="text1"/>
          <w:sz w:val="28"/>
          <w:szCs w:val="28"/>
        </w:rPr>
      </w:pPr>
      <w:r w:rsidRPr="00D67DFA">
        <w:rPr>
          <w:rFonts w:ascii="Andes" w:hAnsi="Andes" w:cs="Arial"/>
          <w:b/>
          <w:color w:val="000000" w:themeColor="text1"/>
          <w:sz w:val="28"/>
          <w:szCs w:val="28"/>
        </w:rPr>
        <w:t>Phase 1</w:t>
      </w:r>
      <w:r w:rsidRPr="00D67DFA">
        <w:rPr>
          <w:rFonts w:ascii="Calibri" w:hAnsi="Calibri" w:cs="Arial"/>
          <w:b/>
          <w:color w:val="000000" w:themeColor="text1"/>
          <w:sz w:val="28"/>
          <w:szCs w:val="28"/>
        </w:rPr>
        <w:t> </w:t>
      </w:r>
      <w:r w:rsidRPr="00D67DFA">
        <w:rPr>
          <w:rFonts w:ascii="Andes" w:hAnsi="Andes" w:cs="Arial"/>
          <w:b/>
          <w:color w:val="000000" w:themeColor="text1"/>
          <w:sz w:val="28"/>
          <w:szCs w:val="28"/>
        </w:rPr>
        <w:t>: Sélection</w:t>
      </w:r>
      <w:r>
        <w:rPr>
          <w:rFonts w:ascii="Andes" w:hAnsi="Andes" w:cs="Arial"/>
          <w:b/>
          <w:color w:val="000000" w:themeColor="text1"/>
          <w:sz w:val="28"/>
          <w:szCs w:val="28"/>
        </w:rPr>
        <w:t xml:space="preserve"> Initiale</w:t>
      </w:r>
    </w:p>
    <w:p w14:paraId="3C230683" w14:textId="77777777" w:rsidR="00AE5222" w:rsidRPr="00D67DFA" w:rsidRDefault="00AE5222" w:rsidP="00AE5222">
      <w:pPr>
        <w:pStyle w:val="Paragraphedeliste"/>
        <w:tabs>
          <w:tab w:val="left" w:pos="1710"/>
        </w:tabs>
        <w:spacing w:before="0" w:line="240" w:lineRule="auto"/>
        <w:ind w:left="1714" w:hanging="1080"/>
        <w:contextualSpacing w:val="0"/>
        <w:rPr>
          <w:rFonts w:ascii="Andes" w:hAnsi="Andes" w:cs="Arial"/>
          <w:sz w:val="22"/>
          <w:szCs w:val="22"/>
        </w:rPr>
      </w:pPr>
      <w:r w:rsidRPr="00D67DFA">
        <w:rPr>
          <w:rFonts w:ascii="Andes" w:hAnsi="Andes" w:cs="Arial"/>
          <w:sz w:val="22"/>
          <w:szCs w:val="22"/>
          <w:u w:val="single"/>
        </w:rPr>
        <w:t>Étape 1</w:t>
      </w:r>
      <w:r w:rsidRPr="00D67DFA">
        <w:rPr>
          <w:rFonts w:ascii="Calibri" w:hAnsi="Calibri" w:cs="Arial"/>
          <w:sz w:val="22"/>
          <w:szCs w:val="22"/>
          <w:u w:val="single"/>
        </w:rPr>
        <w:t> </w:t>
      </w:r>
      <w:r w:rsidRPr="00D67DFA">
        <w:rPr>
          <w:rFonts w:ascii="Andes" w:hAnsi="Andes" w:cs="Arial"/>
          <w:sz w:val="22"/>
          <w:szCs w:val="22"/>
        </w:rPr>
        <w:t xml:space="preserve">: </w:t>
      </w:r>
      <w:r w:rsidRPr="00D67DFA">
        <w:rPr>
          <w:rFonts w:ascii="Andes" w:hAnsi="Andes" w:cs="Arial"/>
          <w:sz w:val="22"/>
          <w:szCs w:val="22"/>
        </w:rPr>
        <w:tab/>
        <w:t xml:space="preserve">diffusion du dossier de </w:t>
      </w:r>
      <w:r>
        <w:rPr>
          <w:rFonts w:ascii="Andes" w:hAnsi="Andes" w:cs="Arial"/>
          <w:sz w:val="22"/>
          <w:szCs w:val="22"/>
        </w:rPr>
        <w:t>s</w:t>
      </w:r>
      <w:r w:rsidRPr="00D67DFA">
        <w:rPr>
          <w:rFonts w:ascii="Andes" w:hAnsi="Andes" w:cs="Arial"/>
          <w:sz w:val="22"/>
          <w:szCs w:val="22"/>
        </w:rPr>
        <w:t>é</w:t>
      </w:r>
      <w:r>
        <w:rPr>
          <w:rFonts w:ascii="Andes" w:hAnsi="Andes" w:cs="Arial"/>
          <w:sz w:val="22"/>
          <w:szCs w:val="22"/>
        </w:rPr>
        <w:t>lection initiale</w:t>
      </w:r>
      <w:r w:rsidRPr="00D67DFA">
        <w:rPr>
          <w:rFonts w:ascii="Andes" w:hAnsi="Andes" w:cs="Arial"/>
          <w:sz w:val="22"/>
          <w:szCs w:val="22"/>
        </w:rPr>
        <w:t xml:space="preserve"> conformément aux dispositions du paragraphe 3.1 de l’annexe XII consacré aux </w:t>
      </w:r>
      <w:r>
        <w:rPr>
          <w:rFonts w:ascii="Andes" w:hAnsi="Andes" w:cs="Arial"/>
          <w:sz w:val="22"/>
          <w:szCs w:val="22"/>
        </w:rPr>
        <w:t>M</w:t>
      </w:r>
      <w:r w:rsidRPr="00D67DFA">
        <w:rPr>
          <w:rFonts w:ascii="Andes" w:hAnsi="Andes" w:cs="Arial"/>
          <w:sz w:val="22"/>
          <w:szCs w:val="22"/>
        </w:rPr>
        <w:t>éthodes</w:t>
      </w:r>
      <w:r>
        <w:rPr>
          <w:rFonts w:ascii="Andes" w:hAnsi="Andes" w:cs="Arial"/>
          <w:sz w:val="22"/>
          <w:szCs w:val="22"/>
        </w:rPr>
        <w:t xml:space="preserve"> de S</w:t>
      </w:r>
      <w:r w:rsidRPr="00D67DFA">
        <w:rPr>
          <w:rFonts w:ascii="Andes" w:hAnsi="Andes" w:cs="Arial"/>
          <w:sz w:val="22"/>
          <w:szCs w:val="22"/>
        </w:rPr>
        <w:t xml:space="preserve">élection.  </w:t>
      </w:r>
    </w:p>
    <w:p w14:paraId="26BD99D8" w14:textId="77777777" w:rsidR="00AE5222" w:rsidRPr="00D67DFA" w:rsidRDefault="00AE5222" w:rsidP="00AE5222">
      <w:pPr>
        <w:pStyle w:val="Paragraphedeliste"/>
        <w:tabs>
          <w:tab w:val="left" w:pos="1710"/>
        </w:tabs>
        <w:spacing w:before="0" w:line="240" w:lineRule="auto"/>
        <w:ind w:left="1714" w:hanging="1080"/>
        <w:contextualSpacing w:val="0"/>
        <w:rPr>
          <w:rFonts w:ascii="Andes" w:hAnsi="Andes" w:cs="Arial"/>
          <w:sz w:val="22"/>
          <w:szCs w:val="22"/>
        </w:rPr>
      </w:pPr>
      <w:r w:rsidRPr="00D67DFA">
        <w:rPr>
          <w:rFonts w:ascii="Andes" w:hAnsi="Andes" w:cs="Arial"/>
          <w:sz w:val="22"/>
          <w:szCs w:val="22"/>
          <w:u w:val="single"/>
        </w:rPr>
        <w:t>Étape 2</w:t>
      </w:r>
      <w:r w:rsidRPr="00D67DFA">
        <w:rPr>
          <w:rFonts w:ascii="Calibri" w:hAnsi="Calibri" w:cs="Arial"/>
          <w:sz w:val="22"/>
          <w:szCs w:val="22"/>
          <w:u w:val="single"/>
        </w:rPr>
        <w:t> </w:t>
      </w:r>
      <w:r w:rsidRPr="00D67DFA">
        <w:rPr>
          <w:rFonts w:ascii="Andes" w:hAnsi="Andes" w:cs="Arial"/>
          <w:sz w:val="22"/>
          <w:szCs w:val="22"/>
        </w:rPr>
        <w:t xml:space="preserve">: </w:t>
      </w:r>
      <w:r w:rsidRPr="00D67DFA">
        <w:rPr>
          <w:rFonts w:ascii="Andes" w:hAnsi="Andes" w:cs="Arial"/>
          <w:sz w:val="22"/>
          <w:szCs w:val="22"/>
        </w:rPr>
        <w:tab/>
        <w:t xml:space="preserve">réception et ouverture publique des </w:t>
      </w:r>
      <w:r>
        <w:rPr>
          <w:rFonts w:ascii="Andes" w:hAnsi="Andes" w:cs="Arial"/>
          <w:sz w:val="22"/>
          <w:szCs w:val="22"/>
        </w:rPr>
        <w:t xml:space="preserve">plis contenant les </w:t>
      </w:r>
      <w:r w:rsidRPr="00D67DFA">
        <w:rPr>
          <w:rFonts w:ascii="Andes" w:hAnsi="Andes" w:cs="Arial"/>
          <w:sz w:val="22"/>
          <w:szCs w:val="22"/>
        </w:rPr>
        <w:t xml:space="preserve">candidatures à la </w:t>
      </w:r>
      <w:r>
        <w:rPr>
          <w:rFonts w:ascii="Andes" w:hAnsi="Andes" w:cs="Arial"/>
          <w:sz w:val="22"/>
          <w:szCs w:val="22"/>
        </w:rPr>
        <w:t>S</w:t>
      </w:r>
      <w:r w:rsidRPr="00D67DFA">
        <w:rPr>
          <w:rFonts w:ascii="Andes" w:hAnsi="Andes" w:cs="Arial"/>
          <w:sz w:val="22"/>
          <w:szCs w:val="22"/>
        </w:rPr>
        <w:t>élection</w:t>
      </w:r>
      <w:r>
        <w:rPr>
          <w:rFonts w:ascii="Andes" w:hAnsi="Andes" w:cs="Arial"/>
          <w:sz w:val="22"/>
          <w:szCs w:val="22"/>
        </w:rPr>
        <w:t xml:space="preserve"> Initiale</w:t>
      </w:r>
      <w:r w:rsidRPr="00D67DFA">
        <w:rPr>
          <w:rFonts w:ascii="Andes" w:hAnsi="Andes" w:cs="Arial"/>
          <w:sz w:val="22"/>
          <w:szCs w:val="22"/>
        </w:rPr>
        <w:t>.</w:t>
      </w:r>
    </w:p>
    <w:p w14:paraId="52C3CD88" w14:textId="77777777" w:rsidR="00AE5222" w:rsidRPr="00D67DFA" w:rsidRDefault="00AE5222" w:rsidP="00AE5222">
      <w:pPr>
        <w:pStyle w:val="Paragraphedeliste"/>
        <w:tabs>
          <w:tab w:val="left" w:pos="1710"/>
        </w:tabs>
        <w:spacing w:before="0" w:line="240" w:lineRule="auto"/>
        <w:ind w:left="1714" w:hanging="1080"/>
        <w:contextualSpacing w:val="0"/>
        <w:rPr>
          <w:rFonts w:ascii="Andes" w:hAnsi="Andes" w:cs="Arial"/>
          <w:sz w:val="22"/>
          <w:szCs w:val="22"/>
        </w:rPr>
      </w:pPr>
      <w:r w:rsidRPr="00D67DFA">
        <w:rPr>
          <w:rFonts w:ascii="Andes" w:hAnsi="Andes" w:cs="Arial"/>
          <w:sz w:val="22"/>
          <w:szCs w:val="22"/>
          <w:u w:val="single"/>
        </w:rPr>
        <w:t>Étape 3</w:t>
      </w:r>
      <w:r w:rsidRPr="00D67DFA">
        <w:rPr>
          <w:rFonts w:ascii="Calibri" w:hAnsi="Calibri" w:cs="Arial"/>
          <w:sz w:val="22"/>
          <w:szCs w:val="22"/>
          <w:u w:val="single"/>
        </w:rPr>
        <w:t> </w:t>
      </w:r>
      <w:r w:rsidRPr="00D67DFA">
        <w:rPr>
          <w:rFonts w:ascii="Andes" w:hAnsi="Andes" w:cs="Arial"/>
          <w:sz w:val="22"/>
          <w:szCs w:val="22"/>
        </w:rPr>
        <w:t xml:space="preserve">: </w:t>
      </w:r>
      <w:r w:rsidRPr="00D67DFA">
        <w:rPr>
          <w:rFonts w:ascii="Andes" w:hAnsi="Andes" w:cs="Arial"/>
          <w:sz w:val="22"/>
          <w:szCs w:val="22"/>
        </w:rPr>
        <w:tab/>
        <w:t xml:space="preserve">évaluation des candidatures pour recenser les entreprises/coentreprises </w:t>
      </w:r>
      <w:r>
        <w:rPr>
          <w:rFonts w:ascii="Andes" w:hAnsi="Andes" w:cs="Arial"/>
          <w:sz w:val="22"/>
          <w:szCs w:val="22"/>
        </w:rPr>
        <w:t>qui seront Initialement S</w:t>
      </w:r>
      <w:r w:rsidRPr="00D67DFA">
        <w:rPr>
          <w:rFonts w:ascii="Andes" w:hAnsi="Andes" w:cs="Arial"/>
          <w:sz w:val="22"/>
          <w:szCs w:val="22"/>
        </w:rPr>
        <w:t>électionnées et invitées à participer à la phase d</w:t>
      </w:r>
      <w:r>
        <w:rPr>
          <w:rFonts w:ascii="Andes" w:hAnsi="Andes" w:cs="Arial"/>
          <w:sz w:val="22"/>
          <w:szCs w:val="22"/>
        </w:rPr>
        <w:t>e</w:t>
      </w:r>
      <w:r w:rsidRPr="00D67DFA">
        <w:rPr>
          <w:rFonts w:ascii="Andes" w:hAnsi="Andes" w:cs="Arial"/>
          <w:sz w:val="22"/>
          <w:szCs w:val="22"/>
        </w:rPr>
        <w:t xml:space="preserve"> dialogue.</w:t>
      </w:r>
      <w:r w:rsidRPr="00D67DFA">
        <w:rPr>
          <w:rFonts w:ascii="Andes" w:hAnsi="Andes" w:cs="Arial"/>
          <w:sz w:val="22"/>
          <w:szCs w:val="22"/>
        </w:rPr>
        <w:tab/>
      </w:r>
    </w:p>
    <w:p w14:paraId="3CB0C0FC" w14:textId="77777777" w:rsidR="00AE5222" w:rsidRPr="00D67DFA" w:rsidRDefault="00AE5222" w:rsidP="00AE5222">
      <w:pPr>
        <w:pStyle w:val="Paragraphedeliste"/>
        <w:tabs>
          <w:tab w:val="left" w:pos="1710"/>
        </w:tabs>
        <w:spacing w:before="0" w:line="240" w:lineRule="auto"/>
        <w:ind w:left="1714" w:hanging="1080"/>
        <w:contextualSpacing w:val="0"/>
        <w:rPr>
          <w:rFonts w:ascii="Andes" w:hAnsi="Andes" w:cs="Arial"/>
          <w:sz w:val="22"/>
          <w:szCs w:val="22"/>
        </w:rPr>
      </w:pPr>
      <w:r w:rsidRPr="00D67DFA">
        <w:rPr>
          <w:rFonts w:ascii="Andes" w:hAnsi="Andes" w:cs="Arial"/>
          <w:sz w:val="22"/>
          <w:szCs w:val="22"/>
        </w:rPr>
        <w:tab/>
        <w:t>La liste des entrepri</w:t>
      </w:r>
      <w:r>
        <w:rPr>
          <w:rFonts w:ascii="Andes" w:hAnsi="Andes" w:cs="Arial"/>
          <w:sz w:val="22"/>
          <w:szCs w:val="22"/>
        </w:rPr>
        <w:t>ses/coentreprises Initialement S</w:t>
      </w:r>
      <w:r w:rsidRPr="00D67DFA">
        <w:rPr>
          <w:rFonts w:ascii="Andes" w:hAnsi="Andes" w:cs="Arial"/>
          <w:sz w:val="22"/>
          <w:szCs w:val="22"/>
        </w:rPr>
        <w:t xml:space="preserve">électionnées devrait en contenir un nombre suffisant, qui ne sera généralement pas inférieur à trois (03) </w:t>
      </w:r>
      <w:r>
        <w:rPr>
          <w:rFonts w:ascii="Andes" w:hAnsi="Andes" w:cs="Arial"/>
          <w:sz w:val="22"/>
          <w:szCs w:val="22"/>
        </w:rPr>
        <w:t>ni</w:t>
      </w:r>
      <w:r w:rsidRPr="00D67DFA">
        <w:rPr>
          <w:rFonts w:ascii="Andes" w:hAnsi="Andes" w:cs="Arial"/>
          <w:sz w:val="22"/>
          <w:szCs w:val="22"/>
        </w:rPr>
        <w:t xml:space="preserve"> supérieur à six (06) (soit une fourchette de 3 à 6). La Banque peut accepter une liste inférieure à cette fourchette dans le cas où </w:t>
      </w:r>
      <w:r>
        <w:rPr>
          <w:rFonts w:ascii="Andes" w:hAnsi="Andes" w:cs="Arial"/>
          <w:sz w:val="22"/>
          <w:szCs w:val="22"/>
        </w:rPr>
        <w:t>peu</w:t>
      </w:r>
      <w:r w:rsidRPr="00D67DFA">
        <w:rPr>
          <w:rFonts w:ascii="Andes" w:hAnsi="Andes" w:cs="Arial"/>
          <w:sz w:val="22"/>
          <w:szCs w:val="22"/>
        </w:rPr>
        <w:t xml:space="preserve"> d’entreprises/coentreprises suffisamment qualifi</w:t>
      </w:r>
      <w:r>
        <w:rPr>
          <w:rFonts w:ascii="Andes" w:hAnsi="Andes" w:cs="Arial"/>
          <w:sz w:val="22"/>
          <w:szCs w:val="22"/>
        </w:rPr>
        <w:t>é</w:t>
      </w:r>
      <w:r w:rsidRPr="00D67DFA">
        <w:rPr>
          <w:rFonts w:ascii="Andes" w:hAnsi="Andes" w:cs="Arial"/>
          <w:sz w:val="22"/>
          <w:szCs w:val="22"/>
        </w:rPr>
        <w:t xml:space="preserve">es </w:t>
      </w:r>
      <w:r>
        <w:rPr>
          <w:rFonts w:ascii="Andes" w:hAnsi="Andes" w:cs="Arial"/>
          <w:sz w:val="22"/>
          <w:szCs w:val="22"/>
        </w:rPr>
        <w:t>ont</w:t>
      </w:r>
      <w:r w:rsidRPr="00D67DFA">
        <w:rPr>
          <w:rFonts w:ascii="Andes" w:hAnsi="Andes" w:cs="Arial"/>
          <w:sz w:val="22"/>
          <w:szCs w:val="22"/>
        </w:rPr>
        <w:t xml:space="preserve"> manifesté </w:t>
      </w:r>
      <w:r>
        <w:rPr>
          <w:rFonts w:ascii="Andes" w:hAnsi="Andes" w:cs="Arial"/>
          <w:sz w:val="22"/>
          <w:szCs w:val="22"/>
        </w:rPr>
        <w:t xml:space="preserve">leur </w:t>
      </w:r>
      <w:r w:rsidRPr="00D67DFA">
        <w:rPr>
          <w:rFonts w:ascii="Andes" w:hAnsi="Andes" w:cs="Arial"/>
          <w:sz w:val="22"/>
          <w:szCs w:val="22"/>
        </w:rPr>
        <w:t>intérêt pour le marché</w:t>
      </w:r>
      <w:r w:rsidRPr="00D67DFA">
        <w:rPr>
          <w:rFonts w:ascii="Calibri" w:hAnsi="Calibri" w:cs="Calibri"/>
          <w:sz w:val="22"/>
          <w:szCs w:val="22"/>
        </w:rPr>
        <w:t xml:space="preserve">. </w:t>
      </w:r>
      <w:r w:rsidRPr="00D67DFA">
        <w:rPr>
          <w:rFonts w:ascii="Andes" w:hAnsi="Andes" w:cs="Calibri"/>
          <w:sz w:val="22"/>
          <w:szCs w:val="22"/>
        </w:rPr>
        <w:t xml:space="preserve">Mais la fourchette indiquée suffit en général pour garantir </w:t>
      </w:r>
      <w:r>
        <w:rPr>
          <w:rFonts w:ascii="Andes" w:hAnsi="Andes" w:cs="Calibri"/>
          <w:sz w:val="22"/>
          <w:szCs w:val="22"/>
        </w:rPr>
        <w:t>une mise en</w:t>
      </w:r>
      <w:r w:rsidRPr="00D67DFA">
        <w:rPr>
          <w:rFonts w:ascii="Andes" w:hAnsi="Andes" w:cs="Calibri"/>
          <w:sz w:val="22"/>
          <w:szCs w:val="22"/>
        </w:rPr>
        <w:t xml:space="preserve"> concurrence </w:t>
      </w:r>
      <w:r>
        <w:rPr>
          <w:rFonts w:ascii="Andes" w:hAnsi="Andes" w:cs="Calibri"/>
          <w:sz w:val="22"/>
          <w:szCs w:val="22"/>
        </w:rPr>
        <w:t xml:space="preserve">effective </w:t>
      </w:r>
      <w:r w:rsidRPr="00D67DFA">
        <w:rPr>
          <w:rFonts w:ascii="Andes" w:hAnsi="Andes" w:cs="Calibri"/>
          <w:sz w:val="22"/>
          <w:szCs w:val="22"/>
        </w:rPr>
        <w:t>tout au long du dialogue</w:t>
      </w:r>
      <w:r w:rsidRPr="00D67DFA">
        <w:rPr>
          <w:rFonts w:ascii="Andes" w:hAnsi="Andes" w:cs="Arial"/>
          <w:sz w:val="22"/>
          <w:szCs w:val="22"/>
        </w:rPr>
        <w:t xml:space="preserve">.   </w:t>
      </w:r>
    </w:p>
    <w:p w14:paraId="63E85092" w14:textId="77777777" w:rsidR="00AE5222" w:rsidRPr="00D67DFA" w:rsidRDefault="00AE5222" w:rsidP="00AE5222">
      <w:pPr>
        <w:pStyle w:val="Paragraphedeliste"/>
        <w:spacing w:before="240" w:line="240" w:lineRule="auto"/>
        <w:contextualSpacing w:val="0"/>
        <w:rPr>
          <w:rFonts w:ascii="Andes" w:hAnsi="Andes" w:cs="Arial"/>
          <w:b/>
          <w:color w:val="000000" w:themeColor="text1"/>
          <w:sz w:val="28"/>
          <w:szCs w:val="28"/>
        </w:rPr>
      </w:pPr>
      <w:r w:rsidRPr="00D67DFA">
        <w:rPr>
          <w:rFonts w:ascii="Andes" w:hAnsi="Andes" w:cs="Arial"/>
          <w:b/>
          <w:color w:val="000000" w:themeColor="text1"/>
          <w:sz w:val="28"/>
          <w:szCs w:val="28"/>
        </w:rPr>
        <w:t>Phase 2</w:t>
      </w:r>
      <w:r w:rsidRPr="00D67DFA">
        <w:rPr>
          <w:rFonts w:ascii="Calibri" w:hAnsi="Calibri" w:cs="Arial"/>
          <w:b/>
          <w:color w:val="000000" w:themeColor="text1"/>
          <w:sz w:val="28"/>
          <w:szCs w:val="28"/>
        </w:rPr>
        <w:t> </w:t>
      </w:r>
      <w:r w:rsidRPr="00D67DFA">
        <w:rPr>
          <w:rFonts w:ascii="Andes" w:hAnsi="Andes" w:cs="Arial"/>
          <w:b/>
          <w:color w:val="000000" w:themeColor="text1"/>
          <w:sz w:val="28"/>
          <w:szCs w:val="28"/>
        </w:rPr>
        <w:t>: Appel</w:t>
      </w:r>
      <w:r>
        <w:rPr>
          <w:rFonts w:ascii="Andes" w:hAnsi="Andes" w:cs="Arial"/>
          <w:b/>
          <w:color w:val="000000" w:themeColor="text1"/>
          <w:sz w:val="28"/>
          <w:szCs w:val="28"/>
        </w:rPr>
        <w:t xml:space="preserve"> à Propositions provisoires et D</w:t>
      </w:r>
      <w:r w:rsidRPr="00D67DFA">
        <w:rPr>
          <w:rFonts w:ascii="Andes" w:hAnsi="Andes" w:cs="Arial"/>
          <w:b/>
          <w:color w:val="000000" w:themeColor="text1"/>
          <w:sz w:val="28"/>
          <w:szCs w:val="28"/>
        </w:rPr>
        <w:t>ialogue</w:t>
      </w:r>
    </w:p>
    <w:p w14:paraId="6267E6C0" w14:textId="56B5A671" w:rsidR="00AE5222" w:rsidRPr="00D67DFA" w:rsidRDefault="00AE5222" w:rsidP="00AE5222">
      <w:pPr>
        <w:pStyle w:val="Paragraphedeliste"/>
        <w:tabs>
          <w:tab w:val="left" w:pos="1710"/>
        </w:tabs>
        <w:spacing w:before="0" w:line="240" w:lineRule="auto"/>
        <w:ind w:left="1714" w:hanging="1080"/>
        <w:contextualSpacing w:val="0"/>
        <w:rPr>
          <w:rFonts w:ascii="Andes" w:hAnsi="Andes" w:cs="Arial"/>
          <w:sz w:val="22"/>
          <w:szCs w:val="22"/>
        </w:rPr>
      </w:pPr>
      <w:r w:rsidRPr="00D67DFA">
        <w:rPr>
          <w:rFonts w:ascii="Andes" w:hAnsi="Andes" w:cs="Arial"/>
          <w:sz w:val="22"/>
          <w:szCs w:val="22"/>
          <w:u w:val="single"/>
        </w:rPr>
        <w:t>Étape 1</w:t>
      </w:r>
      <w:r w:rsidRPr="00D67DFA">
        <w:rPr>
          <w:rFonts w:ascii="Calibri" w:hAnsi="Calibri" w:cs="Arial"/>
          <w:sz w:val="22"/>
          <w:szCs w:val="22"/>
          <w:u w:val="single"/>
        </w:rPr>
        <w:t> </w:t>
      </w:r>
      <w:r w:rsidRPr="00D67DFA">
        <w:rPr>
          <w:rFonts w:ascii="Andes" w:hAnsi="Andes" w:cs="Arial"/>
          <w:sz w:val="22"/>
          <w:szCs w:val="22"/>
        </w:rPr>
        <w:t xml:space="preserve">: </w:t>
      </w:r>
      <w:r w:rsidRPr="00D67DFA">
        <w:rPr>
          <w:rFonts w:ascii="Andes" w:hAnsi="Andes" w:cs="Arial"/>
          <w:sz w:val="22"/>
          <w:szCs w:val="22"/>
        </w:rPr>
        <w:tab/>
        <w:t>diffusion du dossier d’appel à propositions</w:t>
      </w:r>
      <w:r>
        <w:rPr>
          <w:rFonts w:ascii="Andes" w:hAnsi="Andes" w:cs="Arial"/>
          <w:sz w:val="22"/>
          <w:szCs w:val="22"/>
        </w:rPr>
        <w:t>,</w:t>
      </w:r>
      <w:r w:rsidRPr="00D67DFA">
        <w:rPr>
          <w:rFonts w:ascii="Andes" w:hAnsi="Andes" w:cs="Arial"/>
          <w:sz w:val="22"/>
          <w:szCs w:val="22"/>
        </w:rPr>
        <w:t xml:space="preserve"> suivant le </w:t>
      </w:r>
      <w:r>
        <w:rPr>
          <w:rFonts w:ascii="Andes" w:hAnsi="Andes" w:cs="Arial"/>
          <w:sz w:val="22"/>
          <w:szCs w:val="22"/>
        </w:rPr>
        <w:t>Dossier</w:t>
      </w:r>
      <w:r w:rsidRPr="00D67DFA">
        <w:rPr>
          <w:rFonts w:ascii="Andes" w:hAnsi="Andes" w:cs="Arial"/>
          <w:sz w:val="22"/>
          <w:szCs w:val="22"/>
        </w:rPr>
        <w:t xml:space="preserve"> type </w:t>
      </w:r>
      <w:r>
        <w:rPr>
          <w:rFonts w:ascii="Andes" w:hAnsi="Andes" w:cs="Arial"/>
          <w:sz w:val="22"/>
          <w:szCs w:val="22"/>
        </w:rPr>
        <w:t xml:space="preserve">de passation des marchés </w:t>
      </w:r>
      <w:r w:rsidRPr="00D67DFA">
        <w:rPr>
          <w:rFonts w:ascii="Andes" w:hAnsi="Andes" w:cs="Arial"/>
          <w:sz w:val="22"/>
          <w:szCs w:val="22"/>
        </w:rPr>
        <w:t>de la Banque</w:t>
      </w:r>
      <w:r>
        <w:rPr>
          <w:rFonts w:ascii="Andes" w:hAnsi="Andes" w:cs="Arial"/>
          <w:sz w:val="22"/>
          <w:szCs w:val="22"/>
        </w:rPr>
        <w:t>, aux entreprises/coentreprises Initialement S</w:t>
      </w:r>
      <w:r w:rsidRPr="00D67DFA">
        <w:rPr>
          <w:rFonts w:ascii="Andes" w:hAnsi="Andes" w:cs="Arial"/>
          <w:sz w:val="22"/>
          <w:szCs w:val="22"/>
        </w:rPr>
        <w:t xml:space="preserve">électionnées (Proposants). </w:t>
      </w:r>
      <w:r>
        <w:rPr>
          <w:rFonts w:ascii="Andes" w:hAnsi="Andes" w:cs="Arial"/>
          <w:sz w:val="22"/>
          <w:szCs w:val="22"/>
        </w:rPr>
        <w:t>En règle générale, c’est le</w:t>
      </w:r>
      <w:r w:rsidRPr="00D67DFA">
        <w:rPr>
          <w:rFonts w:ascii="Andes" w:hAnsi="Andes" w:cs="Arial"/>
          <w:sz w:val="22"/>
          <w:szCs w:val="22"/>
        </w:rPr>
        <w:t xml:space="preserve"> système à </w:t>
      </w:r>
      <w:r>
        <w:rPr>
          <w:rFonts w:ascii="Andes" w:hAnsi="Andes" w:cs="Arial"/>
          <w:sz w:val="22"/>
          <w:szCs w:val="22"/>
        </w:rPr>
        <w:t>enveloppe unique qui est utilisé au cours de cette phase</w:t>
      </w:r>
      <w:r w:rsidRPr="00D67DFA">
        <w:rPr>
          <w:rFonts w:ascii="Andes" w:hAnsi="Andes" w:cs="Arial"/>
          <w:sz w:val="22"/>
          <w:szCs w:val="22"/>
        </w:rPr>
        <w:t xml:space="preserve">. Les éclaircissements et avenants sont soumis aux dispositions des paragraphes </w:t>
      </w:r>
      <w:r w:rsidRPr="00D67DFA">
        <w:rPr>
          <w:rFonts w:ascii="Andes" w:eastAsiaTheme="minorHAnsi" w:hAnsi="Andes" w:cs="Arial"/>
          <w:color w:val="000000"/>
          <w:sz w:val="22"/>
          <w:szCs w:val="22"/>
        </w:rPr>
        <w:t>5.31 et 5.</w:t>
      </w:r>
      <w:r w:rsidRPr="00D31076">
        <w:rPr>
          <w:rFonts w:ascii="Andes" w:eastAsiaTheme="minorHAnsi" w:hAnsi="Andes" w:cs="Arial"/>
          <w:color w:val="000000"/>
          <w:sz w:val="22"/>
          <w:szCs w:val="22"/>
        </w:rPr>
        <w:t>32 (Éclaircissements sur les Dossiers de Passation des Marchés).</w:t>
      </w:r>
      <w:r w:rsidRPr="00D67DFA">
        <w:rPr>
          <w:rFonts w:ascii="Andes" w:eastAsiaTheme="minorHAnsi" w:hAnsi="Andes" w:cs="Arial"/>
          <w:color w:val="000000"/>
          <w:sz w:val="22"/>
          <w:szCs w:val="22"/>
        </w:rPr>
        <w:t xml:space="preserve">  </w:t>
      </w:r>
    </w:p>
    <w:p w14:paraId="470C3B4D" w14:textId="77777777" w:rsidR="00AE5222" w:rsidRPr="00D67DFA" w:rsidRDefault="00AE5222" w:rsidP="00AE5222">
      <w:pPr>
        <w:pStyle w:val="Paragraphedeliste"/>
        <w:tabs>
          <w:tab w:val="left" w:pos="720"/>
          <w:tab w:val="left" w:pos="1710"/>
        </w:tabs>
        <w:spacing w:before="0" w:line="240" w:lineRule="auto"/>
        <w:ind w:left="1714" w:hanging="1080"/>
        <w:contextualSpacing w:val="0"/>
        <w:rPr>
          <w:rFonts w:ascii="Andes" w:hAnsi="Andes" w:cs="Arial"/>
          <w:sz w:val="22"/>
          <w:szCs w:val="22"/>
        </w:rPr>
      </w:pPr>
      <w:r w:rsidRPr="00D67DFA">
        <w:rPr>
          <w:rFonts w:ascii="Andes" w:hAnsi="Andes" w:cs="Arial"/>
          <w:sz w:val="22"/>
          <w:szCs w:val="22"/>
          <w:u w:val="single"/>
        </w:rPr>
        <w:t>Étape 2</w:t>
      </w:r>
      <w:r w:rsidRPr="00D67DFA">
        <w:rPr>
          <w:rFonts w:ascii="Calibri" w:hAnsi="Calibri" w:cs="Arial"/>
          <w:sz w:val="22"/>
          <w:szCs w:val="22"/>
          <w:u w:val="single"/>
        </w:rPr>
        <w:t> </w:t>
      </w:r>
      <w:r w:rsidRPr="00D67DFA">
        <w:rPr>
          <w:rFonts w:ascii="Andes" w:hAnsi="Andes" w:cs="Arial"/>
          <w:sz w:val="22"/>
          <w:szCs w:val="22"/>
        </w:rPr>
        <w:t xml:space="preserve">: </w:t>
      </w:r>
      <w:r w:rsidRPr="00D67DFA">
        <w:rPr>
          <w:rFonts w:ascii="Andes" w:hAnsi="Andes" w:cs="Arial"/>
          <w:sz w:val="22"/>
          <w:szCs w:val="22"/>
        </w:rPr>
        <w:tab/>
        <w:t xml:space="preserve">les Proposants remettent des Propositions provisoires qui </w:t>
      </w:r>
      <w:r>
        <w:rPr>
          <w:rFonts w:ascii="Andes" w:hAnsi="Andes" w:cs="Arial"/>
          <w:sz w:val="22"/>
          <w:szCs w:val="22"/>
        </w:rPr>
        <w:t xml:space="preserve">apportent des solutions au </w:t>
      </w:r>
      <w:r w:rsidRPr="00D67DFA">
        <w:rPr>
          <w:rFonts w:ascii="Andes" w:hAnsi="Andes" w:cs="Arial"/>
          <w:sz w:val="22"/>
          <w:szCs w:val="22"/>
        </w:rPr>
        <w:t xml:space="preserve">problème </w:t>
      </w:r>
      <w:r>
        <w:rPr>
          <w:rFonts w:ascii="Andes" w:hAnsi="Andes" w:cs="Arial"/>
          <w:sz w:val="22"/>
          <w:szCs w:val="22"/>
        </w:rPr>
        <w:t>identifié par l’Emprunteur, à ses</w:t>
      </w:r>
      <w:r w:rsidRPr="00D67DFA">
        <w:rPr>
          <w:rFonts w:ascii="Andes" w:hAnsi="Andes" w:cs="Arial"/>
          <w:sz w:val="22"/>
          <w:szCs w:val="22"/>
        </w:rPr>
        <w:t xml:space="preserve"> besoins ou </w:t>
      </w:r>
      <w:r>
        <w:rPr>
          <w:rFonts w:ascii="Andes" w:hAnsi="Andes" w:cs="Arial"/>
          <w:sz w:val="22"/>
          <w:szCs w:val="22"/>
        </w:rPr>
        <w:t>à s</w:t>
      </w:r>
      <w:r w:rsidRPr="00D67DFA">
        <w:rPr>
          <w:rFonts w:ascii="Andes" w:hAnsi="Andes" w:cs="Arial"/>
          <w:sz w:val="22"/>
          <w:szCs w:val="22"/>
        </w:rPr>
        <w:t xml:space="preserve">es exigences, selon qu’ils sont définis dans le dossier d’appel à propositions. Les </w:t>
      </w:r>
      <w:r>
        <w:rPr>
          <w:rFonts w:ascii="Andes" w:hAnsi="Andes" w:cs="Arial"/>
          <w:sz w:val="22"/>
          <w:szCs w:val="22"/>
        </w:rPr>
        <w:t xml:space="preserve">plis contenant les </w:t>
      </w:r>
      <w:r w:rsidRPr="00D67DFA">
        <w:rPr>
          <w:rFonts w:ascii="Andes" w:hAnsi="Andes" w:cs="Arial"/>
          <w:sz w:val="22"/>
          <w:szCs w:val="22"/>
        </w:rPr>
        <w:t>Propositions provisoires sont ouverts en séance publique.</w:t>
      </w:r>
    </w:p>
    <w:p w14:paraId="3B4BD3DC" w14:textId="01B23960" w:rsidR="00AE5222" w:rsidRPr="00D67DFA" w:rsidRDefault="00AE5222" w:rsidP="00AE5222">
      <w:pPr>
        <w:pStyle w:val="Paragraphedeliste"/>
        <w:tabs>
          <w:tab w:val="left" w:pos="720"/>
          <w:tab w:val="left" w:pos="1710"/>
        </w:tabs>
        <w:spacing w:before="0" w:line="240" w:lineRule="auto"/>
        <w:ind w:left="1714" w:hanging="1080"/>
        <w:contextualSpacing w:val="0"/>
        <w:rPr>
          <w:rFonts w:ascii="Andes" w:hAnsi="Andes" w:cs="Arial"/>
          <w:sz w:val="22"/>
          <w:szCs w:val="22"/>
        </w:rPr>
      </w:pPr>
      <w:r w:rsidRPr="00D67DFA">
        <w:rPr>
          <w:rFonts w:ascii="Andes" w:hAnsi="Andes" w:cs="Arial"/>
          <w:sz w:val="22"/>
          <w:szCs w:val="22"/>
          <w:u w:val="single"/>
        </w:rPr>
        <w:t>Étape 3</w:t>
      </w:r>
      <w:r w:rsidRPr="00D67DFA">
        <w:rPr>
          <w:rFonts w:ascii="Calibri" w:hAnsi="Calibri" w:cs="Arial"/>
          <w:sz w:val="22"/>
          <w:szCs w:val="22"/>
          <w:u w:val="single"/>
        </w:rPr>
        <w:t> </w:t>
      </w:r>
      <w:r w:rsidRPr="00D67DFA">
        <w:rPr>
          <w:rFonts w:ascii="Andes" w:hAnsi="Andes" w:cs="Arial"/>
          <w:sz w:val="22"/>
          <w:szCs w:val="22"/>
        </w:rPr>
        <w:t xml:space="preserve">: </w:t>
      </w:r>
      <w:r w:rsidRPr="00D67DFA">
        <w:rPr>
          <w:rFonts w:ascii="Andes" w:hAnsi="Andes" w:cs="Arial"/>
          <w:sz w:val="22"/>
          <w:szCs w:val="22"/>
        </w:rPr>
        <w:tab/>
        <w:t>l’Emprunteur fait une première évaluation de</w:t>
      </w:r>
      <w:r>
        <w:rPr>
          <w:rFonts w:ascii="Andes" w:hAnsi="Andes" w:cs="Arial"/>
          <w:sz w:val="22"/>
          <w:szCs w:val="22"/>
        </w:rPr>
        <w:t>s</w:t>
      </w:r>
      <w:r w:rsidRPr="00D67DFA">
        <w:rPr>
          <w:rFonts w:ascii="Andes" w:hAnsi="Andes" w:cs="Arial"/>
          <w:sz w:val="22"/>
          <w:szCs w:val="22"/>
        </w:rPr>
        <w:t xml:space="preserve"> Proposition</w:t>
      </w:r>
      <w:r>
        <w:rPr>
          <w:rFonts w:ascii="Andes" w:hAnsi="Andes" w:cs="Arial"/>
          <w:sz w:val="22"/>
          <w:szCs w:val="22"/>
        </w:rPr>
        <w:t>s</w:t>
      </w:r>
      <w:r w:rsidRPr="00D67DFA">
        <w:rPr>
          <w:rFonts w:ascii="Andes" w:hAnsi="Andes" w:cs="Arial"/>
          <w:sz w:val="22"/>
          <w:szCs w:val="22"/>
        </w:rPr>
        <w:t xml:space="preserve"> provisoire</w:t>
      </w:r>
      <w:r>
        <w:rPr>
          <w:rFonts w:ascii="Andes" w:hAnsi="Andes" w:cs="Arial"/>
          <w:sz w:val="22"/>
          <w:szCs w:val="22"/>
        </w:rPr>
        <w:t>s</w:t>
      </w:r>
      <w:r w:rsidRPr="00D67DFA">
        <w:rPr>
          <w:rFonts w:ascii="Andes" w:hAnsi="Andes" w:cs="Arial"/>
          <w:sz w:val="22"/>
          <w:szCs w:val="22"/>
        </w:rPr>
        <w:t xml:space="preserve"> sur la base des </w:t>
      </w:r>
      <w:r w:rsidR="000951FF">
        <w:rPr>
          <w:rFonts w:ascii="Andes" w:hAnsi="Andes" w:cs="Arial"/>
          <w:sz w:val="22"/>
          <w:szCs w:val="22"/>
        </w:rPr>
        <w:t>C</w:t>
      </w:r>
      <w:r w:rsidRPr="00D67DFA">
        <w:rPr>
          <w:rFonts w:ascii="Andes" w:hAnsi="Andes" w:cs="Arial"/>
          <w:sz w:val="22"/>
          <w:szCs w:val="22"/>
        </w:rPr>
        <w:t xml:space="preserve">ritères </w:t>
      </w:r>
      <w:r w:rsidR="000951FF">
        <w:rPr>
          <w:rFonts w:ascii="Andes" w:hAnsi="Andes" w:cs="Arial"/>
          <w:sz w:val="22"/>
          <w:szCs w:val="22"/>
        </w:rPr>
        <w:t xml:space="preserve">d’Evaluation </w:t>
      </w:r>
      <w:r w:rsidRPr="00D67DFA">
        <w:rPr>
          <w:rFonts w:ascii="Andes" w:hAnsi="Andes" w:cs="Arial"/>
          <w:sz w:val="22"/>
          <w:szCs w:val="22"/>
        </w:rPr>
        <w:t>f</w:t>
      </w:r>
      <w:r>
        <w:rPr>
          <w:rFonts w:ascii="Andes" w:hAnsi="Andes" w:cs="Arial"/>
          <w:sz w:val="22"/>
          <w:szCs w:val="22"/>
        </w:rPr>
        <w:t>ixés dans le dossier d’appel à p</w:t>
      </w:r>
      <w:r w:rsidRPr="00D67DFA">
        <w:rPr>
          <w:rFonts w:ascii="Andes" w:hAnsi="Andes" w:cs="Arial"/>
          <w:sz w:val="22"/>
          <w:szCs w:val="22"/>
        </w:rPr>
        <w:t>ropositions.</w:t>
      </w:r>
    </w:p>
    <w:p w14:paraId="670B856C" w14:textId="77777777" w:rsidR="00AE5222" w:rsidRPr="00D67DFA" w:rsidRDefault="00AE5222" w:rsidP="00AE5222">
      <w:pPr>
        <w:pStyle w:val="Paragraphedeliste"/>
        <w:tabs>
          <w:tab w:val="left" w:pos="720"/>
          <w:tab w:val="left" w:pos="1710"/>
        </w:tabs>
        <w:spacing w:before="0" w:line="240" w:lineRule="auto"/>
        <w:ind w:left="1714" w:hanging="1080"/>
        <w:contextualSpacing w:val="0"/>
        <w:rPr>
          <w:rFonts w:ascii="Andes" w:hAnsi="Andes" w:cs="Arial"/>
          <w:sz w:val="22"/>
          <w:szCs w:val="22"/>
        </w:rPr>
      </w:pPr>
      <w:r w:rsidRPr="00D67DFA">
        <w:rPr>
          <w:rFonts w:ascii="Andes" w:hAnsi="Andes" w:cs="Arial"/>
          <w:sz w:val="22"/>
          <w:szCs w:val="22"/>
          <w:u w:val="single"/>
        </w:rPr>
        <w:t>Étape 4</w:t>
      </w:r>
      <w:r w:rsidRPr="00D67DFA">
        <w:rPr>
          <w:rFonts w:ascii="Calibri" w:hAnsi="Calibri" w:cs="Arial"/>
          <w:sz w:val="22"/>
          <w:szCs w:val="22"/>
          <w:u w:val="single"/>
        </w:rPr>
        <w:t> </w:t>
      </w:r>
      <w:r w:rsidRPr="00D67DFA">
        <w:rPr>
          <w:rFonts w:ascii="Andes" w:hAnsi="Andes" w:cs="Arial"/>
          <w:sz w:val="22"/>
          <w:szCs w:val="22"/>
        </w:rPr>
        <w:t xml:space="preserve">: </w:t>
      </w:r>
      <w:r w:rsidRPr="00D67DFA">
        <w:rPr>
          <w:rFonts w:ascii="Andes" w:hAnsi="Andes" w:cs="Arial"/>
          <w:sz w:val="22"/>
          <w:szCs w:val="22"/>
        </w:rPr>
        <w:tab/>
        <w:t xml:space="preserve">les parties entament le dialogue.  Pour ce faire, l’Emprunteur tient des réunions bilatérales confidentielles (séries) avec chacun des Proposants pour discuter de tous les aspects de sa Proposition. Ainsi, le dialogue peut s’appesantir sur la solution, les aspects commerciaux, juridiques et tout autre facteur que l’Emprunteur juge pertinent.  </w:t>
      </w:r>
    </w:p>
    <w:p w14:paraId="400A6CA8" w14:textId="77777777" w:rsidR="00AE5222" w:rsidRPr="00D67DFA" w:rsidRDefault="00AE5222" w:rsidP="00AE5222">
      <w:pPr>
        <w:pStyle w:val="Paragraphedeliste"/>
        <w:tabs>
          <w:tab w:val="left" w:pos="720"/>
          <w:tab w:val="left" w:pos="1710"/>
        </w:tabs>
        <w:spacing w:before="0" w:line="240" w:lineRule="auto"/>
        <w:ind w:left="1714" w:hanging="1080"/>
        <w:contextualSpacing w:val="0"/>
        <w:rPr>
          <w:rFonts w:ascii="Andes" w:hAnsi="Andes" w:cs="Arial"/>
          <w:sz w:val="22"/>
          <w:szCs w:val="22"/>
        </w:rPr>
      </w:pPr>
      <w:r w:rsidRPr="00D67DFA">
        <w:rPr>
          <w:rFonts w:ascii="Andes" w:hAnsi="Andes" w:cs="Arial"/>
          <w:sz w:val="22"/>
          <w:szCs w:val="22"/>
        </w:rPr>
        <w:lastRenderedPageBreak/>
        <w:tab/>
      </w:r>
      <w:r w:rsidRPr="00D67DFA">
        <w:rPr>
          <w:rFonts w:ascii="Andes" w:hAnsi="Andes" w:cs="Arial"/>
          <w:sz w:val="22"/>
          <w:szCs w:val="22"/>
        </w:rPr>
        <w:tab/>
        <w:t>Les séries de discussion peuvent se poursuivre jusqu’à ce que l’Emprunteur estime que tous les contours ont été abordés. Il d</w:t>
      </w:r>
      <w:r>
        <w:rPr>
          <w:rFonts w:ascii="Andes" w:hAnsi="Andes" w:cs="Arial"/>
          <w:sz w:val="22"/>
          <w:szCs w:val="22"/>
        </w:rPr>
        <w:t>evrait</w:t>
      </w:r>
      <w:r w:rsidRPr="00D67DFA">
        <w:rPr>
          <w:rFonts w:ascii="Andes" w:hAnsi="Andes" w:cs="Arial"/>
          <w:sz w:val="22"/>
          <w:szCs w:val="22"/>
        </w:rPr>
        <w:t xml:space="preserve"> indiquer dans le dossier </w:t>
      </w:r>
      <w:r>
        <w:rPr>
          <w:rFonts w:ascii="Andes" w:hAnsi="Andes" w:cs="Arial"/>
          <w:sz w:val="22"/>
          <w:szCs w:val="22"/>
        </w:rPr>
        <w:t>d’appel à p</w:t>
      </w:r>
      <w:r w:rsidRPr="00D67DFA">
        <w:rPr>
          <w:rFonts w:ascii="Andes" w:hAnsi="Andes" w:cs="Arial"/>
          <w:sz w:val="22"/>
          <w:szCs w:val="22"/>
        </w:rPr>
        <w:t>ropositions le nombre de séries de discussions prévu.</w:t>
      </w:r>
    </w:p>
    <w:p w14:paraId="6AF73C80" w14:textId="77777777" w:rsidR="00AE5222" w:rsidRPr="00D67DFA" w:rsidRDefault="00AE5222" w:rsidP="00AE5222">
      <w:pPr>
        <w:tabs>
          <w:tab w:val="left" w:pos="1260"/>
          <w:tab w:val="left" w:pos="1710"/>
        </w:tabs>
        <w:spacing w:before="0" w:line="240" w:lineRule="auto"/>
        <w:ind w:left="1714" w:hanging="1080"/>
        <w:contextualSpacing w:val="0"/>
        <w:rPr>
          <w:rFonts w:ascii="Andes" w:hAnsi="Andes" w:cs="Arial"/>
          <w:sz w:val="22"/>
          <w:szCs w:val="22"/>
        </w:rPr>
      </w:pPr>
      <w:r w:rsidRPr="00D67DFA">
        <w:rPr>
          <w:rFonts w:ascii="Andes" w:hAnsi="Andes" w:cs="Arial"/>
          <w:sz w:val="22"/>
          <w:szCs w:val="22"/>
        </w:rPr>
        <w:tab/>
      </w:r>
      <w:r w:rsidRPr="00D67DFA">
        <w:rPr>
          <w:rFonts w:ascii="Andes" w:hAnsi="Andes" w:cs="Arial"/>
          <w:sz w:val="22"/>
          <w:szCs w:val="22"/>
        </w:rPr>
        <w:tab/>
        <w:t xml:space="preserve">Les Proposants peuvent être progressivement éliminés sur la base de l’examen de leurs solutions </w:t>
      </w:r>
      <w:r>
        <w:rPr>
          <w:rFonts w:ascii="Andes" w:hAnsi="Andes" w:cs="Arial"/>
          <w:sz w:val="22"/>
          <w:szCs w:val="22"/>
        </w:rPr>
        <w:t>Initiale</w:t>
      </w:r>
      <w:r w:rsidRPr="00D67DFA">
        <w:rPr>
          <w:rFonts w:ascii="Andes" w:hAnsi="Andes" w:cs="Arial"/>
          <w:sz w:val="22"/>
          <w:szCs w:val="22"/>
        </w:rPr>
        <w:t>s et en appliquant les critères et la méthodologie f</w:t>
      </w:r>
      <w:r>
        <w:rPr>
          <w:rFonts w:ascii="Andes" w:hAnsi="Andes" w:cs="Arial"/>
          <w:sz w:val="22"/>
          <w:szCs w:val="22"/>
        </w:rPr>
        <w:t>ixés dans le dossier d’appel à p</w:t>
      </w:r>
      <w:r w:rsidRPr="00D67DFA">
        <w:rPr>
          <w:rFonts w:ascii="Andes" w:hAnsi="Andes" w:cs="Arial"/>
          <w:sz w:val="22"/>
          <w:szCs w:val="22"/>
        </w:rPr>
        <w:t>ropositions</w:t>
      </w:r>
      <w:r w:rsidRPr="00D67DFA">
        <w:rPr>
          <w:rFonts w:ascii="Andes" w:eastAsiaTheme="minorHAnsi" w:hAnsi="Andes" w:cs="Arial"/>
          <w:color w:val="000000"/>
          <w:sz w:val="22"/>
          <w:szCs w:val="22"/>
        </w:rPr>
        <w:t xml:space="preserve">.  </w:t>
      </w:r>
    </w:p>
    <w:p w14:paraId="29D8E1AE" w14:textId="7E2608AB" w:rsidR="00AE5222" w:rsidRPr="00D67DFA" w:rsidRDefault="00AE5222" w:rsidP="00AE5222">
      <w:pPr>
        <w:tabs>
          <w:tab w:val="left" w:pos="1710"/>
        </w:tabs>
        <w:spacing w:before="0" w:line="240" w:lineRule="auto"/>
        <w:ind w:left="1714" w:hanging="4"/>
        <w:contextualSpacing w:val="0"/>
        <w:rPr>
          <w:rFonts w:ascii="Andes" w:hAnsi="Andes" w:cs="Arial"/>
          <w:sz w:val="22"/>
          <w:szCs w:val="22"/>
        </w:rPr>
      </w:pPr>
      <w:r>
        <w:rPr>
          <w:rFonts w:ascii="Andes" w:hAnsi="Andes" w:cs="Arial"/>
          <w:sz w:val="22"/>
          <w:szCs w:val="22"/>
        </w:rPr>
        <w:t>À</w:t>
      </w:r>
      <w:r w:rsidRPr="00D67DFA">
        <w:rPr>
          <w:rFonts w:ascii="Andes" w:hAnsi="Andes" w:cs="Arial"/>
          <w:sz w:val="22"/>
          <w:szCs w:val="22"/>
        </w:rPr>
        <w:t xml:space="preserve"> l’issue de la phase d</w:t>
      </w:r>
      <w:r>
        <w:rPr>
          <w:rFonts w:ascii="Andes" w:hAnsi="Andes" w:cs="Arial"/>
          <w:sz w:val="22"/>
          <w:szCs w:val="22"/>
        </w:rPr>
        <w:t>e</w:t>
      </w:r>
      <w:r w:rsidRPr="00D67DFA">
        <w:rPr>
          <w:rFonts w:ascii="Andes" w:hAnsi="Andes" w:cs="Arial"/>
          <w:sz w:val="22"/>
          <w:szCs w:val="22"/>
        </w:rPr>
        <w:t xml:space="preserve"> dialogue</w:t>
      </w:r>
      <w:r>
        <w:rPr>
          <w:rFonts w:ascii="Andes" w:hAnsi="Andes" w:cs="Arial"/>
          <w:sz w:val="22"/>
          <w:szCs w:val="22"/>
        </w:rPr>
        <w:t>,</w:t>
      </w:r>
      <w:r w:rsidRPr="00D67DFA">
        <w:rPr>
          <w:rFonts w:ascii="Andes" w:hAnsi="Andes" w:cs="Arial"/>
          <w:sz w:val="22"/>
          <w:szCs w:val="22"/>
        </w:rPr>
        <w:t xml:space="preserve"> il devrait généralement</w:t>
      </w:r>
      <w:r w:rsidR="00060A4A">
        <w:rPr>
          <w:rFonts w:ascii="Andes" w:hAnsi="Andes" w:cs="Arial"/>
          <w:sz w:val="22"/>
          <w:szCs w:val="22"/>
        </w:rPr>
        <w:t xml:space="preserve"> </w:t>
      </w:r>
      <w:r w:rsidR="00060A4A" w:rsidRPr="00D67DFA">
        <w:rPr>
          <w:rFonts w:ascii="Andes" w:hAnsi="Andes" w:cs="Arial"/>
          <w:sz w:val="22"/>
          <w:szCs w:val="22"/>
        </w:rPr>
        <w:t>n’y avoir pas</w:t>
      </w:r>
      <w:r w:rsidRPr="00D67DFA">
        <w:rPr>
          <w:rFonts w:ascii="Andes" w:hAnsi="Andes" w:cs="Arial"/>
          <w:sz w:val="22"/>
          <w:szCs w:val="22"/>
        </w:rPr>
        <w:t xml:space="preserve"> moins de trois (03) propositions.   </w:t>
      </w:r>
    </w:p>
    <w:p w14:paraId="00568856" w14:textId="77777777" w:rsidR="00AE5222" w:rsidRPr="00D67DFA" w:rsidRDefault="00AE5222" w:rsidP="00AE5222">
      <w:pPr>
        <w:tabs>
          <w:tab w:val="left" w:pos="1260"/>
          <w:tab w:val="left" w:pos="1710"/>
        </w:tabs>
        <w:spacing w:before="0" w:line="240" w:lineRule="auto"/>
        <w:ind w:left="1714" w:hanging="1080"/>
        <w:contextualSpacing w:val="0"/>
        <w:rPr>
          <w:rFonts w:ascii="Andes" w:hAnsi="Andes" w:cs="Arial"/>
          <w:sz w:val="22"/>
          <w:szCs w:val="22"/>
        </w:rPr>
      </w:pPr>
      <w:r w:rsidRPr="00D67DFA">
        <w:rPr>
          <w:rFonts w:ascii="Andes" w:hAnsi="Andes" w:cs="Arial"/>
          <w:sz w:val="22"/>
          <w:szCs w:val="22"/>
        </w:rPr>
        <w:tab/>
      </w:r>
      <w:r w:rsidRPr="00D67DFA">
        <w:rPr>
          <w:rFonts w:ascii="Andes" w:hAnsi="Andes" w:cs="Arial"/>
          <w:sz w:val="22"/>
          <w:szCs w:val="22"/>
        </w:rPr>
        <w:tab/>
        <w:t>Tous les Proposants doivent avoir des chances égales de participer à chaque série de discussions, à moins qu’ils ne soient éliminés du processus (comme indiqué plus haut).</w:t>
      </w:r>
    </w:p>
    <w:p w14:paraId="12B90098" w14:textId="77777777" w:rsidR="00AE5222" w:rsidRPr="00D67DFA" w:rsidRDefault="00AE5222" w:rsidP="00AE5222">
      <w:pPr>
        <w:tabs>
          <w:tab w:val="left" w:pos="1260"/>
          <w:tab w:val="left" w:pos="1710"/>
        </w:tabs>
        <w:spacing w:before="0" w:line="240" w:lineRule="auto"/>
        <w:ind w:left="1714" w:hanging="1080"/>
        <w:contextualSpacing w:val="0"/>
        <w:rPr>
          <w:rFonts w:ascii="Andes" w:hAnsi="Andes" w:cs="Arial"/>
          <w:color w:val="000000"/>
          <w:sz w:val="22"/>
          <w:szCs w:val="22"/>
        </w:rPr>
      </w:pPr>
      <w:r w:rsidRPr="00D67DFA">
        <w:rPr>
          <w:rFonts w:ascii="Andes" w:hAnsi="Andes" w:cs="Arial"/>
          <w:sz w:val="22"/>
          <w:szCs w:val="22"/>
          <w:u w:val="single"/>
        </w:rPr>
        <w:t>Étape 5</w:t>
      </w:r>
      <w:r w:rsidRPr="00D67DFA">
        <w:rPr>
          <w:rFonts w:ascii="Calibri" w:hAnsi="Calibri" w:cs="Arial"/>
          <w:sz w:val="22"/>
          <w:szCs w:val="22"/>
          <w:u w:val="single"/>
        </w:rPr>
        <w:t> </w:t>
      </w:r>
      <w:r w:rsidRPr="00D67DFA">
        <w:rPr>
          <w:rFonts w:ascii="Andes" w:hAnsi="Andes" w:cs="Arial"/>
          <w:sz w:val="22"/>
          <w:szCs w:val="22"/>
          <w:u w:val="single"/>
        </w:rPr>
        <w:t>:</w:t>
      </w:r>
      <w:r w:rsidRPr="00D67DFA">
        <w:rPr>
          <w:rFonts w:ascii="Andes" w:hAnsi="Andes" w:cs="Arial"/>
          <w:sz w:val="22"/>
          <w:szCs w:val="22"/>
        </w:rPr>
        <w:t xml:space="preserve"> </w:t>
      </w:r>
      <w:r w:rsidRPr="00D67DFA">
        <w:rPr>
          <w:rFonts w:ascii="Andes" w:hAnsi="Andes" w:cs="Arial"/>
          <w:sz w:val="22"/>
          <w:szCs w:val="22"/>
        </w:rPr>
        <w:tab/>
        <w:t xml:space="preserve">l’Emprunteur peut déterminer si les Proposants sont prêts à déposer des Propositions définitives conformes en les invitant à remettre des Propositions définitives préliminaires qu’il évalue. Il s’agira d’une première version de la Proposition définitive. </w:t>
      </w:r>
      <w:r>
        <w:rPr>
          <w:rFonts w:ascii="Andes" w:hAnsi="Andes" w:cs="Arial"/>
          <w:sz w:val="22"/>
          <w:szCs w:val="22"/>
        </w:rPr>
        <w:t>Lorsque</w:t>
      </w:r>
      <w:r w:rsidRPr="00D67DFA">
        <w:rPr>
          <w:rFonts w:ascii="Andes" w:hAnsi="Andes" w:cs="Arial"/>
          <w:sz w:val="22"/>
          <w:szCs w:val="22"/>
        </w:rPr>
        <w:t xml:space="preserve"> l’Emprunteur juge qu’au moins une Proposition définitive conforme sera reçue, il clôt les discussions. Dans le cas contraire, le dialogue se poursuit jusqu’à la production d’au moins une Proposition définitive conforme</w:t>
      </w:r>
      <w:r w:rsidRPr="00D67DFA">
        <w:rPr>
          <w:rFonts w:ascii="Andes" w:hAnsi="Andes" w:cs="Arial"/>
          <w:color w:val="000000"/>
          <w:sz w:val="22"/>
          <w:szCs w:val="22"/>
        </w:rPr>
        <w:t>.</w:t>
      </w:r>
    </w:p>
    <w:p w14:paraId="5E588748" w14:textId="77777777" w:rsidR="00AE5222" w:rsidRPr="00D67DFA" w:rsidRDefault="00AE5222" w:rsidP="00AE5222">
      <w:pPr>
        <w:tabs>
          <w:tab w:val="left" w:pos="1710"/>
        </w:tabs>
        <w:spacing w:before="0" w:line="240" w:lineRule="auto"/>
        <w:ind w:left="1714" w:hanging="1080"/>
        <w:contextualSpacing w:val="0"/>
        <w:rPr>
          <w:rFonts w:ascii="Andes" w:hAnsi="Andes" w:cs="Arial"/>
          <w:color w:val="000000"/>
          <w:sz w:val="22"/>
          <w:szCs w:val="22"/>
        </w:rPr>
      </w:pPr>
      <w:r w:rsidRPr="00D67DFA">
        <w:rPr>
          <w:rFonts w:ascii="Andes" w:hAnsi="Andes" w:cs="Arial"/>
          <w:sz w:val="22"/>
          <w:szCs w:val="22"/>
          <w:u w:val="single"/>
        </w:rPr>
        <w:t>Étape 6</w:t>
      </w:r>
      <w:r w:rsidRPr="00D67DFA">
        <w:rPr>
          <w:rFonts w:ascii="Calibri" w:hAnsi="Calibri" w:cs="Arial"/>
          <w:sz w:val="22"/>
          <w:szCs w:val="22"/>
          <w:u w:val="single"/>
        </w:rPr>
        <w:t> </w:t>
      </w:r>
      <w:r w:rsidRPr="00D67DFA">
        <w:rPr>
          <w:rFonts w:ascii="Andes" w:hAnsi="Andes" w:cs="Arial"/>
          <w:sz w:val="22"/>
          <w:szCs w:val="22"/>
          <w:u w:val="single"/>
        </w:rPr>
        <w:t>:</w:t>
      </w:r>
      <w:r w:rsidRPr="00D67DFA">
        <w:rPr>
          <w:rFonts w:ascii="Andes" w:hAnsi="Andes" w:cs="Arial"/>
          <w:sz w:val="22"/>
          <w:szCs w:val="22"/>
        </w:rPr>
        <w:t xml:space="preserve"> </w:t>
      </w:r>
      <w:r w:rsidRPr="00D67DFA">
        <w:rPr>
          <w:rFonts w:ascii="Andes" w:hAnsi="Andes" w:cs="Arial"/>
          <w:sz w:val="22"/>
          <w:szCs w:val="22"/>
        </w:rPr>
        <w:tab/>
        <w:t>c’est celle de la clôture formelle de la phase de dialogue. L’Emprunteur signifie la fin du dialogue. Aucune discussion n’a plus lieu après</w:t>
      </w:r>
      <w:r w:rsidRPr="00D67DFA">
        <w:rPr>
          <w:rFonts w:ascii="Andes" w:hAnsi="Andes" w:cs="Arial"/>
          <w:color w:val="000000"/>
          <w:sz w:val="22"/>
          <w:szCs w:val="22"/>
        </w:rPr>
        <w:t xml:space="preserve">.  </w:t>
      </w:r>
    </w:p>
    <w:p w14:paraId="054AC8FB" w14:textId="77777777" w:rsidR="00AE5222" w:rsidRPr="007229E7" w:rsidRDefault="00AE5222" w:rsidP="00AE5222">
      <w:pPr>
        <w:tabs>
          <w:tab w:val="left" w:pos="1260"/>
          <w:tab w:val="left" w:pos="1710"/>
        </w:tabs>
        <w:spacing w:before="0" w:line="240" w:lineRule="auto"/>
        <w:ind w:left="1714" w:hanging="1080"/>
        <w:contextualSpacing w:val="0"/>
        <w:rPr>
          <w:rFonts w:ascii="Andes" w:hAnsi="Andes" w:cs="Arial"/>
          <w:sz w:val="22"/>
          <w:szCs w:val="22"/>
        </w:rPr>
      </w:pPr>
      <w:r w:rsidRPr="00D67DFA">
        <w:rPr>
          <w:rFonts w:ascii="Andes" w:hAnsi="Andes" w:cs="Arial"/>
          <w:sz w:val="22"/>
          <w:szCs w:val="22"/>
        </w:rPr>
        <w:tab/>
      </w:r>
      <w:r w:rsidRPr="00D67DFA">
        <w:rPr>
          <w:rFonts w:ascii="Andes" w:hAnsi="Andes" w:cs="Arial"/>
          <w:sz w:val="22"/>
          <w:szCs w:val="22"/>
        </w:rPr>
        <w:tab/>
        <w:t>L’Emprunteur affine l</w:t>
      </w:r>
      <w:r>
        <w:rPr>
          <w:rFonts w:ascii="Andes" w:hAnsi="Andes" w:cs="Arial"/>
          <w:sz w:val="22"/>
          <w:szCs w:val="22"/>
        </w:rPr>
        <w:t>’énoncé</w:t>
      </w:r>
      <w:r w:rsidRPr="00D67DFA">
        <w:rPr>
          <w:rFonts w:ascii="Andes" w:hAnsi="Andes" w:cs="Arial"/>
          <w:sz w:val="22"/>
          <w:szCs w:val="22"/>
        </w:rPr>
        <w:t xml:space="preserve"> du problème, des besoins ou des exigences et prépare des avenant</w:t>
      </w:r>
      <w:r>
        <w:rPr>
          <w:rFonts w:ascii="Andes" w:hAnsi="Andes" w:cs="Arial"/>
          <w:sz w:val="22"/>
          <w:szCs w:val="22"/>
        </w:rPr>
        <w:t>s au dossier d’appel à p</w:t>
      </w:r>
      <w:r w:rsidRPr="00D67DFA">
        <w:rPr>
          <w:rFonts w:ascii="Andes" w:hAnsi="Andes" w:cs="Arial"/>
          <w:sz w:val="22"/>
          <w:szCs w:val="22"/>
        </w:rPr>
        <w:t xml:space="preserve">ropositions pour en faire le document </w:t>
      </w:r>
      <w:r w:rsidRPr="007229E7">
        <w:rPr>
          <w:rFonts w:ascii="Andes" w:hAnsi="Andes" w:cs="Arial"/>
          <w:sz w:val="22"/>
          <w:szCs w:val="22"/>
        </w:rPr>
        <w:t>de la phase 3.</w:t>
      </w:r>
    </w:p>
    <w:p w14:paraId="210CF97C" w14:textId="77777777" w:rsidR="00AE5222" w:rsidRPr="007229E7" w:rsidRDefault="00AE5222" w:rsidP="00AE5222">
      <w:pPr>
        <w:pStyle w:val="Paragraphedeliste"/>
        <w:spacing w:before="240" w:line="240" w:lineRule="auto"/>
        <w:contextualSpacing w:val="0"/>
        <w:rPr>
          <w:rFonts w:ascii="Andes" w:hAnsi="Andes" w:cs="Arial"/>
          <w:b/>
          <w:color w:val="000000" w:themeColor="text1"/>
          <w:sz w:val="22"/>
          <w:szCs w:val="22"/>
        </w:rPr>
      </w:pPr>
      <w:r w:rsidRPr="007229E7">
        <w:rPr>
          <w:rFonts w:ascii="Andes" w:hAnsi="Andes" w:cs="Arial"/>
          <w:b/>
          <w:color w:val="000000" w:themeColor="text1"/>
          <w:sz w:val="22"/>
          <w:szCs w:val="22"/>
        </w:rPr>
        <w:t>Phase 3</w:t>
      </w:r>
      <w:r w:rsidRPr="007229E7">
        <w:rPr>
          <w:rFonts w:ascii="Calibri" w:hAnsi="Calibri" w:cs="Arial"/>
          <w:b/>
          <w:color w:val="000000" w:themeColor="text1"/>
          <w:sz w:val="22"/>
          <w:szCs w:val="22"/>
        </w:rPr>
        <w:t> </w:t>
      </w:r>
      <w:r w:rsidRPr="007229E7">
        <w:rPr>
          <w:rFonts w:ascii="Andes" w:hAnsi="Andes" w:cs="Arial"/>
          <w:b/>
          <w:color w:val="000000" w:themeColor="text1"/>
          <w:sz w:val="22"/>
          <w:szCs w:val="22"/>
        </w:rPr>
        <w:t xml:space="preserve">: appel à Propositions définitives </w:t>
      </w:r>
    </w:p>
    <w:p w14:paraId="09CBDBA6" w14:textId="419B19DB" w:rsidR="00AE5222" w:rsidRPr="007229E7" w:rsidRDefault="00AE5222" w:rsidP="00AE5222">
      <w:pPr>
        <w:pStyle w:val="Paragraphedeliste"/>
        <w:tabs>
          <w:tab w:val="left" w:pos="1710"/>
        </w:tabs>
        <w:spacing w:before="0" w:line="240" w:lineRule="auto"/>
        <w:ind w:left="1714" w:hanging="1080"/>
        <w:contextualSpacing w:val="0"/>
        <w:rPr>
          <w:rFonts w:ascii="Andes" w:hAnsi="Andes" w:cs="Arial"/>
          <w:sz w:val="22"/>
          <w:szCs w:val="22"/>
        </w:rPr>
      </w:pPr>
      <w:r w:rsidRPr="007229E7">
        <w:rPr>
          <w:rFonts w:ascii="Andes" w:hAnsi="Andes" w:cs="Arial"/>
          <w:sz w:val="22"/>
          <w:szCs w:val="22"/>
          <w:u w:val="single"/>
        </w:rPr>
        <w:t>Étape 1</w:t>
      </w:r>
      <w:r w:rsidRPr="007229E7">
        <w:rPr>
          <w:rFonts w:ascii="Calibri" w:hAnsi="Calibri" w:cs="Arial"/>
          <w:sz w:val="22"/>
          <w:szCs w:val="22"/>
          <w:u w:val="single"/>
        </w:rPr>
        <w:t> </w:t>
      </w:r>
      <w:r w:rsidRPr="007229E7">
        <w:rPr>
          <w:rFonts w:ascii="Andes" w:hAnsi="Andes" w:cs="Arial"/>
          <w:sz w:val="22"/>
          <w:szCs w:val="22"/>
        </w:rPr>
        <w:t xml:space="preserve">: </w:t>
      </w:r>
      <w:r w:rsidRPr="007229E7">
        <w:rPr>
          <w:rFonts w:ascii="Andes" w:hAnsi="Andes" w:cs="Arial"/>
          <w:sz w:val="22"/>
          <w:szCs w:val="22"/>
        </w:rPr>
        <w:tab/>
        <w:t>communi</w:t>
      </w:r>
      <w:r>
        <w:rPr>
          <w:rFonts w:ascii="Andes" w:hAnsi="Andes" w:cs="Arial"/>
          <w:sz w:val="22"/>
          <w:szCs w:val="22"/>
        </w:rPr>
        <w:t>cation</w:t>
      </w:r>
      <w:r w:rsidRPr="007229E7">
        <w:rPr>
          <w:rFonts w:ascii="Andes" w:hAnsi="Andes" w:cs="Arial"/>
          <w:sz w:val="22"/>
          <w:szCs w:val="22"/>
        </w:rPr>
        <w:t xml:space="preserve"> aux Proposants (qui n’ont pas été éliminés au cours de la phase 2) </w:t>
      </w:r>
      <w:r>
        <w:rPr>
          <w:rFonts w:ascii="Andes" w:hAnsi="Andes" w:cs="Arial"/>
          <w:sz w:val="22"/>
          <w:szCs w:val="22"/>
        </w:rPr>
        <w:t>du</w:t>
      </w:r>
      <w:r w:rsidRPr="007229E7">
        <w:rPr>
          <w:rFonts w:ascii="Andes" w:hAnsi="Andes" w:cs="Arial"/>
          <w:sz w:val="22"/>
          <w:szCs w:val="22"/>
        </w:rPr>
        <w:t xml:space="preserve"> dossier d’appel à propositions actualisé suivant le </w:t>
      </w:r>
      <w:r w:rsidR="00B92936">
        <w:rPr>
          <w:rFonts w:ascii="Andes" w:hAnsi="Andes" w:cs="Arial"/>
          <w:sz w:val="22"/>
          <w:szCs w:val="22"/>
        </w:rPr>
        <w:t>DTPM</w:t>
      </w:r>
      <w:r w:rsidRPr="007229E7">
        <w:rPr>
          <w:rFonts w:ascii="Andes" w:hAnsi="Andes" w:cs="Arial"/>
          <w:sz w:val="22"/>
          <w:szCs w:val="22"/>
        </w:rPr>
        <w:t>. Lors de cette phase</w:t>
      </w:r>
      <w:r>
        <w:rPr>
          <w:rFonts w:ascii="Andes" w:hAnsi="Andes" w:cs="Arial"/>
          <w:sz w:val="22"/>
          <w:szCs w:val="22"/>
        </w:rPr>
        <w:t>,</w:t>
      </w:r>
      <w:r w:rsidRPr="007229E7">
        <w:rPr>
          <w:rFonts w:ascii="Andes" w:hAnsi="Andes" w:cs="Arial"/>
          <w:sz w:val="22"/>
          <w:szCs w:val="22"/>
        </w:rPr>
        <w:t xml:space="preserve"> on aura généralement recours au système </w:t>
      </w:r>
      <w:r>
        <w:rPr>
          <w:rFonts w:ascii="Andes" w:hAnsi="Andes" w:cs="Arial"/>
          <w:sz w:val="22"/>
          <w:szCs w:val="22"/>
        </w:rPr>
        <w:t>de la double enveloppe</w:t>
      </w:r>
      <w:r w:rsidRPr="007229E7">
        <w:rPr>
          <w:rFonts w:ascii="Andes" w:hAnsi="Andes" w:cs="Arial"/>
          <w:sz w:val="22"/>
          <w:szCs w:val="22"/>
        </w:rPr>
        <w:t>.</w:t>
      </w:r>
    </w:p>
    <w:p w14:paraId="6CB61B5C" w14:textId="77777777" w:rsidR="00AE5222" w:rsidRPr="007229E7" w:rsidRDefault="00AE5222" w:rsidP="00AE5222">
      <w:pPr>
        <w:pStyle w:val="Paragraphedeliste"/>
        <w:tabs>
          <w:tab w:val="left" w:pos="1710"/>
        </w:tabs>
        <w:spacing w:before="0" w:line="240" w:lineRule="auto"/>
        <w:ind w:left="1714" w:hanging="1080"/>
        <w:contextualSpacing w:val="0"/>
        <w:rPr>
          <w:rFonts w:ascii="Andes" w:hAnsi="Andes" w:cs="Arial"/>
          <w:sz w:val="22"/>
          <w:szCs w:val="22"/>
        </w:rPr>
      </w:pPr>
      <w:r w:rsidRPr="007229E7">
        <w:rPr>
          <w:rFonts w:ascii="Andes" w:hAnsi="Andes" w:cs="Arial"/>
          <w:sz w:val="22"/>
          <w:szCs w:val="22"/>
          <w:u w:val="single"/>
        </w:rPr>
        <w:t>Étape 2</w:t>
      </w:r>
      <w:r w:rsidRPr="007229E7">
        <w:rPr>
          <w:rFonts w:ascii="Calibri" w:hAnsi="Calibri" w:cs="Arial"/>
          <w:sz w:val="22"/>
          <w:szCs w:val="22"/>
          <w:u w:val="single"/>
        </w:rPr>
        <w:t> </w:t>
      </w:r>
      <w:r w:rsidRPr="007229E7">
        <w:rPr>
          <w:rFonts w:ascii="Andes" w:hAnsi="Andes" w:cs="Arial"/>
          <w:sz w:val="22"/>
          <w:szCs w:val="22"/>
        </w:rPr>
        <w:t xml:space="preserve">: </w:t>
      </w:r>
      <w:r w:rsidRPr="007229E7">
        <w:rPr>
          <w:rFonts w:ascii="Andes" w:hAnsi="Andes" w:cs="Arial"/>
          <w:sz w:val="22"/>
          <w:szCs w:val="22"/>
        </w:rPr>
        <w:tab/>
        <w:t>r</w:t>
      </w:r>
      <w:r>
        <w:rPr>
          <w:rFonts w:ascii="Andes" w:hAnsi="Andes" w:cs="Arial"/>
          <w:sz w:val="22"/>
          <w:szCs w:val="22"/>
        </w:rPr>
        <w:t>éception</w:t>
      </w:r>
      <w:r w:rsidRPr="007229E7">
        <w:rPr>
          <w:rFonts w:ascii="Andes" w:hAnsi="Andes" w:cs="Arial"/>
          <w:sz w:val="22"/>
          <w:szCs w:val="22"/>
        </w:rPr>
        <w:t xml:space="preserve"> et </w:t>
      </w:r>
      <w:r>
        <w:rPr>
          <w:rFonts w:ascii="Andes" w:hAnsi="Andes" w:cs="Arial"/>
          <w:sz w:val="22"/>
          <w:szCs w:val="22"/>
        </w:rPr>
        <w:t>ouverture</w:t>
      </w:r>
      <w:r w:rsidRPr="007229E7">
        <w:rPr>
          <w:rFonts w:ascii="Andes" w:hAnsi="Andes" w:cs="Arial"/>
          <w:sz w:val="22"/>
          <w:szCs w:val="22"/>
        </w:rPr>
        <w:t xml:space="preserve"> </w:t>
      </w:r>
      <w:r>
        <w:rPr>
          <w:rFonts w:ascii="Andes" w:hAnsi="Andes" w:cs="Arial"/>
          <w:sz w:val="22"/>
          <w:szCs w:val="22"/>
        </w:rPr>
        <w:t>d</w:t>
      </w:r>
      <w:r w:rsidRPr="007229E7">
        <w:rPr>
          <w:rFonts w:ascii="Andes" w:hAnsi="Andes" w:cs="Arial"/>
          <w:sz w:val="22"/>
          <w:szCs w:val="22"/>
        </w:rPr>
        <w:t xml:space="preserve">es </w:t>
      </w:r>
      <w:r>
        <w:rPr>
          <w:rFonts w:ascii="Andes" w:hAnsi="Andes" w:cs="Arial"/>
          <w:sz w:val="22"/>
          <w:szCs w:val="22"/>
        </w:rPr>
        <w:t xml:space="preserve">plis contenant les </w:t>
      </w:r>
      <w:r w:rsidRPr="007229E7">
        <w:rPr>
          <w:rFonts w:ascii="Andes" w:hAnsi="Andes" w:cs="Arial"/>
          <w:sz w:val="22"/>
          <w:szCs w:val="22"/>
        </w:rPr>
        <w:t xml:space="preserve">Propositions définitives en séance publique. Seules les Propositions techniques sont ouvertes à ce stade. Les Propositions financières restent cachetées.   </w:t>
      </w:r>
    </w:p>
    <w:p w14:paraId="21449122" w14:textId="2D4FD9ED" w:rsidR="00AE5222" w:rsidRPr="007229E7" w:rsidRDefault="00AE5222" w:rsidP="00AE5222">
      <w:pPr>
        <w:pStyle w:val="Paragraphedeliste"/>
        <w:tabs>
          <w:tab w:val="left" w:pos="1710"/>
        </w:tabs>
        <w:spacing w:before="0" w:line="240" w:lineRule="auto"/>
        <w:ind w:left="1714" w:hanging="1080"/>
        <w:contextualSpacing w:val="0"/>
        <w:rPr>
          <w:rFonts w:ascii="Andes" w:hAnsi="Andes" w:cs="Arial"/>
          <w:sz w:val="22"/>
          <w:szCs w:val="22"/>
        </w:rPr>
      </w:pPr>
      <w:r w:rsidRPr="007229E7">
        <w:rPr>
          <w:rFonts w:ascii="Andes" w:hAnsi="Andes" w:cs="Arial"/>
          <w:sz w:val="22"/>
          <w:szCs w:val="22"/>
          <w:u w:val="single"/>
        </w:rPr>
        <w:t>Étape 3</w:t>
      </w:r>
      <w:r w:rsidRPr="007229E7">
        <w:rPr>
          <w:rFonts w:ascii="Calibri" w:hAnsi="Calibri" w:cs="Arial"/>
          <w:sz w:val="22"/>
          <w:szCs w:val="22"/>
          <w:u w:val="single"/>
        </w:rPr>
        <w:t> </w:t>
      </w:r>
      <w:r w:rsidRPr="007229E7">
        <w:rPr>
          <w:rFonts w:ascii="Andes" w:hAnsi="Andes" w:cs="Arial"/>
          <w:sz w:val="22"/>
          <w:szCs w:val="22"/>
        </w:rPr>
        <w:t xml:space="preserve">: </w:t>
      </w:r>
      <w:r w:rsidRPr="007229E7">
        <w:rPr>
          <w:rFonts w:ascii="Andes" w:hAnsi="Andes" w:cs="Arial"/>
          <w:sz w:val="22"/>
          <w:szCs w:val="22"/>
        </w:rPr>
        <w:tab/>
        <w:t xml:space="preserve">l’Emprunteur évalue les Propositions techniques sur la base des </w:t>
      </w:r>
      <w:r w:rsidR="00AA0299">
        <w:rPr>
          <w:rFonts w:ascii="Andes" w:hAnsi="Andes" w:cs="Arial"/>
          <w:sz w:val="22"/>
          <w:szCs w:val="22"/>
        </w:rPr>
        <w:t>C</w:t>
      </w:r>
      <w:r w:rsidRPr="007229E7">
        <w:rPr>
          <w:rFonts w:ascii="Andes" w:hAnsi="Andes" w:cs="Arial"/>
          <w:sz w:val="22"/>
          <w:szCs w:val="22"/>
        </w:rPr>
        <w:t xml:space="preserve">ritères </w:t>
      </w:r>
      <w:r w:rsidR="00AA0299">
        <w:rPr>
          <w:rFonts w:ascii="Andes" w:hAnsi="Andes" w:cs="Arial"/>
          <w:sz w:val="22"/>
          <w:szCs w:val="22"/>
        </w:rPr>
        <w:t xml:space="preserve">d’Evaluation </w:t>
      </w:r>
      <w:r w:rsidRPr="007229E7">
        <w:rPr>
          <w:rFonts w:ascii="Andes" w:hAnsi="Andes" w:cs="Arial"/>
          <w:sz w:val="22"/>
          <w:szCs w:val="22"/>
        </w:rPr>
        <w:t>déf</w:t>
      </w:r>
      <w:r>
        <w:rPr>
          <w:rFonts w:ascii="Andes" w:hAnsi="Andes" w:cs="Arial"/>
          <w:sz w:val="22"/>
          <w:szCs w:val="22"/>
        </w:rPr>
        <w:t>inis dans le dossier d’appel à p</w:t>
      </w:r>
      <w:r w:rsidRPr="007229E7">
        <w:rPr>
          <w:rFonts w:ascii="Andes" w:hAnsi="Andes" w:cs="Arial"/>
          <w:sz w:val="22"/>
          <w:szCs w:val="22"/>
        </w:rPr>
        <w:t xml:space="preserve">ropositions. Il ne devrait pas solliciter de précisions des Proposants. La phase de dialogue </w:t>
      </w:r>
      <w:r>
        <w:rPr>
          <w:rFonts w:ascii="Andes" w:hAnsi="Andes" w:cs="Arial"/>
          <w:sz w:val="22"/>
          <w:szCs w:val="22"/>
        </w:rPr>
        <w:t>étant</w:t>
      </w:r>
      <w:r w:rsidRPr="007229E7">
        <w:rPr>
          <w:rFonts w:ascii="Andes" w:hAnsi="Andes" w:cs="Arial"/>
          <w:sz w:val="22"/>
          <w:szCs w:val="22"/>
        </w:rPr>
        <w:t xml:space="preserve"> close</w:t>
      </w:r>
      <w:r>
        <w:rPr>
          <w:rFonts w:ascii="Andes" w:hAnsi="Andes" w:cs="Arial"/>
          <w:sz w:val="22"/>
          <w:szCs w:val="22"/>
        </w:rPr>
        <w:t>,</w:t>
      </w:r>
      <w:r w:rsidRPr="007229E7">
        <w:rPr>
          <w:rFonts w:ascii="Andes" w:hAnsi="Andes" w:cs="Arial"/>
          <w:sz w:val="22"/>
          <w:szCs w:val="22"/>
        </w:rPr>
        <w:t xml:space="preserve"> aucune autre discussion n’est autorisée.  </w:t>
      </w:r>
    </w:p>
    <w:p w14:paraId="5E8090CE" w14:textId="6B682437" w:rsidR="00AE5222" w:rsidRPr="007229E7" w:rsidRDefault="00AE5222" w:rsidP="00AE5222">
      <w:pPr>
        <w:pStyle w:val="Paragraphedeliste"/>
        <w:tabs>
          <w:tab w:val="left" w:pos="1710"/>
        </w:tabs>
        <w:spacing w:before="0" w:line="240" w:lineRule="auto"/>
        <w:ind w:left="1714" w:hanging="1080"/>
        <w:contextualSpacing w:val="0"/>
        <w:rPr>
          <w:rFonts w:ascii="Andes" w:hAnsi="Andes" w:cs="Arial"/>
          <w:sz w:val="22"/>
          <w:szCs w:val="22"/>
        </w:rPr>
      </w:pPr>
      <w:r w:rsidRPr="007229E7">
        <w:rPr>
          <w:rFonts w:ascii="Andes" w:hAnsi="Andes" w:cs="Arial"/>
          <w:sz w:val="22"/>
          <w:szCs w:val="22"/>
          <w:u w:val="single"/>
        </w:rPr>
        <w:t>Étape 4</w:t>
      </w:r>
      <w:r w:rsidRPr="007229E7">
        <w:rPr>
          <w:rFonts w:ascii="Calibri" w:hAnsi="Calibri" w:cs="Arial"/>
          <w:sz w:val="22"/>
          <w:szCs w:val="22"/>
          <w:u w:val="single"/>
        </w:rPr>
        <w:t> </w:t>
      </w:r>
      <w:r w:rsidRPr="007229E7">
        <w:rPr>
          <w:rFonts w:ascii="Andes" w:hAnsi="Andes" w:cs="Arial"/>
          <w:sz w:val="22"/>
          <w:szCs w:val="22"/>
        </w:rPr>
        <w:t>:</w:t>
      </w:r>
      <w:r w:rsidRPr="007229E7">
        <w:rPr>
          <w:rFonts w:ascii="Andes" w:hAnsi="Andes" w:cs="Arial"/>
          <w:sz w:val="22"/>
          <w:szCs w:val="22"/>
        </w:rPr>
        <w:tab/>
        <w:t xml:space="preserve">l’Emprunteur ouvre les Propositions financières en présence du Garant de probité. En règle générale, cette phase n’est pas publique. L’Emprunteur évalue les Propositions financières sur la base des </w:t>
      </w:r>
      <w:r w:rsidR="00D63BF4">
        <w:rPr>
          <w:rFonts w:ascii="Andes" w:hAnsi="Andes" w:cs="Arial"/>
          <w:sz w:val="22"/>
          <w:szCs w:val="22"/>
        </w:rPr>
        <w:t>C</w:t>
      </w:r>
      <w:r w:rsidRPr="007229E7">
        <w:rPr>
          <w:rFonts w:ascii="Andes" w:hAnsi="Andes" w:cs="Arial"/>
          <w:sz w:val="22"/>
          <w:szCs w:val="22"/>
        </w:rPr>
        <w:t xml:space="preserve">ritères </w:t>
      </w:r>
      <w:r w:rsidR="00D63BF4">
        <w:rPr>
          <w:rFonts w:ascii="Andes" w:hAnsi="Andes" w:cs="Arial"/>
          <w:sz w:val="22"/>
          <w:szCs w:val="22"/>
        </w:rPr>
        <w:t xml:space="preserve">d’Evaluation </w:t>
      </w:r>
      <w:r w:rsidRPr="007229E7">
        <w:rPr>
          <w:rFonts w:ascii="Andes" w:hAnsi="Andes" w:cs="Arial"/>
          <w:sz w:val="22"/>
          <w:szCs w:val="22"/>
        </w:rPr>
        <w:t>déf</w:t>
      </w:r>
      <w:r>
        <w:rPr>
          <w:rFonts w:ascii="Andes" w:hAnsi="Andes" w:cs="Arial"/>
          <w:sz w:val="22"/>
          <w:szCs w:val="22"/>
        </w:rPr>
        <w:t>inis dans le dossier d’appel à p</w:t>
      </w:r>
      <w:r w:rsidRPr="007229E7">
        <w:rPr>
          <w:rFonts w:ascii="Andes" w:hAnsi="Andes" w:cs="Arial"/>
          <w:sz w:val="22"/>
          <w:szCs w:val="22"/>
        </w:rPr>
        <w:t xml:space="preserve">ropositions.  </w:t>
      </w:r>
    </w:p>
    <w:p w14:paraId="0540054F" w14:textId="15423347" w:rsidR="00AE5222" w:rsidRPr="00D67DFA" w:rsidRDefault="00AE5222" w:rsidP="00AE5222">
      <w:pPr>
        <w:pStyle w:val="Paragraphedeliste"/>
        <w:tabs>
          <w:tab w:val="left" w:pos="1710"/>
        </w:tabs>
        <w:spacing w:before="0" w:line="240" w:lineRule="auto"/>
        <w:ind w:left="1714" w:hanging="1080"/>
        <w:contextualSpacing w:val="0"/>
        <w:rPr>
          <w:rFonts w:ascii="Andes" w:hAnsi="Andes" w:cs="Arial"/>
          <w:sz w:val="22"/>
          <w:szCs w:val="22"/>
        </w:rPr>
      </w:pPr>
      <w:r w:rsidRPr="00D67DFA">
        <w:rPr>
          <w:rFonts w:ascii="Andes" w:hAnsi="Andes" w:cs="Arial"/>
          <w:sz w:val="22"/>
          <w:szCs w:val="22"/>
          <w:u w:val="single"/>
        </w:rPr>
        <w:t>Étape 5</w:t>
      </w:r>
      <w:r w:rsidRPr="00D67DFA">
        <w:rPr>
          <w:rFonts w:ascii="Calibri" w:hAnsi="Calibri" w:cs="Arial"/>
          <w:sz w:val="22"/>
          <w:szCs w:val="22"/>
          <w:u w:val="single"/>
        </w:rPr>
        <w:t> </w:t>
      </w:r>
      <w:r w:rsidRPr="00D67DFA">
        <w:rPr>
          <w:rFonts w:ascii="Andes" w:hAnsi="Andes" w:cs="Arial"/>
          <w:sz w:val="22"/>
          <w:szCs w:val="22"/>
        </w:rPr>
        <w:t xml:space="preserve">: </w:t>
      </w:r>
      <w:r w:rsidRPr="00D67DFA">
        <w:rPr>
          <w:rFonts w:ascii="Andes" w:hAnsi="Andes" w:cs="Arial"/>
          <w:sz w:val="22"/>
          <w:szCs w:val="22"/>
        </w:rPr>
        <w:tab/>
        <w:t>à l’issue de l’évaluation, l’Emprun</w:t>
      </w:r>
      <w:r>
        <w:rPr>
          <w:rFonts w:ascii="Andes" w:hAnsi="Andes" w:cs="Arial"/>
          <w:sz w:val="22"/>
          <w:szCs w:val="22"/>
        </w:rPr>
        <w:t>teur retient la Proposition la P</w:t>
      </w:r>
      <w:r w:rsidRPr="00D67DFA">
        <w:rPr>
          <w:rFonts w:ascii="Andes" w:hAnsi="Andes" w:cs="Arial"/>
          <w:sz w:val="22"/>
          <w:szCs w:val="22"/>
        </w:rPr>
        <w:t xml:space="preserve">lus </w:t>
      </w:r>
      <w:r>
        <w:rPr>
          <w:rFonts w:ascii="Andes" w:hAnsi="Andes" w:cs="Arial"/>
          <w:sz w:val="22"/>
          <w:szCs w:val="22"/>
        </w:rPr>
        <w:t>A</w:t>
      </w:r>
      <w:r w:rsidRPr="00D67DFA">
        <w:rPr>
          <w:rFonts w:ascii="Andes" w:hAnsi="Andes" w:cs="Arial"/>
          <w:sz w:val="22"/>
          <w:szCs w:val="22"/>
        </w:rPr>
        <w:t xml:space="preserve">vantageuse à laquelle le marché est attribué selon les </w:t>
      </w:r>
      <w:r w:rsidR="00D63BF4">
        <w:rPr>
          <w:rFonts w:ascii="Andes" w:hAnsi="Andes" w:cs="Arial"/>
          <w:sz w:val="22"/>
          <w:szCs w:val="22"/>
        </w:rPr>
        <w:t>C</w:t>
      </w:r>
      <w:r w:rsidRPr="00D67DFA">
        <w:rPr>
          <w:rFonts w:ascii="Andes" w:hAnsi="Andes" w:cs="Arial"/>
          <w:sz w:val="22"/>
          <w:szCs w:val="22"/>
        </w:rPr>
        <w:t xml:space="preserve">ritères </w:t>
      </w:r>
      <w:r w:rsidR="00D63BF4">
        <w:rPr>
          <w:rFonts w:ascii="Andes" w:hAnsi="Andes" w:cs="Arial"/>
          <w:sz w:val="22"/>
          <w:szCs w:val="22"/>
        </w:rPr>
        <w:t>d</w:t>
      </w:r>
      <w:r w:rsidR="00F67CA6">
        <w:rPr>
          <w:rFonts w:ascii="Andes" w:hAnsi="Andes" w:cs="Arial"/>
          <w:sz w:val="22"/>
          <w:szCs w:val="22"/>
        </w:rPr>
        <w:t>’Eva</w:t>
      </w:r>
      <w:r w:rsidR="00D63BF4">
        <w:rPr>
          <w:rFonts w:ascii="Andes" w:hAnsi="Andes" w:cs="Arial"/>
          <w:sz w:val="22"/>
          <w:szCs w:val="22"/>
        </w:rPr>
        <w:t>luation</w:t>
      </w:r>
      <w:r w:rsidR="003F2CC5">
        <w:rPr>
          <w:rFonts w:ascii="Andes" w:hAnsi="Andes" w:cs="Arial"/>
          <w:sz w:val="22"/>
          <w:szCs w:val="22"/>
        </w:rPr>
        <w:t>, incluant les C</w:t>
      </w:r>
      <w:r w:rsidR="00F67CA6">
        <w:rPr>
          <w:rFonts w:ascii="Andes" w:hAnsi="Andes" w:cs="Arial"/>
          <w:sz w:val="22"/>
          <w:szCs w:val="22"/>
        </w:rPr>
        <w:t>r</w:t>
      </w:r>
      <w:r w:rsidR="003F2CC5">
        <w:rPr>
          <w:rFonts w:ascii="Andes" w:hAnsi="Andes" w:cs="Arial"/>
          <w:sz w:val="22"/>
          <w:szCs w:val="22"/>
        </w:rPr>
        <w:t xml:space="preserve">itères </w:t>
      </w:r>
      <w:r w:rsidR="00F67CA6">
        <w:rPr>
          <w:rFonts w:ascii="Andes" w:hAnsi="Andes" w:cs="Arial"/>
          <w:sz w:val="22"/>
          <w:szCs w:val="22"/>
        </w:rPr>
        <w:t xml:space="preserve">Notés </w:t>
      </w:r>
      <w:r w:rsidR="003F2CC5">
        <w:rPr>
          <w:rFonts w:ascii="Andes" w:hAnsi="Andes" w:cs="Arial"/>
          <w:sz w:val="22"/>
          <w:szCs w:val="22"/>
        </w:rPr>
        <w:t>non Chiffrés</w:t>
      </w:r>
      <w:r w:rsidR="00F67CA6">
        <w:rPr>
          <w:rFonts w:ascii="Andes" w:hAnsi="Andes" w:cs="Arial"/>
          <w:sz w:val="22"/>
          <w:szCs w:val="22"/>
        </w:rPr>
        <w:t xml:space="preserve">/Qualitatifs </w:t>
      </w:r>
      <w:r w:rsidRPr="00D67DFA">
        <w:rPr>
          <w:rFonts w:ascii="Andes" w:hAnsi="Andes" w:cs="Arial"/>
          <w:sz w:val="22"/>
          <w:szCs w:val="22"/>
        </w:rPr>
        <w:t>spécifiés dans le dossier d’appe</w:t>
      </w:r>
      <w:r>
        <w:rPr>
          <w:rFonts w:ascii="Andes" w:hAnsi="Andes" w:cs="Arial"/>
          <w:sz w:val="22"/>
          <w:szCs w:val="22"/>
        </w:rPr>
        <w:t>l à p</w:t>
      </w:r>
      <w:r w:rsidRPr="00D67DFA">
        <w:rPr>
          <w:rFonts w:ascii="Andes" w:hAnsi="Andes" w:cs="Arial"/>
          <w:sz w:val="22"/>
          <w:szCs w:val="22"/>
        </w:rPr>
        <w:t xml:space="preserve">ropositions.  </w:t>
      </w:r>
    </w:p>
    <w:p w14:paraId="04184C58" w14:textId="77777777" w:rsidR="00AE5222" w:rsidRPr="00D67DFA" w:rsidRDefault="00AE5222" w:rsidP="00AE5222">
      <w:pPr>
        <w:pStyle w:val="Paragraphedeliste"/>
        <w:tabs>
          <w:tab w:val="left" w:pos="1710"/>
        </w:tabs>
        <w:spacing w:before="0" w:line="240" w:lineRule="auto"/>
        <w:ind w:left="1714" w:hanging="1080"/>
        <w:contextualSpacing w:val="0"/>
        <w:rPr>
          <w:rFonts w:ascii="Andes" w:hAnsi="Andes" w:cs="Arial"/>
          <w:sz w:val="22"/>
          <w:szCs w:val="22"/>
        </w:rPr>
      </w:pPr>
      <w:r w:rsidRPr="00D67DFA">
        <w:rPr>
          <w:rFonts w:ascii="Andes" w:hAnsi="Andes" w:cs="Arial"/>
          <w:sz w:val="22"/>
          <w:szCs w:val="22"/>
          <w:u w:val="single"/>
        </w:rPr>
        <w:lastRenderedPageBreak/>
        <w:t>Étape 6</w:t>
      </w:r>
      <w:r w:rsidRPr="00D67DFA">
        <w:rPr>
          <w:rFonts w:ascii="Calibri" w:hAnsi="Calibri" w:cs="Arial"/>
          <w:sz w:val="22"/>
          <w:szCs w:val="22"/>
          <w:u w:val="single"/>
        </w:rPr>
        <w:t> </w:t>
      </w:r>
      <w:r w:rsidRPr="00D67DFA">
        <w:rPr>
          <w:rFonts w:ascii="Andes" w:hAnsi="Andes" w:cs="Arial"/>
          <w:sz w:val="22"/>
          <w:szCs w:val="22"/>
        </w:rPr>
        <w:t xml:space="preserve">: </w:t>
      </w:r>
      <w:r w:rsidRPr="00D67DFA">
        <w:rPr>
          <w:rFonts w:ascii="Andes" w:hAnsi="Andes" w:cs="Arial"/>
          <w:sz w:val="22"/>
          <w:szCs w:val="22"/>
        </w:rPr>
        <w:tab/>
        <w:t xml:space="preserve">une fois que la Proposition la </w:t>
      </w:r>
      <w:r>
        <w:rPr>
          <w:rFonts w:ascii="Andes" w:hAnsi="Andes" w:cs="Arial"/>
          <w:sz w:val="22"/>
          <w:szCs w:val="22"/>
        </w:rPr>
        <w:t>Plus A</w:t>
      </w:r>
      <w:r w:rsidRPr="00D67DFA">
        <w:rPr>
          <w:rFonts w:ascii="Andes" w:hAnsi="Andes" w:cs="Arial"/>
          <w:sz w:val="22"/>
          <w:szCs w:val="22"/>
        </w:rPr>
        <w:t>vantageuse a été retenue, l’Emprunteur et le Proposant sélectionné peaufinent la solution. Cette procédure n’est appliquée qu’à des fins de précisions et de confirmation et ne doit en aucun cas donner lieu à une modification substantielle de la Proposition définitive que l’Emprunteur a décidé de retenir.</w:t>
      </w:r>
    </w:p>
    <w:p w14:paraId="333578A1" w14:textId="27B5EC35" w:rsidR="00AE5222" w:rsidRPr="00D67DFA" w:rsidRDefault="00AE5222" w:rsidP="00AE5222">
      <w:pPr>
        <w:pStyle w:val="Paragraphedeliste"/>
        <w:tabs>
          <w:tab w:val="left" w:pos="1710"/>
        </w:tabs>
        <w:spacing w:before="0" w:line="240" w:lineRule="auto"/>
        <w:ind w:left="1714" w:hanging="1080"/>
        <w:contextualSpacing w:val="0"/>
        <w:rPr>
          <w:rFonts w:ascii="Andes" w:eastAsiaTheme="minorHAnsi" w:hAnsi="Andes" w:cs="Arial"/>
          <w:color w:val="000000"/>
          <w:sz w:val="22"/>
          <w:szCs w:val="22"/>
        </w:rPr>
      </w:pPr>
      <w:r w:rsidRPr="00D67DFA">
        <w:rPr>
          <w:rFonts w:ascii="Andes" w:hAnsi="Andes" w:cs="Arial"/>
          <w:sz w:val="22"/>
          <w:szCs w:val="22"/>
          <w:u w:val="single"/>
        </w:rPr>
        <w:t>Étape 7</w:t>
      </w:r>
      <w:r w:rsidRPr="00D67DFA">
        <w:rPr>
          <w:rFonts w:ascii="Calibri" w:hAnsi="Calibri" w:cs="Arial"/>
          <w:sz w:val="22"/>
          <w:szCs w:val="22"/>
          <w:u w:val="single"/>
        </w:rPr>
        <w:t> </w:t>
      </w:r>
      <w:r w:rsidRPr="00D67DFA">
        <w:rPr>
          <w:rFonts w:ascii="Andes" w:hAnsi="Andes" w:cs="Arial"/>
          <w:sz w:val="22"/>
          <w:szCs w:val="22"/>
        </w:rPr>
        <w:t xml:space="preserve">: </w:t>
      </w:r>
      <w:r w:rsidRPr="00D67DFA">
        <w:rPr>
          <w:rFonts w:ascii="Andes" w:hAnsi="Andes" w:cs="Arial"/>
          <w:sz w:val="22"/>
          <w:szCs w:val="22"/>
        </w:rPr>
        <w:tab/>
        <w:t xml:space="preserve">à ce stade de la procédure le Vérificateur de probité prépare son rapport, qui sera remis à l’Emprunteur et une copie envoyée à la Banque. </w:t>
      </w:r>
      <w:r>
        <w:rPr>
          <w:rFonts w:ascii="Andes" w:hAnsi="Andes" w:cs="Arial"/>
          <w:sz w:val="22"/>
          <w:szCs w:val="22"/>
        </w:rPr>
        <w:t>Pour remplir les conditions de transparence et d’éthique de responsabilité</w:t>
      </w:r>
      <w:r w:rsidRPr="00D67DFA">
        <w:rPr>
          <w:rFonts w:ascii="Andes" w:hAnsi="Andes" w:cs="Arial"/>
          <w:sz w:val="22"/>
          <w:szCs w:val="22"/>
        </w:rPr>
        <w:t>, l’Emprunteur communique le rapport de probité (expurgé de toutes les informations confidentielles) à tous les Proposants ayant participé à la phase de dialogue et le publie sur son site web</w:t>
      </w:r>
      <w:r w:rsidRPr="00D67DFA">
        <w:rPr>
          <w:rFonts w:ascii="Calibri" w:hAnsi="Calibri" w:cs="Calibri"/>
          <w:sz w:val="22"/>
          <w:szCs w:val="22"/>
        </w:rPr>
        <w:t xml:space="preserve">. </w:t>
      </w:r>
      <w:r w:rsidRPr="00D67DFA">
        <w:rPr>
          <w:rFonts w:ascii="Andes" w:hAnsi="Andes" w:cs="Calibri"/>
          <w:sz w:val="22"/>
          <w:szCs w:val="22"/>
        </w:rPr>
        <w:t>Il transmet parallèlement l</w:t>
      </w:r>
      <w:r w:rsidR="00DE37B0">
        <w:rPr>
          <w:rFonts w:ascii="Andes" w:hAnsi="Andes" w:cs="Calibri"/>
          <w:sz w:val="22"/>
          <w:szCs w:val="22"/>
        </w:rPr>
        <w:t xml:space="preserve">a Notification </w:t>
      </w:r>
      <w:r w:rsidRPr="00D67DFA">
        <w:rPr>
          <w:rFonts w:ascii="Andes" w:hAnsi="Andes" w:cs="Calibri"/>
          <w:sz w:val="22"/>
          <w:szCs w:val="22"/>
        </w:rPr>
        <w:t>de son intention d’attribuer le marché</w:t>
      </w:r>
      <w:r w:rsidRPr="00D67DFA">
        <w:rPr>
          <w:rFonts w:ascii="Andes" w:eastAsiaTheme="minorHAnsi" w:hAnsi="Andes" w:cs="Arial"/>
          <w:color w:val="000000"/>
          <w:sz w:val="22"/>
          <w:szCs w:val="22"/>
        </w:rPr>
        <w:t xml:space="preserve">.  </w:t>
      </w:r>
    </w:p>
    <w:p w14:paraId="256175DB" w14:textId="1336A8ED" w:rsidR="00AE5222" w:rsidRPr="00D67DFA" w:rsidRDefault="00AE5222" w:rsidP="00AE5222">
      <w:pPr>
        <w:pStyle w:val="Paragraphedeliste"/>
        <w:tabs>
          <w:tab w:val="left" w:pos="1710"/>
        </w:tabs>
        <w:spacing w:before="0" w:line="240" w:lineRule="auto"/>
        <w:ind w:left="1714" w:hanging="1080"/>
        <w:contextualSpacing w:val="0"/>
        <w:rPr>
          <w:rFonts w:ascii="Andes" w:hAnsi="Andes" w:cs="Arial"/>
          <w:b/>
          <w:sz w:val="22"/>
          <w:szCs w:val="22"/>
        </w:rPr>
      </w:pPr>
      <w:r w:rsidRPr="00D67DFA">
        <w:rPr>
          <w:rFonts w:ascii="Andes" w:hAnsi="Andes" w:cs="Arial"/>
          <w:sz w:val="22"/>
          <w:szCs w:val="22"/>
          <w:u w:val="single"/>
        </w:rPr>
        <w:t>Étape 8</w:t>
      </w:r>
      <w:r w:rsidRPr="00D67DFA">
        <w:rPr>
          <w:rFonts w:ascii="Calibri" w:hAnsi="Calibri" w:cs="Arial"/>
          <w:sz w:val="22"/>
          <w:szCs w:val="22"/>
          <w:u w:val="single"/>
        </w:rPr>
        <w:t> :</w:t>
      </w:r>
      <w:r w:rsidRPr="00D67DFA">
        <w:rPr>
          <w:rFonts w:ascii="Arial" w:eastAsiaTheme="minorHAnsi" w:hAnsi="Arial" w:cs="Arial"/>
          <w:b/>
          <w:color w:val="000000"/>
          <w:sz w:val="22"/>
          <w:szCs w:val="22"/>
        </w:rPr>
        <w:t xml:space="preserve"> </w:t>
      </w:r>
      <w:r w:rsidRPr="00D67DFA">
        <w:rPr>
          <w:rFonts w:ascii="Arial" w:eastAsiaTheme="minorHAnsi" w:hAnsi="Arial" w:cs="Arial"/>
          <w:b/>
          <w:color w:val="000000"/>
          <w:sz w:val="22"/>
          <w:szCs w:val="22"/>
        </w:rPr>
        <w:tab/>
      </w:r>
      <w:r w:rsidRPr="00D67DFA">
        <w:rPr>
          <w:rFonts w:ascii="Arial" w:eastAsiaTheme="minorHAnsi" w:hAnsi="Arial" w:cs="Arial"/>
          <w:b/>
          <w:color w:val="000000"/>
          <w:sz w:val="22"/>
          <w:szCs w:val="22"/>
        </w:rPr>
        <w:tab/>
      </w:r>
      <w:r w:rsidRPr="00D67DFA">
        <w:rPr>
          <w:rFonts w:ascii="Arial" w:eastAsiaTheme="minorHAnsi" w:hAnsi="Arial" w:cs="Arial"/>
          <w:b/>
          <w:color w:val="000000"/>
          <w:sz w:val="22"/>
          <w:szCs w:val="22"/>
        </w:rPr>
        <w:tab/>
      </w:r>
      <w:r w:rsidRPr="00D67DFA">
        <w:rPr>
          <w:rFonts w:ascii="Andes" w:eastAsiaTheme="minorHAnsi" w:hAnsi="Andes" w:cs="Arial"/>
          <w:color w:val="000000"/>
          <w:sz w:val="22"/>
          <w:szCs w:val="22"/>
        </w:rPr>
        <w:t xml:space="preserve">Notification </w:t>
      </w:r>
      <w:r>
        <w:rPr>
          <w:rFonts w:ascii="Andes" w:eastAsiaTheme="minorHAnsi" w:hAnsi="Andes" w:cs="Arial"/>
          <w:color w:val="000000"/>
          <w:sz w:val="22"/>
          <w:szCs w:val="22"/>
        </w:rPr>
        <w:t>d</w:t>
      </w:r>
      <w:r w:rsidRPr="00D67DFA">
        <w:rPr>
          <w:rFonts w:ascii="Andes" w:eastAsiaTheme="minorHAnsi" w:hAnsi="Andes" w:cs="Arial"/>
          <w:color w:val="000000"/>
          <w:sz w:val="22"/>
          <w:szCs w:val="22"/>
        </w:rPr>
        <w:t>’intention d’attribu</w:t>
      </w:r>
      <w:r>
        <w:rPr>
          <w:rFonts w:ascii="Andes" w:eastAsiaTheme="minorHAnsi" w:hAnsi="Andes" w:cs="Arial"/>
          <w:color w:val="000000"/>
          <w:sz w:val="22"/>
          <w:szCs w:val="22"/>
        </w:rPr>
        <w:t>tion d</w:t>
      </w:r>
      <w:r w:rsidRPr="00D67DFA">
        <w:rPr>
          <w:rFonts w:ascii="Andes" w:eastAsiaTheme="minorHAnsi" w:hAnsi="Andes" w:cs="Arial"/>
          <w:color w:val="000000"/>
          <w:sz w:val="22"/>
          <w:szCs w:val="22"/>
        </w:rPr>
        <w:t xml:space="preserve">e marché et délai </w:t>
      </w:r>
      <w:r w:rsidR="00DE168F">
        <w:rPr>
          <w:rFonts w:ascii="Andes" w:eastAsiaTheme="minorHAnsi" w:hAnsi="Andes" w:cs="Arial"/>
          <w:color w:val="000000"/>
          <w:sz w:val="22"/>
          <w:szCs w:val="22"/>
        </w:rPr>
        <w:t>d’attente</w:t>
      </w:r>
      <w:r w:rsidRPr="00D67DFA">
        <w:rPr>
          <w:rFonts w:ascii="Calibri" w:eastAsiaTheme="minorHAnsi" w:hAnsi="Calibri" w:cs="Arial"/>
          <w:color w:val="000000"/>
          <w:sz w:val="22"/>
          <w:szCs w:val="22"/>
        </w:rPr>
        <w:t> </w:t>
      </w:r>
      <w:r w:rsidRPr="00D67DFA">
        <w:rPr>
          <w:rFonts w:ascii="Andes" w:eastAsiaTheme="minorHAnsi" w:hAnsi="Andes" w:cs="Arial"/>
          <w:color w:val="000000"/>
          <w:sz w:val="22"/>
          <w:szCs w:val="22"/>
        </w:rPr>
        <w:t xml:space="preserve">: l’Emprunteur notifie les Proposants de son intention d’attribuer le marché. Cette démarche déclenche le délai </w:t>
      </w:r>
      <w:r w:rsidR="00DE168F">
        <w:rPr>
          <w:rFonts w:ascii="Andes" w:eastAsiaTheme="minorHAnsi" w:hAnsi="Andes" w:cs="Arial"/>
          <w:color w:val="000000"/>
          <w:sz w:val="22"/>
          <w:szCs w:val="22"/>
        </w:rPr>
        <w:t>d’attente</w:t>
      </w:r>
      <w:r w:rsidRPr="00D67DFA">
        <w:rPr>
          <w:rFonts w:ascii="Andes" w:eastAsiaTheme="minorHAnsi" w:hAnsi="Andes" w:cs="Arial"/>
          <w:color w:val="000000"/>
          <w:sz w:val="22"/>
          <w:szCs w:val="22"/>
        </w:rPr>
        <w:t>. Selon les cas, l’Emprunteur f</w:t>
      </w:r>
      <w:r>
        <w:rPr>
          <w:rFonts w:ascii="Andes" w:eastAsiaTheme="minorHAnsi" w:hAnsi="Andes" w:cs="Arial"/>
          <w:color w:val="000000"/>
          <w:sz w:val="22"/>
          <w:szCs w:val="22"/>
        </w:rPr>
        <w:t>ait un débriefing</w:t>
      </w:r>
      <w:r w:rsidRPr="00D67DFA">
        <w:rPr>
          <w:rFonts w:ascii="Andes" w:eastAsiaTheme="minorHAnsi" w:hAnsi="Andes" w:cs="Arial"/>
          <w:color w:val="000000"/>
          <w:sz w:val="22"/>
          <w:szCs w:val="22"/>
        </w:rPr>
        <w:t xml:space="preserve"> et gère les plaintes relatives à sa décision d’attribuer le marché.  </w:t>
      </w:r>
    </w:p>
    <w:p w14:paraId="26F32355" w14:textId="6ABD27D7" w:rsidR="00AE5222" w:rsidRPr="00D31076" w:rsidRDefault="00AE5222" w:rsidP="00AE5222">
      <w:pPr>
        <w:pStyle w:val="Paragraphedeliste"/>
        <w:tabs>
          <w:tab w:val="left" w:pos="1710"/>
        </w:tabs>
        <w:spacing w:before="0" w:line="240" w:lineRule="auto"/>
        <w:ind w:left="1714" w:hanging="1080"/>
        <w:contextualSpacing w:val="0"/>
        <w:rPr>
          <w:rFonts w:ascii="Andes" w:hAnsi="Andes" w:cs="Arial"/>
          <w:sz w:val="22"/>
          <w:szCs w:val="22"/>
        </w:rPr>
      </w:pPr>
      <w:r w:rsidRPr="00D67DFA">
        <w:rPr>
          <w:rFonts w:ascii="Andes" w:eastAsiaTheme="minorHAnsi" w:hAnsi="Andes" w:cs="Arial"/>
          <w:color w:val="000000"/>
          <w:sz w:val="22"/>
          <w:szCs w:val="22"/>
          <w:u w:val="single"/>
        </w:rPr>
        <w:t>Étape 9</w:t>
      </w:r>
      <w:r w:rsidRPr="00D67DFA">
        <w:rPr>
          <w:rFonts w:ascii="Calibri" w:eastAsiaTheme="minorHAnsi" w:hAnsi="Calibri" w:cs="Arial"/>
          <w:color w:val="000000"/>
          <w:sz w:val="22"/>
          <w:szCs w:val="22"/>
          <w:u w:val="single"/>
        </w:rPr>
        <w:t> </w:t>
      </w:r>
      <w:r w:rsidRPr="00D67DFA">
        <w:rPr>
          <w:rFonts w:ascii="Andes" w:eastAsiaTheme="minorHAnsi" w:hAnsi="Andes" w:cs="Arial"/>
          <w:color w:val="000000"/>
          <w:sz w:val="22"/>
          <w:szCs w:val="22"/>
          <w:u w:val="single"/>
        </w:rPr>
        <w:t>:</w:t>
      </w:r>
      <w:r w:rsidRPr="00D67DFA">
        <w:rPr>
          <w:rFonts w:ascii="Andes" w:eastAsiaTheme="minorHAnsi" w:hAnsi="Andes" w:cs="Arial"/>
          <w:color w:val="000000"/>
          <w:sz w:val="22"/>
          <w:szCs w:val="22"/>
        </w:rPr>
        <w:t xml:space="preserve">  </w:t>
      </w:r>
      <w:r w:rsidRPr="00D67DFA">
        <w:rPr>
          <w:rFonts w:ascii="Andes" w:eastAsiaTheme="minorHAnsi" w:hAnsi="Andes" w:cs="Arial"/>
          <w:color w:val="000000"/>
          <w:sz w:val="22"/>
          <w:szCs w:val="22"/>
        </w:rPr>
        <w:tab/>
        <w:t xml:space="preserve">l’Emprunteur publie l’avis d’attribution du marché à l’expiration du délai </w:t>
      </w:r>
      <w:r w:rsidR="00DE168F">
        <w:rPr>
          <w:rFonts w:ascii="Andes" w:eastAsiaTheme="minorHAnsi" w:hAnsi="Andes" w:cs="Arial"/>
          <w:color w:val="000000"/>
          <w:sz w:val="22"/>
          <w:szCs w:val="22"/>
        </w:rPr>
        <w:t>d’attente</w:t>
      </w:r>
      <w:r w:rsidRPr="00D67DFA">
        <w:rPr>
          <w:rFonts w:ascii="Andes" w:eastAsiaTheme="minorHAnsi" w:hAnsi="Andes" w:cs="Arial"/>
          <w:color w:val="000000"/>
          <w:sz w:val="22"/>
          <w:szCs w:val="22"/>
        </w:rPr>
        <w:t>. L’attribution</w:t>
      </w:r>
      <w:r>
        <w:rPr>
          <w:rFonts w:ascii="Andes" w:eastAsiaTheme="minorHAnsi" w:hAnsi="Andes" w:cs="Arial"/>
          <w:color w:val="000000"/>
          <w:sz w:val="22"/>
          <w:szCs w:val="22"/>
        </w:rPr>
        <w:t xml:space="preserve"> du marché et </w:t>
      </w:r>
      <w:r w:rsidRPr="00D67DFA">
        <w:rPr>
          <w:rFonts w:ascii="Andes" w:eastAsiaTheme="minorHAnsi" w:hAnsi="Andes" w:cs="Arial"/>
          <w:color w:val="000000"/>
          <w:sz w:val="22"/>
          <w:szCs w:val="22"/>
        </w:rPr>
        <w:t xml:space="preserve">l’Avis d’attribution du marché sont </w:t>
      </w:r>
      <w:r>
        <w:rPr>
          <w:rFonts w:ascii="Andes" w:eastAsiaTheme="minorHAnsi" w:hAnsi="Andes" w:cs="Arial"/>
          <w:color w:val="000000"/>
          <w:sz w:val="22"/>
          <w:szCs w:val="22"/>
        </w:rPr>
        <w:t xml:space="preserve">rendus publics </w:t>
      </w:r>
      <w:r w:rsidRPr="00D67DFA">
        <w:rPr>
          <w:rFonts w:ascii="Andes" w:eastAsiaTheme="minorHAnsi" w:hAnsi="Andes" w:cs="Arial"/>
          <w:color w:val="000000"/>
          <w:sz w:val="22"/>
          <w:szCs w:val="22"/>
        </w:rPr>
        <w:t>conformément aux dispositions des paragraphes 5.88 à 5</w:t>
      </w:r>
      <w:r w:rsidRPr="00D31076">
        <w:rPr>
          <w:rFonts w:ascii="Andes" w:eastAsiaTheme="minorHAnsi" w:hAnsi="Andes" w:cs="Arial"/>
          <w:color w:val="000000"/>
          <w:sz w:val="22"/>
          <w:szCs w:val="22"/>
        </w:rPr>
        <w:t xml:space="preserve">.92 (Fin du Délai </w:t>
      </w:r>
      <w:r w:rsidR="00DE168F">
        <w:rPr>
          <w:rFonts w:ascii="Andes" w:eastAsiaTheme="minorHAnsi" w:hAnsi="Andes" w:cs="Arial"/>
          <w:color w:val="000000"/>
          <w:sz w:val="22"/>
          <w:szCs w:val="22"/>
        </w:rPr>
        <w:t>d’</w:t>
      </w:r>
      <w:r w:rsidR="00A553EE">
        <w:rPr>
          <w:rFonts w:ascii="Andes" w:eastAsiaTheme="minorHAnsi" w:hAnsi="Andes" w:cs="Arial"/>
          <w:color w:val="000000"/>
          <w:sz w:val="22"/>
          <w:szCs w:val="22"/>
        </w:rPr>
        <w:t>A</w:t>
      </w:r>
      <w:r w:rsidR="00DE168F">
        <w:rPr>
          <w:rFonts w:ascii="Andes" w:eastAsiaTheme="minorHAnsi" w:hAnsi="Andes" w:cs="Arial"/>
          <w:color w:val="000000"/>
          <w:sz w:val="22"/>
          <w:szCs w:val="22"/>
        </w:rPr>
        <w:t>ttente</w:t>
      </w:r>
      <w:r w:rsidRPr="00D31076">
        <w:rPr>
          <w:rFonts w:ascii="Andes" w:eastAsiaTheme="minorHAnsi" w:hAnsi="Andes" w:cs="Arial"/>
          <w:color w:val="000000"/>
          <w:sz w:val="22"/>
          <w:szCs w:val="22"/>
        </w:rPr>
        <w:t xml:space="preserve"> et attribution de marché), et 5.93 à 5.95 (Avis d’Attribution de Marché/Contrat).</w:t>
      </w:r>
    </w:p>
    <w:p w14:paraId="589F4660" w14:textId="77777777" w:rsidR="00AE5222" w:rsidRPr="00D31076" w:rsidRDefault="00AE5222" w:rsidP="00AE5222">
      <w:pPr>
        <w:pStyle w:val="Paragraphedeliste"/>
        <w:numPr>
          <w:ilvl w:val="0"/>
          <w:numId w:val="134"/>
        </w:numPr>
        <w:spacing w:before="240"/>
        <w:ind w:left="630" w:hanging="630"/>
        <w:contextualSpacing w:val="0"/>
        <w:rPr>
          <w:rFonts w:ascii="Andes" w:eastAsiaTheme="majorEastAsia" w:hAnsi="Andes"/>
          <w:b/>
          <w:color w:val="C45911"/>
          <w:sz w:val="32"/>
          <w:szCs w:val="32"/>
        </w:rPr>
      </w:pPr>
      <w:bookmarkStart w:id="3592" w:name="_Toc453171015"/>
      <w:r w:rsidRPr="00D31076">
        <w:rPr>
          <w:rFonts w:ascii="Andes" w:eastAsiaTheme="majorEastAsia" w:hAnsi="Andes"/>
          <w:b/>
          <w:color w:val="C45911"/>
          <w:sz w:val="32"/>
          <w:szCs w:val="32"/>
        </w:rPr>
        <w:t>Procédure du dialogue et facteurs pris en compte</w:t>
      </w:r>
      <w:bookmarkEnd w:id="3592"/>
    </w:p>
    <w:p w14:paraId="715BAA30" w14:textId="39376978" w:rsidR="00AE5222" w:rsidRPr="00D67DFA" w:rsidRDefault="00AE5222" w:rsidP="00AE5222">
      <w:pPr>
        <w:pStyle w:val="Paragraphedeliste"/>
        <w:numPr>
          <w:ilvl w:val="0"/>
          <w:numId w:val="97"/>
        </w:numPr>
        <w:tabs>
          <w:tab w:val="left" w:pos="630"/>
        </w:tabs>
        <w:spacing w:before="0" w:line="240" w:lineRule="auto"/>
        <w:ind w:left="630"/>
        <w:contextualSpacing w:val="0"/>
        <w:rPr>
          <w:rFonts w:ascii="Andes" w:hAnsi="Andes" w:cs="Arial"/>
          <w:sz w:val="22"/>
          <w:szCs w:val="22"/>
        </w:rPr>
      </w:pPr>
      <w:r w:rsidRPr="00D67DFA">
        <w:rPr>
          <w:rFonts w:ascii="Andes" w:hAnsi="Andes" w:cs="Arial"/>
          <w:sz w:val="22"/>
          <w:szCs w:val="22"/>
        </w:rPr>
        <w:t xml:space="preserve">Le dialogue se déroule sous la forme de réunions confidentielles avec chacun des Proposants </w:t>
      </w:r>
      <w:r>
        <w:rPr>
          <w:rFonts w:ascii="Andes" w:hAnsi="Andes" w:cs="Arial"/>
          <w:sz w:val="22"/>
          <w:szCs w:val="22"/>
        </w:rPr>
        <w:t>Initialement S</w:t>
      </w:r>
      <w:r w:rsidRPr="00D67DFA">
        <w:rPr>
          <w:rFonts w:ascii="Andes" w:hAnsi="Andes" w:cs="Arial"/>
          <w:sz w:val="22"/>
          <w:szCs w:val="22"/>
        </w:rPr>
        <w:t xml:space="preserve">électionnés pour discuter de tous les aspects de la Proposition soumise, notamment des détails de la solution, des aspects commerciaux, du prix, </w:t>
      </w:r>
      <w:r w:rsidR="00C85AE9">
        <w:rPr>
          <w:rFonts w:ascii="Andes" w:hAnsi="Andes" w:cs="Arial"/>
          <w:sz w:val="22"/>
          <w:szCs w:val="22"/>
        </w:rPr>
        <w:t xml:space="preserve">des aspects légaux, </w:t>
      </w:r>
      <w:r w:rsidRPr="00D67DFA">
        <w:rPr>
          <w:rFonts w:ascii="Andes" w:hAnsi="Andes" w:cs="Arial"/>
          <w:sz w:val="22"/>
          <w:szCs w:val="22"/>
        </w:rPr>
        <w:t>et de tout autre facteur que l’Emprunteur juge pertinent. La procédure et les éléments pris en compte sont les suivants</w:t>
      </w:r>
      <w:r w:rsidRPr="00D67DFA">
        <w:rPr>
          <w:rFonts w:ascii="Calibri" w:hAnsi="Calibri" w:cs="Arial"/>
          <w:sz w:val="22"/>
          <w:szCs w:val="22"/>
        </w:rPr>
        <w:t> </w:t>
      </w:r>
      <w:r w:rsidRPr="00D67DFA">
        <w:rPr>
          <w:rFonts w:ascii="Andes" w:hAnsi="Andes" w:cs="Arial"/>
          <w:sz w:val="22"/>
          <w:szCs w:val="22"/>
        </w:rPr>
        <w:t>:</w:t>
      </w:r>
    </w:p>
    <w:p w14:paraId="649CE10E" w14:textId="77777777" w:rsidR="00AE5222" w:rsidRPr="00D67DFA" w:rsidRDefault="00AE5222" w:rsidP="00AE5222">
      <w:pPr>
        <w:pStyle w:val="Paragraphedeliste"/>
        <w:numPr>
          <w:ilvl w:val="0"/>
          <w:numId w:val="198"/>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l</w:t>
      </w:r>
      <w:r w:rsidRPr="00D67DFA">
        <w:rPr>
          <w:rFonts w:ascii="Andes" w:eastAsiaTheme="minorHAnsi" w:hAnsi="Andes" w:cs="Arial"/>
          <w:color w:val="000000"/>
          <w:sz w:val="22"/>
          <w:szCs w:val="22"/>
        </w:rPr>
        <w:t>’invitation à participer à la phase de dialogue réaffirme les besoins et les exigences du projet, décrit la procédure et fixe les critères d’attribution sur la base de la Proposition définitive</w:t>
      </w:r>
      <w:r w:rsidRPr="00D67DFA">
        <w:rPr>
          <w:rFonts w:ascii="Calibri" w:eastAsiaTheme="minorHAnsi" w:hAnsi="Calibri" w:cs="Arial"/>
          <w:color w:val="000000"/>
          <w:sz w:val="22"/>
          <w:szCs w:val="22"/>
        </w:rPr>
        <w:t> </w:t>
      </w:r>
      <w:r w:rsidRPr="00D67DFA">
        <w:rPr>
          <w:rFonts w:ascii="Andes" w:eastAsiaTheme="minorHAnsi" w:hAnsi="Andes" w:cs="Arial"/>
          <w:color w:val="000000"/>
          <w:sz w:val="22"/>
          <w:szCs w:val="22"/>
        </w:rPr>
        <w:t>;</w:t>
      </w:r>
    </w:p>
    <w:p w14:paraId="7172CC65" w14:textId="77777777" w:rsidR="00AE5222" w:rsidRPr="00D67DFA" w:rsidRDefault="00AE5222" w:rsidP="00AE5222">
      <w:pPr>
        <w:pStyle w:val="Paragraphedeliste"/>
        <w:numPr>
          <w:ilvl w:val="0"/>
          <w:numId w:val="198"/>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l</w:t>
      </w:r>
      <w:r w:rsidRPr="00D67DFA">
        <w:rPr>
          <w:rFonts w:ascii="Andes" w:eastAsiaTheme="minorHAnsi" w:hAnsi="Andes" w:cs="Arial"/>
          <w:color w:val="000000"/>
          <w:sz w:val="22"/>
          <w:szCs w:val="22"/>
        </w:rPr>
        <w:t>es réunions organisées dans le cadre du dialogue permettent à l’Emprunteur de discuter clairement avec chaque Proposant pour définir les aspects techniques et/ou les clauses commerciales appropriés. Le résultat des réunions peut donner lieu à des</w:t>
      </w:r>
      <w:r>
        <w:rPr>
          <w:rFonts w:ascii="Andes" w:eastAsiaTheme="minorHAnsi" w:hAnsi="Andes" w:cs="Arial"/>
          <w:color w:val="000000"/>
          <w:sz w:val="22"/>
          <w:szCs w:val="22"/>
        </w:rPr>
        <w:t xml:space="preserve"> avenants au dossier d’appel à p</w:t>
      </w:r>
      <w:r w:rsidRPr="00D67DFA">
        <w:rPr>
          <w:rFonts w:ascii="Andes" w:eastAsiaTheme="minorHAnsi" w:hAnsi="Andes" w:cs="Arial"/>
          <w:color w:val="000000"/>
          <w:sz w:val="22"/>
          <w:szCs w:val="22"/>
        </w:rPr>
        <w:t xml:space="preserve">ropositions qui sera diffusé pour la </w:t>
      </w:r>
      <w:r>
        <w:rPr>
          <w:rFonts w:ascii="Andes" w:eastAsiaTheme="minorHAnsi" w:hAnsi="Andes" w:cs="Arial"/>
          <w:color w:val="000000"/>
          <w:sz w:val="22"/>
          <w:szCs w:val="22"/>
        </w:rPr>
        <w:t>remise</w:t>
      </w:r>
      <w:r w:rsidRPr="00D67DFA">
        <w:rPr>
          <w:rFonts w:ascii="Andes" w:eastAsiaTheme="minorHAnsi" w:hAnsi="Andes" w:cs="Arial"/>
          <w:color w:val="000000"/>
          <w:sz w:val="22"/>
          <w:szCs w:val="22"/>
        </w:rPr>
        <w:t xml:space="preserve"> définitive ;</w:t>
      </w:r>
    </w:p>
    <w:p w14:paraId="5C1837A0" w14:textId="77777777" w:rsidR="00AE5222" w:rsidRPr="00D67DFA" w:rsidRDefault="00AE5222" w:rsidP="00AE5222">
      <w:pPr>
        <w:pStyle w:val="Paragraphedeliste"/>
        <w:numPr>
          <w:ilvl w:val="0"/>
          <w:numId w:val="198"/>
        </w:numPr>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l</w:t>
      </w:r>
      <w:r w:rsidRPr="00D67DFA">
        <w:rPr>
          <w:rFonts w:ascii="Andes" w:eastAsiaTheme="minorHAnsi" w:hAnsi="Andes" w:cs="Arial"/>
          <w:color w:val="000000"/>
          <w:sz w:val="22"/>
          <w:szCs w:val="22"/>
        </w:rPr>
        <w:t>es Propositions provisoires : elles visent à déterminer que les Proposants comprennent le problème ou les besoins ou les exigences de l’Emprunteur (tels que déf</w:t>
      </w:r>
      <w:r>
        <w:rPr>
          <w:rFonts w:ascii="Andes" w:eastAsiaTheme="minorHAnsi" w:hAnsi="Andes" w:cs="Arial"/>
          <w:color w:val="000000"/>
          <w:sz w:val="22"/>
          <w:szCs w:val="22"/>
        </w:rPr>
        <w:t>inis dans le dossier d’appel à p</w:t>
      </w:r>
      <w:r w:rsidRPr="00D67DFA">
        <w:rPr>
          <w:rFonts w:ascii="Andes" w:eastAsiaTheme="minorHAnsi" w:hAnsi="Andes" w:cs="Arial"/>
          <w:color w:val="000000"/>
          <w:sz w:val="22"/>
          <w:szCs w:val="22"/>
        </w:rPr>
        <w:t>ropositions) et à peaufiner la Propo</w:t>
      </w:r>
      <w:r>
        <w:rPr>
          <w:rFonts w:ascii="Andes" w:eastAsiaTheme="minorHAnsi" w:hAnsi="Andes" w:cs="Arial"/>
          <w:color w:val="000000"/>
          <w:sz w:val="22"/>
          <w:szCs w:val="22"/>
        </w:rPr>
        <w:t>sition ou le dossier d’appel à p</w:t>
      </w:r>
      <w:r w:rsidRPr="00D67DFA">
        <w:rPr>
          <w:rFonts w:ascii="Andes" w:eastAsiaTheme="minorHAnsi" w:hAnsi="Andes" w:cs="Arial"/>
          <w:color w:val="000000"/>
          <w:sz w:val="22"/>
          <w:szCs w:val="22"/>
        </w:rPr>
        <w:t>ropositions de la Phase 3</w:t>
      </w:r>
      <w:r w:rsidRPr="00D67DFA">
        <w:rPr>
          <w:rFonts w:ascii="Calibri" w:eastAsiaTheme="minorHAnsi" w:hAnsi="Calibri" w:cs="Arial"/>
          <w:color w:val="000000"/>
          <w:sz w:val="22"/>
          <w:szCs w:val="22"/>
        </w:rPr>
        <w:t> </w:t>
      </w:r>
      <w:r w:rsidRPr="00D67DFA">
        <w:rPr>
          <w:rFonts w:ascii="Andes" w:eastAsiaTheme="minorHAnsi" w:hAnsi="Andes" w:cs="Arial"/>
          <w:color w:val="000000"/>
          <w:sz w:val="22"/>
          <w:szCs w:val="22"/>
        </w:rPr>
        <w:t>;</w:t>
      </w:r>
    </w:p>
    <w:p w14:paraId="281AD58F" w14:textId="77777777" w:rsidR="00AE5222" w:rsidRPr="00D67DFA" w:rsidRDefault="00AE5222" w:rsidP="00AE5222">
      <w:pPr>
        <w:pStyle w:val="Paragraphedeliste"/>
        <w:numPr>
          <w:ilvl w:val="0"/>
          <w:numId w:val="198"/>
        </w:numPr>
        <w:spacing w:before="0" w:line="240" w:lineRule="auto"/>
        <w:contextualSpacing w:val="0"/>
        <w:rPr>
          <w:rFonts w:ascii="Andes" w:eastAsiaTheme="minorHAnsi" w:hAnsi="Andes" w:cs="Arial"/>
          <w:color w:val="000000"/>
          <w:sz w:val="22"/>
          <w:szCs w:val="22"/>
        </w:rPr>
      </w:pPr>
      <w:r w:rsidRPr="00D67DFA">
        <w:rPr>
          <w:rFonts w:ascii="Andes" w:eastAsiaTheme="minorHAnsi" w:hAnsi="Andes" w:cs="Arial"/>
          <w:color w:val="000000"/>
          <w:sz w:val="22"/>
          <w:szCs w:val="22"/>
        </w:rPr>
        <w:t>L’Emprunteur détermine le nombre de réunions qu’il tiendra avec chaque Proposant en fonction de la quantité d’informations contenues dans la Proposition qui nécessitent des précisions. Il décide si des réunions supplémentaires sont nécessaires ou non et en informe le Proposant</w:t>
      </w:r>
      <w:r>
        <w:rPr>
          <w:rFonts w:ascii="Andes" w:eastAsiaTheme="minorHAnsi" w:hAnsi="Andes" w:cs="Arial"/>
          <w:color w:val="000000"/>
          <w:sz w:val="22"/>
          <w:szCs w:val="22"/>
        </w:rPr>
        <w:t xml:space="preserve"> concerné</w:t>
      </w:r>
      <w:r w:rsidRPr="00D67DFA">
        <w:rPr>
          <w:rFonts w:ascii="Calibri" w:eastAsiaTheme="minorHAnsi" w:hAnsi="Calibri" w:cs="Arial"/>
          <w:color w:val="000000"/>
          <w:sz w:val="22"/>
          <w:szCs w:val="22"/>
        </w:rPr>
        <w:t> </w:t>
      </w:r>
      <w:r w:rsidRPr="00D67DFA">
        <w:rPr>
          <w:rFonts w:ascii="Andes" w:eastAsiaTheme="minorHAnsi" w:hAnsi="Andes" w:cs="Arial"/>
          <w:color w:val="000000"/>
          <w:sz w:val="22"/>
          <w:szCs w:val="22"/>
        </w:rPr>
        <w:t xml:space="preserve">; </w:t>
      </w:r>
    </w:p>
    <w:p w14:paraId="287FA006" w14:textId="77777777" w:rsidR="00AE5222" w:rsidRPr="00D67DFA" w:rsidRDefault="00AE5222" w:rsidP="00AE5222">
      <w:pPr>
        <w:pStyle w:val="Paragraphedeliste"/>
        <w:numPr>
          <w:ilvl w:val="0"/>
          <w:numId w:val="198"/>
        </w:numPr>
        <w:spacing w:before="0" w:line="240" w:lineRule="auto"/>
        <w:contextualSpacing w:val="0"/>
        <w:rPr>
          <w:rFonts w:ascii="Andes" w:eastAsiaTheme="minorHAnsi" w:hAnsi="Andes" w:cs="Arial"/>
          <w:color w:val="000000"/>
          <w:sz w:val="22"/>
          <w:szCs w:val="22"/>
        </w:rPr>
      </w:pPr>
      <w:r w:rsidRPr="00D67DFA">
        <w:rPr>
          <w:rFonts w:ascii="Andes" w:eastAsiaTheme="minorHAnsi" w:hAnsi="Andes" w:cs="Arial"/>
          <w:color w:val="000000"/>
          <w:sz w:val="22"/>
          <w:szCs w:val="22"/>
        </w:rPr>
        <w:lastRenderedPageBreak/>
        <w:t xml:space="preserve">l’Emprunteur </w:t>
      </w:r>
      <w:r>
        <w:rPr>
          <w:rFonts w:ascii="Andes" w:eastAsiaTheme="minorHAnsi" w:hAnsi="Andes" w:cs="Arial"/>
          <w:color w:val="000000"/>
          <w:sz w:val="22"/>
          <w:szCs w:val="22"/>
        </w:rPr>
        <w:t xml:space="preserve">doit </w:t>
      </w:r>
      <w:r w:rsidRPr="00D67DFA">
        <w:rPr>
          <w:rFonts w:ascii="Andes" w:eastAsiaTheme="minorHAnsi" w:hAnsi="Andes" w:cs="Arial"/>
          <w:color w:val="000000"/>
          <w:sz w:val="22"/>
          <w:szCs w:val="22"/>
        </w:rPr>
        <w:t>évite</w:t>
      </w:r>
      <w:r>
        <w:rPr>
          <w:rFonts w:ascii="Andes" w:eastAsiaTheme="minorHAnsi" w:hAnsi="Andes" w:cs="Arial"/>
          <w:color w:val="000000"/>
          <w:sz w:val="22"/>
          <w:szCs w:val="22"/>
        </w:rPr>
        <w:t>r</w:t>
      </w:r>
      <w:r w:rsidRPr="00D67DFA">
        <w:rPr>
          <w:rFonts w:ascii="Andes" w:eastAsiaTheme="minorHAnsi" w:hAnsi="Andes" w:cs="Arial"/>
          <w:color w:val="000000"/>
          <w:sz w:val="22"/>
          <w:szCs w:val="22"/>
        </w:rPr>
        <w:t xml:space="preserve"> de donner les informations de façon à favoriser certains des Proposants par rapport </w:t>
      </w:r>
      <w:r>
        <w:rPr>
          <w:rFonts w:ascii="Andes" w:eastAsiaTheme="minorHAnsi" w:hAnsi="Andes" w:cs="Arial"/>
          <w:color w:val="000000"/>
          <w:sz w:val="22"/>
          <w:szCs w:val="22"/>
        </w:rPr>
        <w:t>à d’</w:t>
      </w:r>
      <w:r w:rsidRPr="00D67DFA">
        <w:rPr>
          <w:rFonts w:ascii="Andes" w:eastAsiaTheme="minorHAnsi" w:hAnsi="Andes" w:cs="Arial"/>
          <w:color w:val="000000"/>
          <w:sz w:val="22"/>
          <w:szCs w:val="22"/>
        </w:rPr>
        <w:t>autres</w:t>
      </w:r>
      <w:r w:rsidRPr="00D67DFA">
        <w:rPr>
          <w:rFonts w:ascii="Calibri" w:eastAsiaTheme="minorHAnsi" w:hAnsi="Calibri" w:cs="Arial"/>
          <w:color w:val="000000"/>
          <w:sz w:val="22"/>
          <w:szCs w:val="22"/>
        </w:rPr>
        <w:t> </w:t>
      </w:r>
      <w:r w:rsidRPr="00D67DFA">
        <w:rPr>
          <w:rFonts w:ascii="Andes" w:eastAsiaTheme="minorHAnsi" w:hAnsi="Andes" w:cs="Arial"/>
          <w:color w:val="000000"/>
          <w:sz w:val="22"/>
          <w:szCs w:val="22"/>
        </w:rPr>
        <w:t>;</w:t>
      </w:r>
    </w:p>
    <w:p w14:paraId="432ACE30" w14:textId="77777777" w:rsidR="00AE5222" w:rsidRPr="00D67DFA" w:rsidRDefault="00AE5222" w:rsidP="00AE5222">
      <w:pPr>
        <w:pStyle w:val="Paragraphedeliste"/>
        <w:numPr>
          <w:ilvl w:val="0"/>
          <w:numId w:val="198"/>
        </w:numPr>
        <w:spacing w:before="0" w:line="240" w:lineRule="auto"/>
        <w:contextualSpacing w:val="0"/>
        <w:rPr>
          <w:rFonts w:ascii="Andes" w:eastAsiaTheme="minorHAnsi" w:hAnsi="Andes" w:cs="Arial"/>
          <w:color w:val="000000"/>
          <w:sz w:val="22"/>
          <w:szCs w:val="22"/>
        </w:rPr>
      </w:pPr>
      <w:r w:rsidRPr="00D67DFA">
        <w:rPr>
          <w:rFonts w:ascii="Andes" w:eastAsiaTheme="minorHAnsi" w:hAnsi="Andes" w:cs="Arial"/>
          <w:color w:val="000000"/>
          <w:sz w:val="22"/>
          <w:szCs w:val="22"/>
        </w:rPr>
        <w:t xml:space="preserve">les Proposants recensent et arrêtent en accord avec l’Emprunteur la ou les partie(s) de leur Proposition qui leur est ou </w:t>
      </w:r>
      <w:r>
        <w:rPr>
          <w:rFonts w:ascii="Andes" w:eastAsiaTheme="minorHAnsi" w:hAnsi="Andes" w:cs="Arial"/>
          <w:color w:val="000000"/>
          <w:sz w:val="22"/>
          <w:szCs w:val="22"/>
        </w:rPr>
        <w:t xml:space="preserve">leur </w:t>
      </w:r>
      <w:r w:rsidRPr="00D67DFA">
        <w:rPr>
          <w:rFonts w:ascii="Andes" w:eastAsiaTheme="minorHAnsi" w:hAnsi="Andes" w:cs="Arial"/>
          <w:color w:val="000000"/>
          <w:sz w:val="22"/>
          <w:szCs w:val="22"/>
        </w:rPr>
        <w:t>sont propre(s) et doit ou doivent être traitée(s) comme des informations commerciales à caractère confidentiel</w:t>
      </w:r>
      <w:r w:rsidRPr="00D67DFA">
        <w:rPr>
          <w:rFonts w:ascii="Calibri" w:eastAsiaTheme="minorHAnsi" w:hAnsi="Calibri" w:cs="Arial"/>
          <w:color w:val="000000"/>
          <w:sz w:val="22"/>
          <w:szCs w:val="22"/>
        </w:rPr>
        <w:t> </w:t>
      </w:r>
      <w:r w:rsidRPr="00D67DFA">
        <w:rPr>
          <w:rFonts w:ascii="Andes" w:eastAsiaTheme="minorHAnsi" w:hAnsi="Andes" w:cs="Arial"/>
          <w:color w:val="000000"/>
          <w:sz w:val="22"/>
          <w:szCs w:val="22"/>
        </w:rPr>
        <w:t>;</w:t>
      </w:r>
    </w:p>
    <w:p w14:paraId="5C34D044" w14:textId="77777777" w:rsidR="00AE5222" w:rsidRPr="00D67DFA" w:rsidRDefault="00AE5222" w:rsidP="00AE5222">
      <w:pPr>
        <w:pStyle w:val="Paragraphedeliste"/>
        <w:numPr>
          <w:ilvl w:val="0"/>
          <w:numId w:val="198"/>
        </w:numPr>
        <w:spacing w:before="0" w:line="240" w:lineRule="auto"/>
        <w:contextualSpacing w:val="0"/>
        <w:rPr>
          <w:rFonts w:ascii="Andes" w:eastAsiaTheme="minorHAnsi" w:hAnsi="Andes" w:cs="Arial"/>
          <w:color w:val="000000"/>
          <w:sz w:val="22"/>
          <w:szCs w:val="22"/>
        </w:rPr>
      </w:pPr>
      <w:r w:rsidRPr="00D67DFA">
        <w:rPr>
          <w:rFonts w:ascii="Andes" w:eastAsiaTheme="minorHAnsi" w:hAnsi="Andes" w:cs="Arial"/>
          <w:color w:val="000000"/>
          <w:sz w:val="22"/>
          <w:szCs w:val="22"/>
        </w:rPr>
        <w:t>l’Emprunteur évite de divulguer aux autres Proposants les solutions ou les informations commerciales à caractère confidentiel contenues dans une Proposition et communiquée(s) au cours de la phase de dialogue</w:t>
      </w:r>
      <w:r>
        <w:rPr>
          <w:rFonts w:ascii="Andes" w:eastAsiaTheme="minorHAnsi" w:hAnsi="Andes" w:cs="Arial"/>
          <w:color w:val="000000"/>
          <w:sz w:val="22"/>
          <w:szCs w:val="22"/>
        </w:rPr>
        <w:t>,</w:t>
      </w:r>
      <w:r w:rsidRPr="00D67DFA">
        <w:rPr>
          <w:rFonts w:ascii="Andes" w:eastAsiaTheme="minorHAnsi" w:hAnsi="Andes" w:cs="Arial"/>
          <w:color w:val="000000"/>
          <w:sz w:val="22"/>
          <w:szCs w:val="22"/>
        </w:rPr>
        <w:t xml:space="preserve"> sans le consentement écrit préalable du Proposant concerné</w:t>
      </w:r>
      <w:r w:rsidRPr="00D67DFA">
        <w:rPr>
          <w:rFonts w:ascii="Calibri" w:eastAsiaTheme="minorHAnsi" w:hAnsi="Calibri" w:cs="Arial"/>
          <w:color w:val="000000"/>
          <w:sz w:val="22"/>
          <w:szCs w:val="22"/>
        </w:rPr>
        <w:t> </w:t>
      </w:r>
      <w:r w:rsidRPr="00D67DFA">
        <w:rPr>
          <w:rFonts w:ascii="Andes" w:eastAsiaTheme="minorHAnsi" w:hAnsi="Andes" w:cs="Arial"/>
          <w:color w:val="000000"/>
          <w:sz w:val="22"/>
          <w:szCs w:val="22"/>
        </w:rPr>
        <w:t>;</w:t>
      </w:r>
    </w:p>
    <w:p w14:paraId="7126AFD2" w14:textId="77777777" w:rsidR="00AE5222" w:rsidRPr="00D67DFA" w:rsidRDefault="00AE5222" w:rsidP="00AE5222">
      <w:pPr>
        <w:pStyle w:val="Paragraphedeliste"/>
        <w:numPr>
          <w:ilvl w:val="0"/>
          <w:numId w:val="198"/>
        </w:numPr>
        <w:spacing w:before="0" w:line="240" w:lineRule="auto"/>
        <w:contextualSpacing w:val="0"/>
        <w:rPr>
          <w:rFonts w:ascii="Andes" w:eastAsiaTheme="minorHAnsi" w:hAnsi="Andes" w:cs="Arial"/>
          <w:color w:val="000000"/>
          <w:sz w:val="22"/>
          <w:szCs w:val="22"/>
        </w:rPr>
      </w:pPr>
      <w:r w:rsidRPr="00D67DFA">
        <w:rPr>
          <w:rFonts w:ascii="Andes" w:eastAsiaTheme="minorHAnsi" w:hAnsi="Andes" w:cs="Arial"/>
          <w:color w:val="000000"/>
          <w:sz w:val="22"/>
          <w:szCs w:val="22"/>
        </w:rPr>
        <w:t xml:space="preserve">l’Emprunteur </w:t>
      </w:r>
      <w:r>
        <w:rPr>
          <w:rFonts w:ascii="Andes" w:eastAsiaTheme="minorHAnsi" w:hAnsi="Andes" w:cs="Arial"/>
          <w:color w:val="000000"/>
          <w:sz w:val="22"/>
          <w:szCs w:val="22"/>
        </w:rPr>
        <w:t xml:space="preserve">ne doit pas </w:t>
      </w:r>
      <w:r w:rsidRPr="00D67DFA">
        <w:rPr>
          <w:rFonts w:ascii="Andes" w:eastAsiaTheme="minorHAnsi" w:hAnsi="Andes" w:cs="Arial"/>
          <w:color w:val="000000"/>
          <w:sz w:val="22"/>
          <w:szCs w:val="22"/>
        </w:rPr>
        <w:t>utiliser les informations commerciales à caractère confidentiel contenues dans une Proposition pour améliorer la qualité d’autres Propositions</w:t>
      </w:r>
      <w:r w:rsidRPr="00D67DFA">
        <w:rPr>
          <w:rFonts w:ascii="Calibri" w:eastAsiaTheme="minorHAnsi" w:hAnsi="Calibri" w:cs="Arial"/>
          <w:color w:val="000000"/>
          <w:sz w:val="22"/>
          <w:szCs w:val="22"/>
        </w:rPr>
        <w:t> </w:t>
      </w:r>
      <w:r w:rsidRPr="00D67DFA">
        <w:rPr>
          <w:rFonts w:ascii="Andes" w:eastAsiaTheme="minorHAnsi" w:hAnsi="Andes" w:cs="Arial"/>
          <w:color w:val="000000"/>
          <w:sz w:val="22"/>
          <w:szCs w:val="22"/>
        </w:rPr>
        <w:t>;</w:t>
      </w:r>
    </w:p>
    <w:p w14:paraId="7433F370" w14:textId="1DD5EF1F" w:rsidR="00AE5222" w:rsidRPr="00D67DFA" w:rsidRDefault="00AE5222" w:rsidP="00AE5222">
      <w:pPr>
        <w:pStyle w:val="Paragraphedeliste"/>
        <w:numPr>
          <w:ilvl w:val="0"/>
          <w:numId w:val="198"/>
        </w:numPr>
        <w:spacing w:before="0" w:line="240" w:lineRule="auto"/>
        <w:contextualSpacing w:val="0"/>
        <w:rPr>
          <w:rFonts w:ascii="Andes" w:eastAsiaTheme="minorHAnsi" w:hAnsi="Andes" w:cs="Arial"/>
          <w:color w:val="000000"/>
          <w:sz w:val="22"/>
          <w:szCs w:val="22"/>
        </w:rPr>
      </w:pPr>
      <w:r w:rsidRPr="00D67DFA">
        <w:rPr>
          <w:rFonts w:ascii="Andes" w:eastAsiaTheme="minorHAnsi" w:hAnsi="Andes" w:cs="Arial"/>
          <w:color w:val="000000"/>
          <w:sz w:val="22"/>
          <w:szCs w:val="22"/>
        </w:rPr>
        <w:t>un Vérificateur de probité choisi par l’Emprunteur et jugé acceptable par la Banque assiste aux réunions organisées dans le cadre du dialogue pour s’assurer que la procédure est véritablement concurrentielle et qu’aucun avantage indu n’est donné à l’une quelconque des entreprises/coentreprises à la suite de ces réunions</w:t>
      </w:r>
      <w:r w:rsidRPr="00D67DFA">
        <w:rPr>
          <w:rFonts w:ascii="Calibri" w:eastAsiaTheme="minorHAnsi" w:hAnsi="Calibri" w:cs="Arial"/>
          <w:color w:val="000000"/>
          <w:sz w:val="22"/>
          <w:szCs w:val="22"/>
        </w:rPr>
        <w:t> </w:t>
      </w:r>
      <w:r w:rsidRPr="00D67DFA">
        <w:rPr>
          <w:rFonts w:ascii="Andes" w:eastAsiaTheme="minorHAnsi" w:hAnsi="Andes" w:cs="Arial"/>
          <w:color w:val="000000"/>
          <w:sz w:val="22"/>
          <w:szCs w:val="22"/>
        </w:rPr>
        <w:t>; et</w:t>
      </w:r>
    </w:p>
    <w:p w14:paraId="080EFC1D" w14:textId="77777777" w:rsidR="00AE5222" w:rsidRPr="00D67DFA" w:rsidRDefault="00AE5222" w:rsidP="00AE5222">
      <w:pPr>
        <w:pStyle w:val="Paragraphedeliste"/>
        <w:numPr>
          <w:ilvl w:val="0"/>
          <w:numId w:val="198"/>
        </w:numPr>
        <w:spacing w:before="0" w:line="240" w:lineRule="auto"/>
        <w:contextualSpacing w:val="0"/>
        <w:rPr>
          <w:rFonts w:ascii="Andes" w:eastAsiaTheme="minorHAnsi" w:hAnsi="Andes" w:cs="Arial"/>
          <w:color w:val="000000"/>
          <w:sz w:val="22"/>
          <w:szCs w:val="22"/>
        </w:rPr>
      </w:pPr>
      <w:r w:rsidRPr="00D67DFA">
        <w:rPr>
          <w:rFonts w:ascii="Andes" w:eastAsiaTheme="minorHAnsi" w:hAnsi="Andes" w:cs="Arial"/>
          <w:color w:val="000000"/>
          <w:sz w:val="22"/>
          <w:szCs w:val="22"/>
        </w:rPr>
        <w:t xml:space="preserve">l’Emprunteur prépare un procès-verbal confidentiel des réunions de dialogue avec chacun des Proposants qui sera remis aux Proposants invités à </w:t>
      </w:r>
      <w:r>
        <w:rPr>
          <w:rFonts w:ascii="Andes" w:eastAsiaTheme="minorHAnsi" w:hAnsi="Andes" w:cs="Arial"/>
          <w:color w:val="000000"/>
          <w:sz w:val="22"/>
          <w:szCs w:val="22"/>
        </w:rPr>
        <w:t>sou</w:t>
      </w:r>
      <w:r w:rsidRPr="00D67DFA">
        <w:rPr>
          <w:rFonts w:ascii="Andes" w:eastAsiaTheme="minorHAnsi" w:hAnsi="Andes" w:cs="Arial"/>
          <w:color w:val="000000"/>
          <w:sz w:val="22"/>
          <w:szCs w:val="22"/>
        </w:rPr>
        <w:t>mettre des Propositions définitives. Ces procès-verbaux ne font pas par</w:t>
      </w:r>
      <w:r>
        <w:rPr>
          <w:rFonts w:ascii="Andes" w:eastAsiaTheme="minorHAnsi" w:hAnsi="Andes" w:cs="Arial"/>
          <w:color w:val="000000"/>
          <w:sz w:val="22"/>
          <w:szCs w:val="22"/>
        </w:rPr>
        <w:t>tie du dossier final d’appel à p</w:t>
      </w:r>
      <w:r w:rsidRPr="00D67DFA">
        <w:rPr>
          <w:rFonts w:ascii="Andes" w:eastAsiaTheme="minorHAnsi" w:hAnsi="Andes" w:cs="Arial"/>
          <w:color w:val="000000"/>
          <w:sz w:val="22"/>
          <w:szCs w:val="22"/>
        </w:rPr>
        <w:t>ropositions.</w:t>
      </w:r>
    </w:p>
    <w:p w14:paraId="41EA91B8" w14:textId="77777777" w:rsidR="00AE5222" w:rsidRPr="00D67DFA" w:rsidRDefault="00AE5222" w:rsidP="00AE5222">
      <w:r w:rsidRPr="00D67DFA">
        <w:br w:type="page"/>
      </w:r>
    </w:p>
    <w:p w14:paraId="5EE507A0" w14:textId="75AE5A3D" w:rsidR="00AE5222" w:rsidRPr="00D124D9" w:rsidRDefault="00AE5222" w:rsidP="00AE5222">
      <w:pPr>
        <w:spacing w:before="240" w:line="240" w:lineRule="auto"/>
        <w:contextualSpacing w:val="0"/>
        <w:jc w:val="left"/>
        <w:rPr>
          <w:rFonts w:ascii="Andes" w:eastAsiaTheme="minorHAnsi" w:hAnsi="Andes" w:cs="Arial"/>
          <w:b/>
          <w:sz w:val="22"/>
          <w:szCs w:val="22"/>
        </w:rPr>
      </w:pPr>
      <w:r w:rsidRPr="00D124D9">
        <w:rPr>
          <w:rFonts w:ascii="Andes" w:eastAsiaTheme="minorHAnsi" w:hAnsi="Andes" w:cs="Arial"/>
          <w:b/>
          <w:sz w:val="22"/>
          <w:szCs w:val="22"/>
          <w:u w:val="single"/>
        </w:rPr>
        <w:lastRenderedPageBreak/>
        <w:t>Figure 1</w:t>
      </w:r>
      <w:r w:rsidRPr="00D124D9">
        <w:rPr>
          <w:rFonts w:ascii="Calibri" w:eastAsiaTheme="minorHAnsi" w:hAnsi="Calibri" w:cs="Arial"/>
          <w:b/>
          <w:sz w:val="22"/>
          <w:szCs w:val="22"/>
          <w:u w:val="single"/>
        </w:rPr>
        <w:t> </w:t>
      </w:r>
      <w:r w:rsidRPr="00D124D9">
        <w:rPr>
          <w:rFonts w:ascii="Andes" w:eastAsiaTheme="minorHAnsi" w:hAnsi="Andes" w:cs="Arial"/>
          <w:b/>
          <w:sz w:val="22"/>
          <w:szCs w:val="22"/>
        </w:rPr>
        <w:t>: schématisation du Modèle 3 d’AP</w:t>
      </w:r>
      <w:r w:rsidRPr="00D124D9">
        <w:rPr>
          <w:rFonts w:ascii="Calibri" w:eastAsiaTheme="minorHAnsi" w:hAnsi="Calibri" w:cs="Arial"/>
          <w:b/>
          <w:sz w:val="22"/>
          <w:szCs w:val="22"/>
        </w:rPr>
        <w:t> </w:t>
      </w:r>
      <w:r w:rsidRPr="00D124D9">
        <w:rPr>
          <w:rFonts w:ascii="Andes" w:eastAsiaTheme="minorHAnsi" w:hAnsi="Andes" w:cs="Arial"/>
          <w:b/>
          <w:sz w:val="22"/>
          <w:szCs w:val="22"/>
        </w:rPr>
        <w:t xml:space="preserve">: dialogue </w:t>
      </w:r>
      <w:r w:rsidR="00D56701">
        <w:rPr>
          <w:rFonts w:ascii="Andes" w:eastAsiaTheme="minorHAnsi" w:hAnsi="Andes" w:cs="Arial"/>
          <w:b/>
          <w:sz w:val="22"/>
          <w:szCs w:val="22"/>
        </w:rPr>
        <w:t>compétitif</w:t>
      </w:r>
    </w:p>
    <w:p w14:paraId="13625F6B" w14:textId="3CC8CF05" w:rsidR="00AE5222" w:rsidRPr="00D124D9" w:rsidRDefault="005439FB" w:rsidP="00AE5222">
      <w:pPr>
        <w:pStyle w:val="Titre1"/>
        <w:spacing w:before="0" w:line="240" w:lineRule="auto"/>
        <w:jc w:val="center"/>
        <w:rPr>
          <w:rFonts w:ascii="Andes" w:hAnsi="Andes" w:cs="Arial"/>
          <w:sz w:val="32"/>
          <w:szCs w:val="32"/>
        </w:rPr>
        <w:sectPr w:rsidR="00AE5222" w:rsidRPr="00D124D9" w:rsidSect="000B5EC0">
          <w:headerReference w:type="default" r:id="rId50"/>
          <w:pgSz w:w="12240" w:h="15840"/>
          <w:pgMar w:top="1872" w:right="1440" w:bottom="1440" w:left="1411" w:header="720" w:footer="720" w:gutter="0"/>
          <w:cols w:space="720"/>
          <w:docGrid w:linePitch="360"/>
        </w:sectPr>
      </w:pPr>
      <w:r>
        <w:rPr>
          <w:noProof/>
          <w:lang w:val="en-US"/>
        </w:rPr>
        <w:drawing>
          <wp:inline distT="0" distB="0" distL="0" distR="0" wp14:anchorId="0406FBF1" wp14:editId="424073A0">
            <wp:extent cx="4524375" cy="73628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24375" cy="7362825"/>
                    </a:xfrm>
                    <a:prstGeom prst="rect">
                      <a:avLst/>
                    </a:prstGeom>
                  </pic:spPr>
                </pic:pic>
              </a:graphicData>
            </a:graphic>
          </wp:inline>
        </w:drawing>
      </w:r>
    </w:p>
    <w:p w14:paraId="1D3D5948" w14:textId="77777777" w:rsidR="004E780E" w:rsidRPr="00EA632A" w:rsidRDefault="00D46DF0" w:rsidP="00EA632A">
      <w:pPr>
        <w:pStyle w:val="Titre1"/>
        <w:spacing w:before="0" w:line="240" w:lineRule="auto"/>
        <w:jc w:val="center"/>
        <w:rPr>
          <w:rFonts w:ascii="Andes" w:hAnsi="Andes" w:cs="Arial"/>
          <w:sz w:val="32"/>
          <w:szCs w:val="32"/>
          <w:lang w:val="en-US"/>
        </w:rPr>
      </w:pPr>
      <w:bookmarkStart w:id="3593" w:name="_Toc453544342"/>
      <w:bookmarkEnd w:id="3588"/>
      <w:r w:rsidRPr="00D46DF0">
        <w:rPr>
          <w:rFonts w:ascii="Andes" w:hAnsi="Andes" w:cs="Microsoft Sans Serif"/>
          <w:caps/>
          <w:noProof/>
          <w:color w:val="002060"/>
          <w:lang w:val="en-US"/>
        </w:rPr>
        <w:lastRenderedPageBreak/>
        <mc:AlternateContent>
          <mc:Choice Requires="wps">
            <w:drawing>
              <wp:anchor distT="0" distB="0" distL="114300" distR="114300" simplePos="0" relativeHeight="251679744" behindDoc="0" locked="0" layoutInCell="1" allowOverlap="1" wp14:anchorId="4D83DDF1" wp14:editId="3DA0A41B">
                <wp:simplePos x="0" y="0"/>
                <wp:positionH relativeFrom="page">
                  <wp:posOffset>-6985</wp:posOffset>
                </wp:positionH>
                <wp:positionV relativeFrom="paragraph">
                  <wp:posOffset>-1188415</wp:posOffset>
                </wp:positionV>
                <wp:extent cx="8151963" cy="1466491"/>
                <wp:effectExtent l="0" t="0" r="1905" b="635"/>
                <wp:wrapNone/>
                <wp:docPr id="51" name="Rectangle 51"/>
                <wp:cNvGraphicFramePr/>
                <a:graphic xmlns:a="http://schemas.openxmlformats.org/drawingml/2006/main">
                  <a:graphicData uri="http://schemas.microsoft.com/office/word/2010/wordprocessingShape">
                    <wps:wsp>
                      <wps:cNvSpPr/>
                      <wps:spPr>
                        <a:xfrm>
                          <a:off x="0" y="0"/>
                          <a:ext cx="8151963" cy="1466491"/>
                        </a:xfrm>
                        <a:prstGeom prst="rect">
                          <a:avLst/>
                        </a:prstGeom>
                        <a:solidFill>
                          <a:srgbClr val="C45911"/>
                        </a:solidFill>
                        <a:ln w="12700" cap="flat" cmpd="sng" algn="ctr">
                          <a:noFill/>
                          <a:prstDash val="solid"/>
                          <a:miter lim="800000"/>
                        </a:ln>
                        <a:effectLst/>
                      </wps:spPr>
                      <wps:txbx>
                        <w:txbxContent>
                          <w:p w14:paraId="4184B1C3" w14:textId="6D876677" w:rsidR="00A41794" w:rsidRPr="00023DE0" w:rsidRDefault="00A41794" w:rsidP="00023DE0">
                            <w:pPr>
                              <w:tabs>
                                <w:tab w:val="left" w:pos="3690"/>
                              </w:tabs>
                              <w:ind w:left="1260"/>
                              <w:rPr>
                                <w:rFonts w:ascii="Andes" w:hAnsi="Andes"/>
                                <w:color w:val="FFFFFF" w:themeColor="background1"/>
                                <w:sz w:val="44"/>
                                <w:szCs w:val="44"/>
                              </w:rPr>
                            </w:pPr>
                            <w:r w:rsidRPr="00E60F62">
                              <w:rPr>
                                <w:rFonts w:ascii="Andes" w:hAnsi="Andes"/>
                                <w:color w:val="FFFFFF" w:themeColor="background1"/>
                                <w:sz w:val="44"/>
                                <w:szCs w:val="44"/>
                              </w:rPr>
                              <w:t xml:space="preserve">Annexe XIV.  </w:t>
                            </w:r>
                            <w:r w:rsidRPr="00E60F62">
                              <w:rPr>
                                <w:rFonts w:ascii="Andes" w:hAnsi="Andes"/>
                                <w:color w:val="FFFFFF" w:themeColor="background1"/>
                                <w:sz w:val="44"/>
                                <w:szCs w:val="44"/>
                              </w:rPr>
                              <w:tab/>
                              <w:t>Partenariats Public-Privé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3DDF1" id="Rectangle 51" o:spid="_x0000_s1053" style="position:absolute;left:0;text-align:left;margin-left:-.55pt;margin-top:-93.6pt;width:641.9pt;height:115.4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" fillcolor="#c45911" stroked="f" strokeweight="1pt">
                <v:textbox>
                  <w:txbxContent>
                    <w:p w14:paraId="4184B1C3" w14:textId="6D876677" w:rsidR="00A41794" w:rsidRPr="00023DE0" w:rsidRDefault="00A41794" w:rsidP="00023DE0">
                      <w:pPr>
                        <w:tabs>
                          <w:tab w:val="left" w:pos="3690"/>
                        </w:tabs>
                        <w:ind w:left="1260"/>
                        <w:rPr>
                          <w:rFonts w:ascii="Andes" w:hAnsi="Andes"/>
                          <w:color w:val="FFFFFF" w:themeColor="background1"/>
                          <w:sz w:val="44"/>
                          <w:szCs w:val="44"/>
                        </w:rPr>
                      </w:pPr>
                      <w:r w:rsidRPr="00E60F62">
                        <w:rPr>
                          <w:rFonts w:ascii="Andes" w:hAnsi="Andes"/>
                          <w:color w:val="FFFFFF" w:themeColor="background1"/>
                          <w:sz w:val="44"/>
                          <w:szCs w:val="44"/>
                        </w:rPr>
                        <w:t xml:space="preserve">Annexe XIV.  </w:t>
                      </w:r>
                      <w:r w:rsidRPr="00E60F62">
                        <w:rPr>
                          <w:rFonts w:ascii="Andes" w:hAnsi="Andes"/>
                          <w:color w:val="FFFFFF" w:themeColor="background1"/>
                          <w:sz w:val="44"/>
                          <w:szCs w:val="44"/>
                        </w:rPr>
                        <w:tab/>
                        <w:t>Partenariats Public-Privé</w:t>
                      </w:r>
                    </w:p>
                  </w:txbxContent>
                </v:textbox>
                <w10:wrap anchorx="page"/>
              </v:rect>
            </w:pict>
          </mc:Fallback>
        </mc:AlternateContent>
      </w:r>
      <w:r w:rsidR="004E780E" w:rsidRPr="007656EB">
        <w:rPr>
          <w:rFonts w:ascii="Andes" w:hAnsi="Andes" w:cs="Arial"/>
          <w:sz w:val="32"/>
          <w:szCs w:val="32"/>
          <w:lang w:val="en-US"/>
        </w:rPr>
        <w:t>Annex XIV</w:t>
      </w:r>
      <w:r w:rsidR="00687669">
        <w:rPr>
          <w:rFonts w:ascii="Andes" w:hAnsi="Andes" w:cs="Arial"/>
          <w:sz w:val="32"/>
          <w:szCs w:val="32"/>
          <w:lang w:val="en-US"/>
        </w:rPr>
        <w:t xml:space="preserve">.  </w:t>
      </w:r>
      <w:r w:rsidR="004E780E" w:rsidRPr="007656EB">
        <w:rPr>
          <w:rFonts w:ascii="Andes" w:hAnsi="Andes" w:cs="Arial"/>
          <w:sz w:val="32"/>
          <w:szCs w:val="32"/>
          <w:lang w:val="en-US"/>
        </w:rPr>
        <w:t>Public</w:t>
      </w:r>
      <w:r w:rsidR="0018407E" w:rsidRPr="007656EB">
        <w:rPr>
          <w:rFonts w:ascii="Andes" w:hAnsi="Andes" w:cs="Arial"/>
          <w:sz w:val="32"/>
          <w:szCs w:val="32"/>
          <w:lang w:val="en-US"/>
        </w:rPr>
        <w:t>-</w:t>
      </w:r>
      <w:r w:rsidR="004E780E" w:rsidRPr="007656EB">
        <w:rPr>
          <w:rFonts w:ascii="Andes" w:hAnsi="Andes" w:cs="Arial"/>
          <w:sz w:val="32"/>
          <w:szCs w:val="32"/>
          <w:lang w:val="en-US"/>
        </w:rPr>
        <w:t>Private Partnership</w:t>
      </w:r>
      <w:r w:rsidR="00B97682" w:rsidRPr="007656EB">
        <w:rPr>
          <w:rFonts w:ascii="Andes" w:hAnsi="Andes" w:cs="Arial"/>
          <w:sz w:val="32"/>
          <w:szCs w:val="32"/>
          <w:lang w:val="en-US"/>
        </w:rPr>
        <w:t>s</w:t>
      </w:r>
      <w:bookmarkEnd w:id="3589"/>
      <w:bookmarkEnd w:id="3593"/>
    </w:p>
    <w:p w14:paraId="4FB52C05" w14:textId="77777777" w:rsidR="000400DD" w:rsidRPr="00D124D9" w:rsidRDefault="000400DD" w:rsidP="000400DD">
      <w:pPr>
        <w:pStyle w:val="Paragraphedeliste"/>
        <w:numPr>
          <w:ilvl w:val="0"/>
          <w:numId w:val="135"/>
        </w:numPr>
        <w:spacing w:before="360"/>
        <w:ind w:left="634" w:hanging="634"/>
        <w:contextualSpacing w:val="0"/>
        <w:rPr>
          <w:rFonts w:ascii="Andes" w:eastAsiaTheme="majorEastAsia" w:hAnsi="Andes"/>
          <w:b/>
          <w:color w:val="C45911"/>
          <w:sz w:val="32"/>
          <w:szCs w:val="32"/>
        </w:rPr>
      </w:pPr>
      <w:bookmarkStart w:id="3594" w:name="_Toc453171017"/>
      <w:r w:rsidRPr="00D124D9">
        <w:rPr>
          <w:rFonts w:ascii="Andes" w:eastAsiaTheme="majorEastAsia" w:hAnsi="Andes"/>
          <w:b/>
          <w:color w:val="C45911"/>
          <w:sz w:val="32"/>
          <w:szCs w:val="32"/>
        </w:rPr>
        <w:t xml:space="preserve">Objet </w:t>
      </w:r>
      <w:bookmarkEnd w:id="3594"/>
      <w:r w:rsidRPr="00D124D9">
        <w:rPr>
          <w:rFonts w:ascii="Andes" w:eastAsiaTheme="majorEastAsia" w:hAnsi="Andes"/>
          <w:b/>
          <w:color w:val="C45911"/>
          <w:sz w:val="32"/>
          <w:szCs w:val="32"/>
        </w:rPr>
        <w:t xml:space="preserve">  </w:t>
      </w:r>
    </w:p>
    <w:p w14:paraId="7466AA7C" w14:textId="77777777" w:rsidR="000400DD" w:rsidRPr="00D124D9" w:rsidRDefault="000400DD" w:rsidP="000400DD">
      <w:pPr>
        <w:pStyle w:val="Paragraphedeliste"/>
        <w:numPr>
          <w:ilvl w:val="0"/>
          <w:numId w:val="98"/>
        </w:numPr>
        <w:tabs>
          <w:tab w:val="left" w:pos="630"/>
        </w:tabs>
        <w:spacing w:before="0" w:line="240" w:lineRule="auto"/>
        <w:ind w:left="634"/>
        <w:contextualSpacing w:val="0"/>
        <w:rPr>
          <w:rFonts w:ascii="Andes" w:hAnsi="Andes" w:cs="Arial"/>
          <w:sz w:val="22"/>
          <w:szCs w:val="22"/>
        </w:rPr>
      </w:pPr>
      <w:r w:rsidRPr="00D124D9">
        <w:rPr>
          <w:rFonts w:ascii="Andes" w:hAnsi="Andes" w:cs="Arial"/>
          <w:sz w:val="22"/>
          <w:szCs w:val="22"/>
        </w:rPr>
        <w:t xml:space="preserve">La présente annexe définit les conditions régissant le choix du partenaire privé par les Emprunteurs dans le cadre des Partenariats public-privé (PPP) financés par la Banque.   </w:t>
      </w:r>
    </w:p>
    <w:p w14:paraId="21A74737" w14:textId="77777777" w:rsidR="000400DD" w:rsidRPr="00D124D9" w:rsidRDefault="000400DD" w:rsidP="000400DD">
      <w:pPr>
        <w:pStyle w:val="Paragraphedeliste"/>
        <w:numPr>
          <w:ilvl w:val="0"/>
          <w:numId w:val="135"/>
        </w:numPr>
        <w:spacing w:before="240"/>
        <w:ind w:left="630" w:hanging="630"/>
        <w:contextualSpacing w:val="0"/>
        <w:rPr>
          <w:rFonts w:ascii="Andes" w:eastAsiaTheme="majorEastAsia" w:hAnsi="Andes"/>
          <w:b/>
          <w:color w:val="C45911"/>
          <w:sz w:val="32"/>
          <w:szCs w:val="32"/>
        </w:rPr>
      </w:pPr>
      <w:bookmarkStart w:id="3595" w:name="_Toc453171018"/>
      <w:r>
        <w:rPr>
          <w:rFonts w:ascii="Andes" w:eastAsiaTheme="majorEastAsia" w:hAnsi="Andes"/>
          <w:b/>
          <w:color w:val="C45911"/>
          <w:sz w:val="32"/>
          <w:szCs w:val="32"/>
        </w:rPr>
        <w:t xml:space="preserve">Prescriptions </w:t>
      </w:r>
      <w:r w:rsidRPr="00D124D9">
        <w:rPr>
          <w:rFonts w:ascii="Andes" w:eastAsiaTheme="majorEastAsia" w:hAnsi="Andes"/>
          <w:b/>
          <w:color w:val="C45911"/>
          <w:sz w:val="32"/>
          <w:szCs w:val="32"/>
        </w:rPr>
        <w:t xml:space="preserve"> </w:t>
      </w:r>
      <w:bookmarkEnd w:id="3595"/>
    </w:p>
    <w:p w14:paraId="2963DFAD" w14:textId="77777777" w:rsidR="000400DD" w:rsidRPr="00D124D9" w:rsidRDefault="000400DD" w:rsidP="000400DD">
      <w:pPr>
        <w:pStyle w:val="Paragraphedeliste"/>
        <w:numPr>
          <w:ilvl w:val="0"/>
          <w:numId w:val="104"/>
        </w:numPr>
        <w:tabs>
          <w:tab w:val="left" w:pos="630"/>
        </w:tabs>
        <w:spacing w:before="0" w:line="240" w:lineRule="auto"/>
        <w:ind w:left="634"/>
        <w:contextualSpacing w:val="0"/>
        <w:rPr>
          <w:rFonts w:ascii="Andes" w:hAnsi="Andes" w:cs="Arial"/>
          <w:sz w:val="22"/>
          <w:szCs w:val="22"/>
        </w:rPr>
      </w:pPr>
      <w:r w:rsidRPr="00D124D9">
        <w:rPr>
          <w:rFonts w:ascii="Andes" w:hAnsi="Andes" w:cs="Arial"/>
          <w:sz w:val="22"/>
          <w:szCs w:val="22"/>
        </w:rPr>
        <w:t xml:space="preserve">Dans le cadre d’un PPP l’Emprunteur exécute les phases ci-après du projet : </w:t>
      </w:r>
    </w:p>
    <w:p w14:paraId="7788A964" w14:textId="77777777" w:rsidR="000400DD" w:rsidRPr="00D124D9" w:rsidRDefault="000400DD" w:rsidP="000400DD">
      <w:pPr>
        <w:pStyle w:val="Paragraphedeliste"/>
        <w:numPr>
          <w:ilvl w:val="0"/>
          <w:numId w:val="254"/>
        </w:numPr>
        <w:tabs>
          <w:tab w:val="left" w:pos="1260"/>
        </w:tabs>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évaluation du projet ;</w:t>
      </w:r>
    </w:p>
    <w:p w14:paraId="50D74E59" w14:textId="77777777" w:rsidR="000400DD" w:rsidRPr="00D124D9" w:rsidRDefault="000400DD" w:rsidP="000400DD">
      <w:pPr>
        <w:pStyle w:val="Paragraphedeliste"/>
        <w:numPr>
          <w:ilvl w:val="0"/>
          <w:numId w:val="254"/>
        </w:numPr>
        <w:tabs>
          <w:tab w:val="left" w:pos="1260"/>
        </w:tabs>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structuration du projet</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6EE59142" w14:textId="77777777" w:rsidR="000400DD" w:rsidRPr="00D124D9" w:rsidRDefault="000400DD" w:rsidP="000400DD">
      <w:pPr>
        <w:pStyle w:val="Paragraphedeliste"/>
        <w:numPr>
          <w:ilvl w:val="0"/>
          <w:numId w:val="254"/>
        </w:numPr>
        <w:tabs>
          <w:tab w:val="left" w:pos="1260"/>
        </w:tabs>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sélection du partenaire privé</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et</w:t>
      </w:r>
    </w:p>
    <w:p w14:paraId="78028483" w14:textId="77777777" w:rsidR="000400DD" w:rsidRPr="00D124D9" w:rsidRDefault="000400DD" w:rsidP="000400DD">
      <w:pPr>
        <w:pStyle w:val="Paragraphedeliste"/>
        <w:numPr>
          <w:ilvl w:val="0"/>
          <w:numId w:val="254"/>
        </w:numPr>
        <w:tabs>
          <w:tab w:val="left" w:pos="1260"/>
        </w:tabs>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gestion du marché ou du contrat.</w:t>
      </w:r>
    </w:p>
    <w:p w14:paraId="13A29964" w14:textId="77777777" w:rsidR="000400DD" w:rsidRPr="00D124D9" w:rsidRDefault="000400DD" w:rsidP="000400DD">
      <w:pPr>
        <w:pStyle w:val="Paragraphedeliste"/>
        <w:numPr>
          <w:ilvl w:val="0"/>
          <w:numId w:val="104"/>
        </w:numPr>
        <w:tabs>
          <w:tab w:val="left" w:pos="630"/>
        </w:tabs>
        <w:spacing w:before="0" w:line="240" w:lineRule="auto"/>
        <w:ind w:left="630"/>
        <w:contextualSpacing w:val="0"/>
        <w:rPr>
          <w:rFonts w:ascii="Andes" w:hAnsi="Andes" w:cs="Arial"/>
          <w:sz w:val="22"/>
          <w:szCs w:val="22"/>
        </w:rPr>
      </w:pPr>
      <w:r w:rsidRPr="00D124D9">
        <w:rPr>
          <w:rFonts w:ascii="Andes" w:eastAsiaTheme="minorHAnsi" w:hAnsi="Andes" w:cs="Arial"/>
          <w:color w:val="000000"/>
          <w:sz w:val="22"/>
          <w:szCs w:val="22"/>
        </w:rPr>
        <w:t>L’Emprunteur doit pouvoir établir qu</w:t>
      </w:r>
      <w:r>
        <w:rPr>
          <w:rFonts w:ascii="Andes" w:eastAsiaTheme="minorHAnsi" w:hAnsi="Andes" w:cs="Arial"/>
          <w:color w:val="000000"/>
          <w:sz w:val="22"/>
          <w:szCs w:val="22"/>
        </w:rPr>
        <w:t>’il existe des</w:t>
      </w:r>
      <w:r w:rsidRPr="00D124D9">
        <w:rPr>
          <w:rFonts w:ascii="Andes" w:eastAsiaTheme="minorHAnsi" w:hAnsi="Andes" w:cs="Arial"/>
          <w:color w:val="000000"/>
          <w:sz w:val="22"/>
          <w:szCs w:val="22"/>
        </w:rPr>
        <w:t xml:space="preserve"> capacités </w:t>
      </w:r>
      <w:r>
        <w:rPr>
          <w:rFonts w:ascii="Andes" w:eastAsiaTheme="minorHAnsi" w:hAnsi="Andes" w:cs="Arial"/>
          <w:color w:val="000000"/>
          <w:sz w:val="22"/>
          <w:szCs w:val="22"/>
        </w:rPr>
        <w:t>institutionnelles suffisantes</w:t>
      </w:r>
      <w:r w:rsidRPr="00D124D9">
        <w:rPr>
          <w:rFonts w:ascii="Andes" w:eastAsiaTheme="minorHAnsi" w:hAnsi="Andes" w:cs="Arial"/>
          <w:color w:val="000000"/>
          <w:sz w:val="22"/>
          <w:szCs w:val="22"/>
        </w:rPr>
        <w:t xml:space="preserve"> pour préparer, structurer, obtenir et gérer un projet PPP.  </w:t>
      </w:r>
    </w:p>
    <w:p w14:paraId="5FE35849" w14:textId="77777777" w:rsidR="000400DD" w:rsidRPr="00D124D9" w:rsidRDefault="000400DD" w:rsidP="000400DD">
      <w:pPr>
        <w:pStyle w:val="Paragraphedeliste"/>
        <w:numPr>
          <w:ilvl w:val="0"/>
          <w:numId w:val="135"/>
        </w:numPr>
        <w:spacing w:before="240"/>
        <w:ind w:left="630" w:hanging="630"/>
        <w:contextualSpacing w:val="0"/>
        <w:jc w:val="left"/>
        <w:rPr>
          <w:rFonts w:ascii="Andes" w:eastAsiaTheme="majorEastAsia" w:hAnsi="Andes"/>
          <w:b/>
          <w:color w:val="C45911"/>
          <w:sz w:val="32"/>
          <w:szCs w:val="32"/>
        </w:rPr>
      </w:pPr>
      <w:bookmarkStart w:id="3596" w:name="_Toc453171019"/>
      <w:r w:rsidRPr="00D124D9">
        <w:rPr>
          <w:rFonts w:ascii="Andes" w:eastAsiaTheme="majorEastAsia" w:hAnsi="Andes"/>
          <w:b/>
          <w:color w:val="C45911"/>
          <w:sz w:val="32"/>
          <w:szCs w:val="32"/>
        </w:rPr>
        <w:t>Évaluation du projet</w:t>
      </w:r>
      <w:r w:rsidRPr="00D124D9">
        <w:rPr>
          <w:rFonts w:ascii="Calibri" w:eastAsiaTheme="majorEastAsia" w:hAnsi="Calibri"/>
          <w:b/>
          <w:color w:val="C45911"/>
          <w:sz w:val="32"/>
          <w:szCs w:val="32"/>
        </w:rPr>
        <w:t> </w:t>
      </w:r>
      <w:r w:rsidRPr="00D124D9">
        <w:rPr>
          <w:rFonts w:ascii="Andes" w:eastAsiaTheme="majorEastAsia" w:hAnsi="Andes"/>
          <w:b/>
          <w:color w:val="C45911"/>
          <w:sz w:val="32"/>
          <w:szCs w:val="32"/>
        </w:rPr>
        <w:t>: bien-fondé et conditions de faisabilité</w:t>
      </w:r>
      <w:bookmarkEnd w:id="3596"/>
    </w:p>
    <w:p w14:paraId="2FBEC2E2" w14:textId="77777777" w:rsidR="000400DD" w:rsidRPr="00D124D9" w:rsidRDefault="000400DD" w:rsidP="000400DD">
      <w:pPr>
        <w:pStyle w:val="Paragraphedeliste"/>
        <w:spacing w:before="240"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 xml:space="preserve">Identification </w:t>
      </w:r>
    </w:p>
    <w:p w14:paraId="44473430" w14:textId="77777777" w:rsidR="000400DD" w:rsidRPr="00D124D9" w:rsidRDefault="000400DD" w:rsidP="000400DD">
      <w:pPr>
        <w:pStyle w:val="Paragraphedeliste"/>
        <w:numPr>
          <w:ilvl w:val="0"/>
          <w:numId w:val="99"/>
        </w:numPr>
        <w:tabs>
          <w:tab w:val="left" w:pos="630"/>
        </w:tabs>
        <w:spacing w:before="0" w:line="240" w:lineRule="auto"/>
        <w:ind w:left="634"/>
        <w:contextualSpacing w:val="0"/>
        <w:rPr>
          <w:rFonts w:ascii="Andes" w:hAnsi="Andes" w:cs="Arial"/>
          <w:sz w:val="22"/>
          <w:szCs w:val="22"/>
        </w:rPr>
      </w:pPr>
      <w:r w:rsidRPr="00D124D9">
        <w:rPr>
          <w:rFonts w:ascii="Andes" w:hAnsi="Andes" w:cs="Arial"/>
          <w:sz w:val="22"/>
          <w:szCs w:val="22"/>
        </w:rPr>
        <w:t>La composante PPP envisagée pour le projet doit avoir été identifiée comme un projet d’investissement public prioritaire et/ou découler d’un plan d’infrastructure/programme sectoriel national a</w:t>
      </w:r>
      <w:r>
        <w:rPr>
          <w:rFonts w:ascii="Andes" w:hAnsi="Andes" w:cs="Arial"/>
          <w:sz w:val="22"/>
          <w:szCs w:val="22"/>
        </w:rPr>
        <w:t>gréé</w:t>
      </w:r>
      <w:r w:rsidRPr="00D124D9">
        <w:rPr>
          <w:rFonts w:ascii="Andes" w:hAnsi="Andes" w:cs="Arial"/>
          <w:sz w:val="22"/>
          <w:szCs w:val="22"/>
        </w:rPr>
        <w:t xml:space="preserve">.  </w:t>
      </w:r>
    </w:p>
    <w:p w14:paraId="7AA9F857" w14:textId="77777777" w:rsidR="000400DD" w:rsidRPr="00D124D9" w:rsidRDefault="000400DD" w:rsidP="000400DD">
      <w:pPr>
        <w:pStyle w:val="Paragraphedeliste"/>
        <w:spacing w:before="240"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Conditions de faisabilité</w:t>
      </w:r>
    </w:p>
    <w:p w14:paraId="65A918D0" w14:textId="77777777" w:rsidR="000400DD" w:rsidRPr="00D124D9" w:rsidRDefault="000400DD" w:rsidP="000400DD">
      <w:pPr>
        <w:tabs>
          <w:tab w:val="left" w:pos="630"/>
        </w:tabs>
        <w:spacing w:before="0" w:line="240" w:lineRule="auto"/>
        <w:contextualSpacing w:val="0"/>
        <w:rPr>
          <w:rFonts w:ascii="Andes" w:hAnsi="Andes" w:cs="Arial"/>
          <w:sz w:val="22"/>
          <w:szCs w:val="22"/>
        </w:rPr>
      </w:pPr>
      <w:r w:rsidRPr="00D124D9">
        <w:rPr>
          <w:rFonts w:ascii="Andes" w:hAnsi="Andes" w:cs="Arial"/>
          <w:sz w:val="22"/>
          <w:szCs w:val="22"/>
        </w:rPr>
        <w:t>3.2</w:t>
      </w:r>
      <w:r w:rsidRPr="00D124D9">
        <w:rPr>
          <w:rFonts w:ascii="Andes" w:hAnsi="Andes" w:cs="Arial"/>
          <w:sz w:val="22"/>
          <w:szCs w:val="22"/>
        </w:rPr>
        <w:tab/>
        <w:t>L’Emprunteur doit avoir réalisé les études économiques et financières pertinentes pour confirmer ce qui suit</w:t>
      </w:r>
      <w:r w:rsidRPr="00D124D9">
        <w:rPr>
          <w:rFonts w:ascii="Calibri" w:hAnsi="Calibri" w:cs="Arial"/>
          <w:sz w:val="22"/>
          <w:szCs w:val="22"/>
        </w:rPr>
        <w:t> </w:t>
      </w:r>
      <w:r w:rsidRPr="00D124D9">
        <w:rPr>
          <w:rFonts w:ascii="Andes" w:hAnsi="Andes" w:cs="Arial"/>
          <w:sz w:val="22"/>
          <w:szCs w:val="22"/>
        </w:rPr>
        <w:t>:</w:t>
      </w:r>
    </w:p>
    <w:p w14:paraId="2329E378" w14:textId="77777777" w:rsidR="000400DD" w:rsidRPr="00D124D9" w:rsidRDefault="000400DD" w:rsidP="000400DD">
      <w:pPr>
        <w:pStyle w:val="Paragraphedeliste"/>
        <w:numPr>
          <w:ilvl w:val="0"/>
          <w:numId w:val="255"/>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Le projet sous-jacent est dûment justifié, une bonne analyse économique quantifiée montre que le projet offre la meilleure optimisation des ressources (c’est-à-dire qu’il est justifié en raison d’un bon rapport coût-efficacité) et les modes de prestation des avantages, au regard des contraintes techniques, juridiques, finan</w:t>
      </w:r>
      <w:r>
        <w:rPr>
          <w:rFonts w:ascii="Andes" w:eastAsiaTheme="minorHAnsi" w:hAnsi="Andes" w:cs="Arial"/>
          <w:color w:val="000000"/>
          <w:sz w:val="22"/>
          <w:szCs w:val="22"/>
        </w:rPr>
        <w:t>cières et environnementales, que le projet</w:t>
      </w:r>
      <w:r w:rsidRPr="00D124D9">
        <w:rPr>
          <w:rFonts w:ascii="Andes" w:eastAsiaTheme="minorHAnsi" w:hAnsi="Andes" w:cs="Arial"/>
          <w:color w:val="000000"/>
          <w:sz w:val="22"/>
          <w:szCs w:val="22"/>
        </w:rPr>
        <w:t xml:space="preserve"> soit mis en œuvre dans le cadre d’un PPP ou par toute autre procédure publique de passation de marché ;</w:t>
      </w:r>
    </w:p>
    <w:p w14:paraId="19082865" w14:textId="77777777" w:rsidR="000400DD" w:rsidRPr="00D124D9" w:rsidRDefault="000400DD" w:rsidP="000400DD">
      <w:pPr>
        <w:pStyle w:val="Paragraphedeliste"/>
        <w:numPr>
          <w:ilvl w:val="0"/>
          <w:numId w:val="255"/>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L’évaluation des besoins globaux du projet en re</w:t>
      </w:r>
      <w:r>
        <w:rPr>
          <w:rFonts w:ascii="Andes" w:eastAsiaTheme="minorHAnsi" w:hAnsi="Andes" w:cs="Arial"/>
          <w:color w:val="000000"/>
          <w:sz w:val="22"/>
          <w:szCs w:val="22"/>
        </w:rPr>
        <w:t>venus</w:t>
      </w:r>
      <w:r w:rsidRPr="00D124D9">
        <w:rPr>
          <w:rFonts w:ascii="Andes" w:eastAsiaTheme="minorHAnsi" w:hAnsi="Andes" w:cs="Arial"/>
          <w:color w:val="000000"/>
          <w:sz w:val="22"/>
          <w:szCs w:val="22"/>
        </w:rPr>
        <w:t xml:space="preserve"> est telle que les usagers, l’autorité publique ou les deux ont la capacité de payer pour les services d’infrastructure</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69026E33" w14:textId="77777777" w:rsidR="000400DD" w:rsidRPr="00D124D9" w:rsidRDefault="000400DD" w:rsidP="000400DD">
      <w:pPr>
        <w:pStyle w:val="Paragraphedeliste"/>
        <w:numPr>
          <w:ilvl w:val="0"/>
          <w:numId w:val="255"/>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Les risques liés au projet ont été recensés et évalués, des mesures d’atténuation envisagées, et le reste des risques budgétaires ne compromettra pas la viabilité financière</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1D4A8D9F" w14:textId="77777777" w:rsidR="000400DD" w:rsidRPr="00D124D9" w:rsidRDefault="000400DD" w:rsidP="000400DD">
      <w:pPr>
        <w:pStyle w:val="Paragraphedeliste"/>
        <w:numPr>
          <w:ilvl w:val="0"/>
          <w:numId w:val="255"/>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lastRenderedPageBreak/>
        <w:t>Le mode de PPP choisi (matrice de répartition des risques, mécanisme de rémunération et de performance) résulte de l’examen d’autres modes de PPP et procédures de passation de</w:t>
      </w:r>
      <w:r>
        <w:rPr>
          <w:rFonts w:ascii="Andes" w:eastAsiaTheme="minorHAnsi" w:hAnsi="Andes" w:cs="Arial"/>
          <w:color w:val="000000"/>
          <w:sz w:val="22"/>
          <w:szCs w:val="22"/>
        </w:rPr>
        <w:t>s</w:t>
      </w:r>
      <w:r w:rsidRPr="00D124D9">
        <w:rPr>
          <w:rFonts w:ascii="Andes" w:eastAsiaTheme="minorHAnsi" w:hAnsi="Andes" w:cs="Arial"/>
          <w:color w:val="000000"/>
          <w:sz w:val="22"/>
          <w:szCs w:val="22"/>
        </w:rPr>
        <w:t xml:space="preserve"> marchés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et</w:t>
      </w:r>
    </w:p>
    <w:p w14:paraId="5027C03D" w14:textId="77777777" w:rsidR="000400DD" w:rsidRPr="00D124D9" w:rsidRDefault="000400DD" w:rsidP="000400DD">
      <w:pPr>
        <w:pStyle w:val="Paragraphedeliste"/>
        <w:numPr>
          <w:ilvl w:val="0"/>
          <w:numId w:val="255"/>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L</w:t>
      </w:r>
      <w:r>
        <w:rPr>
          <w:rFonts w:ascii="Andes" w:eastAsiaTheme="minorHAnsi" w:hAnsi="Andes" w:cs="Arial"/>
          <w:color w:val="000000"/>
          <w:sz w:val="22"/>
          <w:szCs w:val="22"/>
        </w:rPr>
        <w:t>e projet est</w:t>
      </w:r>
      <w:r w:rsidRPr="00D124D9">
        <w:rPr>
          <w:rFonts w:ascii="Andes" w:eastAsiaTheme="minorHAnsi" w:hAnsi="Andes" w:cs="Arial"/>
          <w:color w:val="000000"/>
          <w:sz w:val="22"/>
          <w:szCs w:val="22"/>
        </w:rPr>
        <w:t xml:space="preserve"> </w:t>
      </w:r>
      <w:r>
        <w:rPr>
          <w:rFonts w:ascii="Andes" w:eastAsiaTheme="minorHAnsi" w:hAnsi="Andes" w:cs="Arial"/>
          <w:color w:val="000000"/>
          <w:sz w:val="22"/>
          <w:szCs w:val="22"/>
        </w:rPr>
        <w:t xml:space="preserve">viable </w:t>
      </w:r>
      <w:proofErr w:type="gramStart"/>
      <w:r>
        <w:rPr>
          <w:rFonts w:ascii="Andes" w:eastAsiaTheme="minorHAnsi" w:hAnsi="Andes" w:cs="Arial"/>
          <w:color w:val="000000"/>
          <w:sz w:val="22"/>
          <w:szCs w:val="22"/>
        </w:rPr>
        <w:t>au</w:t>
      </w:r>
      <w:proofErr w:type="gramEnd"/>
      <w:r>
        <w:rPr>
          <w:rFonts w:ascii="Andes" w:eastAsiaTheme="minorHAnsi" w:hAnsi="Andes" w:cs="Arial"/>
          <w:color w:val="000000"/>
          <w:sz w:val="22"/>
          <w:szCs w:val="22"/>
        </w:rPr>
        <w:t xml:space="preserve"> plan</w:t>
      </w:r>
      <w:r w:rsidRPr="00D124D9">
        <w:rPr>
          <w:rFonts w:ascii="Andes" w:eastAsiaTheme="minorHAnsi" w:hAnsi="Andes" w:cs="Arial"/>
          <w:color w:val="000000"/>
          <w:sz w:val="22"/>
          <w:szCs w:val="22"/>
        </w:rPr>
        <w:t xml:space="preserve"> commercial, </w:t>
      </w:r>
      <w:r>
        <w:rPr>
          <w:rFonts w:ascii="Andes" w:eastAsiaTheme="minorHAnsi" w:hAnsi="Andes" w:cs="Arial"/>
          <w:color w:val="000000"/>
          <w:sz w:val="22"/>
          <w:szCs w:val="22"/>
        </w:rPr>
        <w:t>c’est-à-dire qu’il</w:t>
      </w:r>
      <w:r w:rsidRPr="00D124D9">
        <w:rPr>
          <w:rFonts w:ascii="Andes" w:eastAsiaTheme="minorHAnsi" w:hAnsi="Andes" w:cs="Arial"/>
          <w:color w:val="000000"/>
          <w:sz w:val="22"/>
          <w:szCs w:val="22"/>
        </w:rPr>
        <w:t xml:space="preserve"> est susceptible d’attirer des promoteurs et des bailleurs de fonds de qualité en offrant un rendement financier robuste et raisonnable.</w:t>
      </w:r>
    </w:p>
    <w:p w14:paraId="2006B5D6" w14:textId="77777777" w:rsidR="000400DD" w:rsidRPr="00D124D9" w:rsidRDefault="000400DD" w:rsidP="000400DD">
      <w:pPr>
        <w:spacing w:before="0" w:line="240" w:lineRule="auto"/>
        <w:ind w:left="720" w:hanging="720"/>
        <w:contextualSpacing w:val="0"/>
        <w:rPr>
          <w:rFonts w:ascii="Andes" w:hAnsi="Andes" w:cs="Arial"/>
          <w:sz w:val="22"/>
          <w:szCs w:val="22"/>
        </w:rPr>
      </w:pPr>
      <w:r w:rsidRPr="00D124D9">
        <w:rPr>
          <w:rFonts w:ascii="Andes" w:hAnsi="Andes" w:cs="Arial"/>
          <w:sz w:val="22"/>
          <w:szCs w:val="22"/>
        </w:rPr>
        <w:t xml:space="preserve">3.3 </w:t>
      </w:r>
      <w:r w:rsidRPr="00D124D9">
        <w:rPr>
          <w:rFonts w:ascii="Andes" w:hAnsi="Andes" w:cs="Arial"/>
          <w:sz w:val="22"/>
          <w:szCs w:val="22"/>
        </w:rPr>
        <w:tab/>
        <w:t>L’Emprunteur s’assure que les informations ci-dessus sont disponibles pour permettre un examen indépendant et une garantie tierce des apports, hypothèses et résultats.</w:t>
      </w:r>
    </w:p>
    <w:p w14:paraId="3C7A85C5" w14:textId="77777777" w:rsidR="000400DD" w:rsidRPr="00D124D9" w:rsidRDefault="000400DD" w:rsidP="000400DD">
      <w:pPr>
        <w:pStyle w:val="Paragraphedeliste"/>
        <w:numPr>
          <w:ilvl w:val="0"/>
          <w:numId w:val="135"/>
        </w:numPr>
        <w:spacing w:before="240"/>
        <w:ind w:left="630" w:hanging="630"/>
        <w:contextualSpacing w:val="0"/>
        <w:rPr>
          <w:rFonts w:ascii="Andes" w:eastAsiaTheme="majorEastAsia" w:hAnsi="Andes"/>
          <w:b/>
          <w:color w:val="C45911"/>
          <w:sz w:val="32"/>
          <w:szCs w:val="32"/>
        </w:rPr>
      </w:pPr>
      <w:bookmarkStart w:id="3597" w:name="_Toc453171020"/>
      <w:r w:rsidRPr="00D124D9">
        <w:rPr>
          <w:rFonts w:ascii="Andes" w:eastAsiaTheme="majorEastAsia" w:hAnsi="Andes"/>
          <w:b/>
          <w:color w:val="C45911"/>
          <w:sz w:val="32"/>
          <w:szCs w:val="32"/>
        </w:rPr>
        <w:t>Structure du projet</w:t>
      </w:r>
      <w:r w:rsidRPr="00D124D9">
        <w:rPr>
          <w:rFonts w:ascii="Calibri" w:eastAsiaTheme="majorEastAsia" w:hAnsi="Calibri"/>
          <w:b/>
          <w:color w:val="C45911"/>
          <w:sz w:val="32"/>
          <w:szCs w:val="32"/>
        </w:rPr>
        <w:t> </w:t>
      </w:r>
      <w:r w:rsidRPr="00D124D9">
        <w:rPr>
          <w:rFonts w:ascii="Andes" w:eastAsiaTheme="majorEastAsia" w:hAnsi="Andes"/>
          <w:b/>
          <w:color w:val="C45911"/>
          <w:sz w:val="32"/>
          <w:szCs w:val="32"/>
        </w:rPr>
        <w:t>: conditions structurelles d’un PPP</w:t>
      </w:r>
      <w:bookmarkEnd w:id="3597"/>
    </w:p>
    <w:p w14:paraId="436AA4CB" w14:textId="77777777" w:rsidR="000400DD" w:rsidRPr="00D124D9" w:rsidRDefault="000400DD" w:rsidP="000400DD">
      <w:pPr>
        <w:pStyle w:val="Paragraphedeliste"/>
        <w:spacing w:before="240"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Spécification des résultats</w:t>
      </w:r>
    </w:p>
    <w:p w14:paraId="6D40CB7F" w14:textId="77777777" w:rsidR="000400DD" w:rsidRPr="00D124D9" w:rsidRDefault="000400DD" w:rsidP="000400DD">
      <w:pPr>
        <w:pStyle w:val="Paragraphedeliste"/>
        <w:numPr>
          <w:ilvl w:val="0"/>
          <w:numId w:val="103"/>
        </w:numPr>
        <w:tabs>
          <w:tab w:val="left" w:pos="630"/>
        </w:tabs>
        <w:spacing w:before="0" w:line="240" w:lineRule="auto"/>
        <w:ind w:left="630"/>
        <w:contextualSpacing w:val="0"/>
        <w:rPr>
          <w:rFonts w:ascii="Andes" w:hAnsi="Andes" w:cs="Arial"/>
          <w:sz w:val="22"/>
          <w:szCs w:val="22"/>
        </w:rPr>
      </w:pPr>
      <w:r w:rsidRPr="00D124D9">
        <w:rPr>
          <w:rFonts w:ascii="Andes" w:hAnsi="Andes" w:cs="Arial"/>
          <w:sz w:val="22"/>
          <w:szCs w:val="22"/>
        </w:rPr>
        <w:t>L’Emprunteur veille à inclure des exigences axées sur les résultats et les spécifications à cet égard portent sur</w:t>
      </w:r>
      <w:r w:rsidRPr="00D124D9">
        <w:rPr>
          <w:rFonts w:ascii="Calibri" w:hAnsi="Calibri" w:cs="Arial"/>
          <w:sz w:val="22"/>
          <w:szCs w:val="22"/>
        </w:rPr>
        <w:t> </w:t>
      </w:r>
      <w:r w:rsidRPr="00D124D9">
        <w:rPr>
          <w:rFonts w:ascii="Andes" w:hAnsi="Andes" w:cs="Arial"/>
          <w:sz w:val="22"/>
          <w:szCs w:val="22"/>
        </w:rPr>
        <w:t>:</w:t>
      </w:r>
    </w:p>
    <w:p w14:paraId="69CBB97A" w14:textId="77777777" w:rsidR="000400DD" w:rsidRPr="00D124D9" w:rsidRDefault="000400DD" w:rsidP="000400DD">
      <w:pPr>
        <w:pStyle w:val="Paragraphedeliste"/>
        <w:numPr>
          <w:ilvl w:val="0"/>
          <w:numId w:val="256"/>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des cibles de performance claires et des exigences de résultats spécifiques, mesurables, réalisables, réalistes et assorties d’échéances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47975E5A" w14:textId="77777777" w:rsidR="000400DD" w:rsidRPr="00D124D9" w:rsidRDefault="000400DD" w:rsidP="000400DD">
      <w:pPr>
        <w:pStyle w:val="Paragraphedeliste"/>
        <w:numPr>
          <w:ilvl w:val="0"/>
          <w:numId w:val="256"/>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la manière dont la performance sera contrôlée, notamment les rôles de l’équipe publique de gestion du marché ou du contrat, du partenaire privé, des contrôleurs externes, des régulateurs et des utilisateurs ; et </w:t>
      </w:r>
    </w:p>
    <w:p w14:paraId="150B8527" w14:textId="77777777" w:rsidR="000400DD" w:rsidRPr="00D124D9" w:rsidRDefault="000400DD" w:rsidP="000400DD">
      <w:pPr>
        <w:pStyle w:val="Paragraphedeliste"/>
        <w:numPr>
          <w:ilvl w:val="0"/>
          <w:numId w:val="256"/>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les conséquences si les cibles de performance n’étaient pas atteintes</w:t>
      </w:r>
      <w:r>
        <w:rPr>
          <w:rFonts w:ascii="Andes" w:eastAsiaTheme="minorHAnsi" w:hAnsi="Andes" w:cs="Arial"/>
          <w:color w:val="000000"/>
          <w:sz w:val="22"/>
          <w:szCs w:val="22"/>
        </w:rPr>
        <w:t>. Elles sont c</w:t>
      </w:r>
      <w:r w:rsidRPr="00D124D9">
        <w:rPr>
          <w:rFonts w:ascii="Andes" w:eastAsiaTheme="minorHAnsi" w:hAnsi="Andes" w:cs="Arial"/>
          <w:color w:val="000000"/>
          <w:sz w:val="22"/>
          <w:szCs w:val="22"/>
        </w:rPr>
        <w:t>lairement spécifiées et applicables.</w:t>
      </w:r>
    </w:p>
    <w:p w14:paraId="75FFF691" w14:textId="77777777" w:rsidR="000400DD" w:rsidRPr="00D124D9" w:rsidRDefault="000400DD" w:rsidP="000400DD">
      <w:pPr>
        <w:pStyle w:val="Paragraphedeliste"/>
        <w:spacing w:before="240"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 xml:space="preserve">Répartition des risques </w:t>
      </w:r>
    </w:p>
    <w:p w14:paraId="77A30ADD" w14:textId="77777777" w:rsidR="000400DD" w:rsidRPr="00D124D9" w:rsidRDefault="000400DD" w:rsidP="000400DD">
      <w:pPr>
        <w:pStyle w:val="Paragraphedeliste"/>
        <w:numPr>
          <w:ilvl w:val="0"/>
          <w:numId w:val="103"/>
        </w:numPr>
        <w:tabs>
          <w:tab w:val="left" w:pos="630"/>
        </w:tabs>
        <w:spacing w:before="0" w:line="240" w:lineRule="auto"/>
        <w:ind w:left="634"/>
        <w:contextualSpacing w:val="0"/>
        <w:rPr>
          <w:rFonts w:ascii="Andes" w:hAnsi="Andes" w:cs="Arial"/>
          <w:sz w:val="22"/>
          <w:szCs w:val="22"/>
        </w:rPr>
      </w:pPr>
      <w:r w:rsidRPr="00D124D9">
        <w:rPr>
          <w:rFonts w:ascii="Andes" w:hAnsi="Andes" w:cs="Arial"/>
          <w:sz w:val="22"/>
          <w:szCs w:val="22"/>
        </w:rPr>
        <w:t>Sur la base des dispositions contractuelles, l’Emprunteur présente à la Banque une matrice des risques détaillant de manière exhaustive tous les risques liés au projet et leur répartition appropriée entre les parties contractantes ou les tiers.</w:t>
      </w:r>
    </w:p>
    <w:p w14:paraId="44E4B998" w14:textId="77777777" w:rsidR="000400DD" w:rsidRPr="00D124D9" w:rsidRDefault="000400DD" w:rsidP="000400DD">
      <w:pPr>
        <w:pStyle w:val="Paragraphedeliste"/>
        <w:spacing w:before="240"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 xml:space="preserve">Mécanisme de rémunération de </w:t>
      </w:r>
      <w:r>
        <w:rPr>
          <w:rFonts w:ascii="Andes" w:hAnsi="Andes" w:cs="Arial"/>
          <w:b/>
          <w:color w:val="000000" w:themeColor="text1"/>
          <w:sz w:val="28"/>
          <w:szCs w:val="28"/>
        </w:rPr>
        <w:t xml:space="preserve">la </w:t>
      </w:r>
      <w:r w:rsidRPr="00D124D9">
        <w:rPr>
          <w:rFonts w:ascii="Andes" w:hAnsi="Andes" w:cs="Arial"/>
          <w:b/>
          <w:color w:val="000000" w:themeColor="text1"/>
          <w:sz w:val="28"/>
          <w:szCs w:val="28"/>
        </w:rPr>
        <w:t>performance</w:t>
      </w:r>
    </w:p>
    <w:p w14:paraId="15B0D90F" w14:textId="77777777" w:rsidR="000400DD" w:rsidRPr="00D124D9" w:rsidRDefault="000400DD" w:rsidP="000400DD">
      <w:pPr>
        <w:pStyle w:val="Paragraphedeliste"/>
        <w:numPr>
          <w:ilvl w:val="0"/>
          <w:numId w:val="103"/>
        </w:numPr>
        <w:tabs>
          <w:tab w:val="left" w:pos="630"/>
        </w:tabs>
        <w:spacing w:before="0" w:line="240" w:lineRule="auto"/>
        <w:ind w:left="634"/>
        <w:contextualSpacing w:val="0"/>
        <w:rPr>
          <w:rFonts w:ascii="Andes" w:hAnsi="Andes" w:cs="Arial"/>
          <w:sz w:val="22"/>
          <w:szCs w:val="22"/>
        </w:rPr>
      </w:pPr>
      <w:r w:rsidRPr="00D124D9">
        <w:rPr>
          <w:rFonts w:ascii="Andes" w:hAnsi="Andes" w:cs="Arial"/>
          <w:sz w:val="22"/>
          <w:szCs w:val="22"/>
        </w:rPr>
        <w:t>L’Emprunteur élabore un mécanisme de paiement et de performance qui fixe le principe de rémunération de la performance sur la base de la fourniture des biens et services prévus dans le marché ou le contrat selon les niveaux et le programme convenus.</w:t>
      </w:r>
    </w:p>
    <w:p w14:paraId="3C83C9F3" w14:textId="77777777" w:rsidR="000400DD" w:rsidRPr="00D124D9" w:rsidRDefault="000400DD" w:rsidP="000400DD">
      <w:pPr>
        <w:pStyle w:val="Paragraphedeliste"/>
        <w:numPr>
          <w:ilvl w:val="0"/>
          <w:numId w:val="135"/>
        </w:numPr>
        <w:spacing w:before="240"/>
        <w:ind w:left="630" w:hanging="630"/>
        <w:contextualSpacing w:val="0"/>
        <w:rPr>
          <w:rFonts w:ascii="Andes" w:eastAsiaTheme="majorEastAsia" w:hAnsi="Andes"/>
          <w:b/>
          <w:color w:val="C45911"/>
          <w:sz w:val="32"/>
          <w:szCs w:val="32"/>
        </w:rPr>
      </w:pPr>
      <w:bookmarkStart w:id="3598" w:name="_Toc453171021"/>
      <w:r>
        <w:rPr>
          <w:rFonts w:ascii="Andes" w:eastAsiaTheme="majorEastAsia" w:hAnsi="Andes"/>
          <w:b/>
          <w:color w:val="C45911"/>
          <w:sz w:val="32"/>
          <w:szCs w:val="32"/>
        </w:rPr>
        <w:t>Sélection</w:t>
      </w:r>
      <w:r w:rsidRPr="00D124D9">
        <w:rPr>
          <w:rFonts w:ascii="Andes" w:eastAsiaTheme="majorEastAsia" w:hAnsi="Andes"/>
          <w:b/>
          <w:color w:val="C45911"/>
          <w:sz w:val="32"/>
          <w:szCs w:val="32"/>
        </w:rPr>
        <w:t xml:space="preserve"> du partenaire privé</w:t>
      </w:r>
      <w:bookmarkEnd w:id="3598"/>
    </w:p>
    <w:p w14:paraId="26E73D48" w14:textId="527EDAE5" w:rsidR="000400DD" w:rsidRPr="00D124D9" w:rsidRDefault="00083C36" w:rsidP="000400DD">
      <w:pPr>
        <w:pStyle w:val="Paragraphedeliste"/>
        <w:numPr>
          <w:ilvl w:val="0"/>
          <w:numId w:val="101"/>
        </w:numPr>
        <w:tabs>
          <w:tab w:val="left" w:pos="630"/>
        </w:tabs>
        <w:spacing w:before="0" w:line="240" w:lineRule="auto"/>
        <w:ind w:left="634"/>
        <w:contextualSpacing w:val="0"/>
        <w:rPr>
          <w:rFonts w:ascii="Andes" w:hAnsi="Andes" w:cs="Arial"/>
          <w:sz w:val="22"/>
          <w:szCs w:val="22"/>
        </w:rPr>
      </w:pPr>
      <w:r>
        <w:rPr>
          <w:rFonts w:ascii="Andes" w:hAnsi="Andes" w:cs="Arial"/>
          <w:sz w:val="22"/>
          <w:szCs w:val="22"/>
        </w:rPr>
        <w:t xml:space="preserve">La mise en concurrence ouverte constitue la méthode préférée de la Banque pour la sélection. </w:t>
      </w:r>
      <w:r w:rsidRPr="00D124D9">
        <w:rPr>
          <w:rFonts w:ascii="Andes" w:hAnsi="Andes" w:cs="Arial"/>
          <w:sz w:val="22"/>
          <w:szCs w:val="22"/>
        </w:rPr>
        <w:t>La Banque peut, exceptionnellement, accepter une procédure non concurrentielle</w:t>
      </w:r>
      <w:r>
        <w:rPr>
          <w:rFonts w:ascii="Andes" w:hAnsi="Andes" w:cs="Arial"/>
          <w:sz w:val="22"/>
          <w:szCs w:val="22"/>
        </w:rPr>
        <w:t xml:space="preserve">. </w:t>
      </w:r>
      <w:r w:rsidR="000400DD" w:rsidRPr="00D124D9">
        <w:rPr>
          <w:rFonts w:ascii="Andes" w:hAnsi="Andes" w:cs="Arial"/>
          <w:sz w:val="22"/>
          <w:szCs w:val="22"/>
        </w:rPr>
        <w:t xml:space="preserve">L’Emprunteur </w:t>
      </w:r>
      <w:r w:rsidR="000400DD">
        <w:rPr>
          <w:rFonts w:ascii="Andes" w:hAnsi="Andes" w:cs="Arial"/>
          <w:sz w:val="22"/>
          <w:szCs w:val="22"/>
        </w:rPr>
        <w:t xml:space="preserve">doit </w:t>
      </w:r>
      <w:r w:rsidR="000400DD" w:rsidRPr="00D124D9">
        <w:rPr>
          <w:rFonts w:ascii="Andes" w:hAnsi="Andes" w:cs="Arial"/>
          <w:sz w:val="22"/>
          <w:szCs w:val="22"/>
        </w:rPr>
        <w:t>choisi</w:t>
      </w:r>
      <w:r w:rsidR="000400DD">
        <w:rPr>
          <w:rFonts w:ascii="Andes" w:hAnsi="Andes" w:cs="Arial"/>
          <w:sz w:val="22"/>
          <w:szCs w:val="22"/>
        </w:rPr>
        <w:t>r</w:t>
      </w:r>
      <w:r w:rsidR="000400DD" w:rsidRPr="00D124D9">
        <w:rPr>
          <w:rFonts w:ascii="Andes" w:hAnsi="Andes" w:cs="Arial"/>
          <w:sz w:val="22"/>
          <w:szCs w:val="22"/>
        </w:rPr>
        <w:t xml:space="preserve"> le partenaire privé </w:t>
      </w:r>
      <w:r>
        <w:rPr>
          <w:rFonts w:ascii="Andes" w:hAnsi="Andes" w:cs="Arial"/>
          <w:sz w:val="22"/>
          <w:szCs w:val="22"/>
        </w:rPr>
        <w:t>selon les dispositions du Paragraphe 6.43</w:t>
      </w:r>
      <w:r w:rsidR="000400DD" w:rsidRPr="00D124D9">
        <w:rPr>
          <w:rFonts w:ascii="Andes" w:hAnsi="Andes" w:cs="Arial"/>
          <w:sz w:val="22"/>
          <w:szCs w:val="22"/>
        </w:rPr>
        <w:t xml:space="preserve">.  </w:t>
      </w:r>
    </w:p>
    <w:p w14:paraId="1026AA02" w14:textId="5FB660C2" w:rsidR="000400DD" w:rsidRPr="00D31076" w:rsidRDefault="000400DD" w:rsidP="000400DD">
      <w:pPr>
        <w:pStyle w:val="Paragraphedeliste"/>
        <w:numPr>
          <w:ilvl w:val="0"/>
          <w:numId w:val="101"/>
        </w:numPr>
        <w:tabs>
          <w:tab w:val="left" w:pos="630"/>
        </w:tabs>
        <w:spacing w:before="0" w:line="240" w:lineRule="auto"/>
        <w:ind w:left="634"/>
        <w:contextualSpacing w:val="0"/>
        <w:rPr>
          <w:rFonts w:ascii="Andes" w:hAnsi="Andes" w:cs="Arial"/>
          <w:sz w:val="22"/>
          <w:szCs w:val="22"/>
        </w:rPr>
      </w:pPr>
      <w:r w:rsidRPr="00D124D9">
        <w:rPr>
          <w:rFonts w:ascii="Andes" w:hAnsi="Andes" w:cs="Arial"/>
          <w:sz w:val="22"/>
          <w:szCs w:val="22"/>
        </w:rPr>
        <w:t>Les activités de PPP pour lesquelles des procédures de passation de marché ont été lanc</w:t>
      </w:r>
      <w:r>
        <w:rPr>
          <w:rFonts w:ascii="Andes" w:hAnsi="Andes" w:cs="Arial"/>
          <w:sz w:val="22"/>
          <w:szCs w:val="22"/>
        </w:rPr>
        <w:t>ées ou des marché</w:t>
      </w:r>
      <w:r w:rsidRPr="00D124D9">
        <w:rPr>
          <w:rFonts w:ascii="Andes" w:hAnsi="Andes" w:cs="Arial"/>
          <w:sz w:val="22"/>
          <w:szCs w:val="22"/>
        </w:rPr>
        <w:t>s ou contrats ont été attribués peuvent être financé</w:t>
      </w:r>
      <w:r w:rsidR="00083C36">
        <w:rPr>
          <w:rFonts w:ascii="Andes" w:hAnsi="Andes" w:cs="Arial"/>
          <w:sz w:val="22"/>
          <w:szCs w:val="22"/>
        </w:rPr>
        <w:t>e</w:t>
      </w:r>
      <w:r w:rsidRPr="00D124D9">
        <w:rPr>
          <w:rFonts w:ascii="Andes" w:hAnsi="Andes" w:cs="Arial"/>
          <w:sz w:val="22"/>
          <w:szCs w:val="22"/>
        </w:rPr>
        <w:t xml:space="preserve">s par la Banque, à condition qu’elle ait pu s’assurer du bien-fondé et de la faisabilité du projet, des besoins structurels du PPP, des clauses contractuelles et de la conformité du processus de sélection du partenaire privé aux Principes </w:t>
      </w:r>
      <w:r w:rsidRPr="00D124D9">
        <w:rPr>
          <w:rFonts w:ascii="Andes" w:hAnsi="Andes" w:cs="Arial"/>
          <w:sz w:val="22"/>
          <w:szCs w:val="22"/>
        </w:rPr>
        <w:lastRenderedPageBreak/>
        <w:t>fondamentaux de</w:t>
      </w:r>
      <w:r>
        <w:rPr>
          <w:rFonts w:ascii="Andes" w:hAnsi="Andes" w:cs="Arial"/>
          <w:sz w:val="22"/>
          <w:szCs w:val="22"/>
        </w:rPr>
        <w:t xml:space="preserve"> P</w:t>
      </w:r>
      <w:r w:rsidRPr="00D124D9">
        <w:rPr>
          <w:rFonts w:ascii="Andes" w:hAnsi="Andes" w:cs="Arial"/>
          <w:sz w:val="22"/>
          <w:szCs w:val="22"/>
        </w:rPr>
        <w:t xml:space="preserve">assation des </w:t>
      </w:r>
      <w:r>
        <w:rPr>
          <w:rFonts w:ascii="Andes" w:hAnsi="Andes" w:cs="Arial"/>
          <w:sz w:val="22"/>
          <w:szCs w:val="22"/>
        </w:rPr>
        <w:t>M</w:t>
      </w:r>
      <w:r w:rsidRPr="00D124D9">
        <w:rPr>
          <w:rFonts w:ascii="Andes" w:hAnsi="Andes" w:cs="Arial"/>
          <w:sz w:val="22"/>
          <w:szCs w:val="22"/>
        </w:rPr>
        <w:t xml:space="preserve">archés de la Banque et aux </w:t>
      </w:r>
      <w:r w:rsidR="00083C36">
        <w:rPr>
          <w:rFonts w:ascii="Andes" w:hAnsi="Andes" w:cs="Arial"/>
          <w:sz w:val="22"/>
          <w:szCs w:val="22"/>
        </w:rPr>
        <w:t xml:space="preserve">Sections I, II et III du présent Règlement, et de la conformité aux </w:t>
      </w:r>
      <w:r w:rsidR="00575C2C" w:rsidRPr="00332FCD">
        <w:rPr>
          <w:rFonts w:ascii="Andes" w:hAnsi="Andes" w:cs="Arial"/>
          <w:sz w:val="22"/>
          <w:szCs w:val="22"/>
        </w:rPr>
        <w:t>Directives de la Banque pour la lutte contre la corruption</w:t>
      </w:r>
      <w:r w:rsidRPr="00D31076">
        <w:rPr>
          <w:rFonts w:ascii="Andes" w:hAnsi="Andes" w:cs="Arial"/>
          <w:sz w:val="22"/>
          <w:szCs w:val="22"/>
        </w:rPr>
        <w:t xml:space="preserve">.  </w:t>
      </w:r>
    </w:p>
    <w:p w14:paraId="3654C0B4" w14:textId="77777777" w:rsidR="000400DD" w:rsidRPr="00D124D9" w:rsidRDefault="000400DD" w:rsidP="000400DD">
      <w:pPr>
        <w:pStyle w:val="Paragraphedeliste"/>
        <w:spacing w:before="240" w:line="240" w:lineRule="auto"/>
        <w:contextualSpacing w:val="0"/>
        <w:rPr>
          <w:rFonts w:ascii="Andes" w:hAnsi="Andes" w:cs="Arial"/>
          <w:b/>
          <w:color w:val="000000" w:themeColor="text1"/>
          <w:sz w:val="28"/>
          <w:szCs w:val="28"/>
        </w:rPr>
      </w:pPr>
      <w:r w:rsidRPr="00D124D9">
        <w:rPr>
          <w:rFonts w:ascii="Andes" w:hAnsi="Andes" w:cs="Arial"/>
          <w:b/>
          <w:color w:val="000000" w:themeColor="text1"/>
          <w:sz w:val="28"/>
          <w:szCs w:val="28"/>
        </w:rPr>
        <w:t>Propositions spontanées</w:t>
      </w:r>
    </w:p>
    <w:p w14:paraId="6C719926" w14:textId="77777777" w:rsidR="000400DD" w:rsidRPr="00D124D9" w:rsidRDefault="000400DD" w:rsidP="000400DD">
      <w:pPr>
        <w:pStyle w:val="Paragraphedeliste"/>
        <w:numPr>
          <w:ilvl w:val="0"/>
          <w:numId w:val="101"/>
        </w:numPr>
        <w:tabs>
          <w:tab w:val="left" w:pos="630"/>
        </w:tabs>
        <w:spacing w:before="0" w:line="240" w:lineRule="auto"/>
        <w:ind w:left="630"/>
        <w:contextualSpacing w:val="0"/>
        <w:rPr>
          <w:rFonts w:ascii="Andes" w:hAnsi="Andes" w:cs="Arial"/>
          <w:sz w:val="22"/>
          <w:szCs w:val="22"/>
        </w:rPr>
      </w:pPr>
      <w:r w:rsidRPr="00D124D9">
        <w:rPr>
          <w:rFonts w:ascii="Andes" w:hAnsi="Andes" w:cs="Arial"/>
          <w:sz w:val="22"/>
          <w:szCs w:val="22"/>
        </w:rPr>
        <w:t>La Banque peut accepte</w:t>
      </w:r>
      <w:r>
        <w:rPr>
          <w:rFonts w:ascii="Andes" w:hAnsi="Andes" w:cs="Arial"/>
          <w:sz w:val="22"/>
          <w:szCs w:val="22"/>
        </w:rPr>
        <w:t>r de financer des projets PPP rés</w:t>
      </w:r>
      <w:r w:rsidRPr="00D124D9">
        <w:rPr>
          <w:rFonts w:ascii="Andes" w:hAnsi="Andes" w:cs="Arial"/>
          <w:sz w:val="22"/>
          <w:szCs w:val="22"/>
        </w:rPr>
        <w:t xml:space="preserve">ultant de propositions non sollicitées. Dans tous les cas, l’Emprunteur définit clairement la procédure d’évaluation et de définition de la meilleure formule d’adaptation à l’objectif </w:t>
      </w:r>
      <w:r>
        <w:rPr>
          <w:rFonts w:ascii="Andes" w:hAnsi="Andes" w:cs="Arial"/>
          <w:sz w:val="22"/>
          <w:szCs w:val="22"/>
        </w:rPr>
        <w:t>visé</w:t>
      </w:r>
      <w:r w:rsidRPr="00D124D9">
        <w:rPr>
          <w:rFonts w:ascii="Andes" w:hAnsi="Andes" w:cs="Arial"/>
          <w:sz w:val="22"/>
          <w:szCs w:val="22"/>
        </w:rPr>
        <w:t xml:space="preserve"> et d’établissement du rapport qualité-prix pour l’attribution d’un marché ou d’un contrat résultant d’une proposition </w:t>
      </w:r>
      <w:r>
        <w:rPr>
          <w:rFonts w:ascii="Andes" w:hAnsi="Andes" w:cs="Arial"/>
          <w:sz w:val="22"/>
          <w:szCs w:val="22"/>
        </w:rPr>
        <w:t>spontanée.</w:t>
      </w:r>
    </w:p>
    <w:p w14:paraId="5D0D25E3" w14:textId="77777777" w:rsidR="000400DD" w:rsidRPr="00D124D9" w:rsidRDefault="000400DD" w:rsidP="000400DD">
      <w:pPr>
        <w:pStyle w:val="Paragraphedeliste"/>
        <w:numPr>
          <w:ilvl w:val="0"/>
          <w:numId w:val="101"/>
        </w:numPr>
        <w:tabs>
          <w:tab w:val="left" w:pos="630"/>
        </w:tabs>
        <w:spacing w:before="0" w:line="240" w:lineRule="auto"/>
        <w:ind w:left="630"/>
        <w:contextualSpacing w:val="0"/>
        <w:rPr>
          <w:rFonts w:ascii="Andes" w:hAnsi="Andes" w:cs="Arial"/>
          <w:sz w:val="22"/>
          <w:szCs w:val="22"/>
        </w:rPr>
      </w:pPr>
      <w:r w:rsidRPr="00D124D9">
        <w:rPr>
          <w:rFonts w:ascii="Andes" w:hAnsi="Andes" w:cs="Arial"/>
          <w:sz w:val="22"/>
          <w:szCs w:val="22"/>
        </w:rPr>
        <w:t>Lorsque la proposition spontanée est mise en concurrence, l’Emprunteur aura recours à l’une des modalités suivantes pour permettre à l’entreprise ayant soumis la proposition non sollicitée de participer au processus</w:t>
      </w:r>
      <w:r w:rsidRPr="00D124D9">
        <w:rPr>
          <w:rFonts w:ascii="Calibri" w:hAnsi="Calibri" w:cs="Arial"/>
          <w:sz w:val="22"/>
          <w:szCs w:val="22"/>
        </w:rPr>
        <w:t> </w:t>
      </w:r>
      <w:r w:rsidRPr="00D124D9">
        <w:rPr>
          <w:rFonts w:ascii="Andes" w:hAnsi="Andes" w:cs="Arial"/>
          <w:sz w:val="22"/>
          <w:szCs w:val="22"/>
        </w:rPr>
        <w:t xml:space="preserve">: </w:t>
      </w:r>
    </w:p>
    <w:p w14:paraId="5C7362A2" w14:textId="77777777" w:rsidR="000400DD" w:rsidRPr="00D124D9" w:rsidRDefault="000400DD" w:rsidP="000400DD">
      <w:pPr>
        <w:pStyle w:val="Paragraphedeliste"/>
        <w:numPr>
          <w:ilvl w:val="0"/>
          <w:numId w:val="257"/>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L’Emprunteur n’offre aucun avantage à l’entreprise au cours de la procédure, mais il peut lui offrir une compensation séparée si le cadre réglementaire l’y autorise</w:t>
      </w:r>
      <w:r w:rsidRPr="00D124D9">
        <w:rPr>
          <w:rFonts w:ascii="Calibri" w:eastAsiaTheme="minorHAnsi" w:hAnsi="Calibri" w:cs="Arial"/>
          <w:color w:val="000000"/>
          <w:sz w:val="22"/>
          <w:szCs w:val="22"/>
        </w:rPr>
        <w:t xml:space="preserve"> ; </w:t>
      </w:r>
      <w:r w:rsidRPr="00D124D9">
        <w:rPr>
          <w:rFonts w:ascii="Andes" w:eastAsiaTheme="minorHAnsi" w:hAnsi="Andes" w:cs="Arial"/>
          <w:color w:val="000000"/>
          <w:sz w:val="22"/>
          <w:szCs w:val="22"/>
        </w:rPr>
        <w:t>ou</w:t>
      </w:r>
    </w:p>
    <w:p w14:paraId="519BD3A4" w14:textId="165CF1B7" w:rsidR="000400DD" w:rsidRPr="00D124D9" w:rsidRDefault="000400DD" w:rsidP="000400DD">
      <w:pPr>
        <w:pStyle w:val="Paragraphedeliste"/>
        <w:numPr>
          <w:ilvl w:val="0"/>
          <w:numId w:val="257"/>
        </w:numPr>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 xml:space="preserve">L’entreprise bénéficie d’un avantage au cours de la procédure de sélection, sous forme de points supplémentaires ou d’accès garanti à la seconde phase d’une procédure en deux étapes. Cet avantage </w:t>
      </w:r>
      <w:r>
        <w:rPr>
          <w:rFonts w:ascii="Andes" w:eastAsiaTheme="minorHAnsi" w:hAnsi="Andes" w:cs="Arial"/>
          <w:color w:val="000000"/>
          <w:sz w:val="22"/>
          <w:szCs w:val="22"/>
        </w:rPr>
        <w:t>doit être fixé</w:t>
      </w:r>
      <w:r w:rsidRPr="00D124D9">
        <w:rPr>
          <w:rFonts w:ascii="Andes" w:eastAsiaTheme="minorHAnsi" w:hAnsi="Andes" w:cs="Arial"/>
          <w:color w:val="000000"/>
          <w:sz w:val="22"/>
          <w:szCs w:val="22"/>
        </w:rPr>
        <w:t xml:space="preserve"> dans le dossier d’</w:t>
      </w:r>
      <w:r w:rsidR="00C51DF5">
        <w:rPr>
          <w:rFonts w:ascii="Andes" w:eastAsiaTheme="minorHAnsi" w:hAnsi="Andes" w:cs="Arial"/>
          <w:color w:val="000000"/>
          <w:sz w:val="22"/>
          <w:szCs w:val="22"/>
        </w:rPr>
        <w:t>Appel d’Offres/ à Propositions</w:t>
      </w:r>
      <w:r w:rsidRPr="00D124D9">
        <w:rPr>
          <w:rFonts w:ascii="Andes" w:eastAsiaTheme="minorHAnsi" w:hAnsi="Andes" w:cs="Arial"/>
          <w:color w:val="000000"/>
          <w:sz w:val="22"/>
          <w:szCs w:val="22"/>
        </w:rPr>
        <w:t xml:space="preserve"> et conçu de manière à ne pas empêcher </w:t>
      </w:r>
      <w:r>
        <w:rPr>
          <w:rFonts w:ascii="Andes" w:eastAsiaTheme="minorHAnsi" w:hAnsi="Andes" w:cs="Arial"/>
          <w:color w:val="000000"/>
          <w:sz w:val="22"/>
          <w:szCs w:val="22"/>
        </w:rPr>
        <w:t>une</w:t>
      </w:r>
      <w:r w:rsidRPr="00D124D9">
        <w:rPr>
          <w:rFonts w:ascii="Andes" w:eastAsiaTheme="minorHAnsi" w:hAnsi="Andes" w:cs="Arial"/>
          <w:color w:val="000000"/>
          <w:sz w:val="22"/>
          <w:szCs w:val="22"/>
        </w:rPr>
        <w:t xml:space="preserve"> mise en concurrence</w:t>
      </w:r>
      <w:r>
        <w:rPr>
          <w:rFonts w:ascii="Andes" w:eastAsiaTheme="minorHAnsi" w:hAnsi="Andes" w:cs="Arial"/>
          <w:color w:val="000000"/>
          <w:sz w:val="22"/>
          <w:szCs w:val="22"/>
        </w:rPr>
        <w:t xml:space="preserve"> effective</w:t>
      </w:r>
      <w:r w:rsidRPr="00D124D9">
        <w:rPr>
          <w:rFonts w:ascii="Andes" w:eastAsiaTheme="minorHAnsi" w:hAnsi="Andes" w:cs="Arial"/>
          <w:color w:val="000000"/>
          <w:sz w:val="22"/>
          <w:szCs w:val="22"/>
        </w:rPr>
        <w:t>.</w:t>
      </w:r>
    </w:p>
    <w:p w14:paraId="62131EE8" w14:textId="77777777" w:rsidR="000400DD" w:rsidRPr="00D124D9" w:rsidRDefault="000400DD" w:rsidP="000400DD">
      <w:pPr>
        <w:pStyle w:val="Paragraphedeliste"/>
        <w:numPr>
          <w:ilvl w:val="0"/>
          <w:numId w:val="135"/>
        </w:numPr>
        <w:spacing w:before="240"/>
        <w:ind w:left="630" w:hanging="630"/>
        <w:contextualSpacing w:val="0"/>
        <w:rPr>
          <w:rFonts w:ascii="Andes" w:eastAsiaTheme="majorEastAsia" w:hAnsi="Andes"/>
          <w:b/>
          <w:color w:val="C45911"/>
          <w:sz w:val="32"/>
          <w:szCs w:val="32"/>
        </w:rPr>
      </w:pPr>
      <w:bookmarkStart w:id="3599" w:name="_Toc453171022"/>
      <w:r w:rsidRPr="00D124D9">
        <w:rPr>
          <w:rFonts w:ascii="Andes" w:eastAsiaTheme="majorEastAsia" w:hAnsi="Andes"/>
          <w:b/>
          <w:color w:val="C45911"/>
          <w:sz w:val="32"/>
          <w:szCs w:val="32"/>
        </w:rPr>
        <w:t>Gestion du marché ou du contrat</w:t>
      </w:r>
      <w:bookmarkEnd w:id="3599"/>
    </w:p>
    <w:p w14:paraId="12958C71" w14:textId="0F3DA373" w:rsidR="000400DD" w:rsidRPr="00D124D9" w:rsidRDefault="000400DD" w:rsidP="000400DD">
      <w:pPr>
        <w:pStyle w:val="Paragraphedeliste"/>
        <w:numPr>
          <w:ilvl w:val="0"/>
          <w:numId w:val="102"/>
        </w:numPr>
        <w:tabs>
          <w:tab w:val="left" w:pos="630"/>
        </w:tabs>
        <w:spacing w:before="0" w:after="240" w:line="240" w:lineRule="auto"/>
        <w:ind w:left="630"/>
        <w:contextualSpacing w:val="0"/>
        <w:rPr>
          <w:rFonts w:ascii="Andes" w:hAnsi="Andes" w:cs="Arial"/>
          <w:sz w:val="22"/>
          <w:szCs w:val="22"/>
        </w:rPr>
      </w:pPr>
      <w:r w:rsidRPr="00D124D9">
        <w:rPr>
          <w:rFonts w:ascii="Andes" w:hAnsi="Andes" w:cs="Arial"/>
          <w:sz w:val="22"/>
          <w:szCs w:val="22"/>
        </w:rPr>
        <w:t>La Banque fait obligation à l’Emprunteur de soumettre un Plan de gestion du marché ou du contrat. Pour les détails voir l’</w:t>
      </w:r>
      <w:r w:rsidR="00761ECE">
        <w:rPr>
          <w:rFonts w:ascii="Andes" w:hAnsi="Andes" w:cs="Arial"/>
          <w:sz w:val="22"/>
          <w:szCs w:val="22"/>
        </w:rPr>
        <w:t>A</w:t>
      </w:r>
      <w:r w:rsidRPr="00D124D9">
        <w:rPr>
          <w:rFonts w:ascii="Andes" w:hAnsi="Andes" w:cs="Arial"/>
          <w:sz w:val="22"/>
          <w:szCs w:val="22"/>
        </w:rPr>
        <w:t>nnexe XI Gestion d</w:t>
      </w:r>
      <w:r>
        <w:rPr>
          <w:rFonts w:ascii="Andes" w:hAnsi="Andes" w:cs="Arial"/>
          <w:sz w:val="22"/>
          <w:szCs w:val="22"/>
        </w:rPr>
        <w:t>es</w:t>
      </w:r>
      <w:r w:rsidRPr="00D124D9">
        <w:rPr>
          <w:rFonts w:ascii="Andes" w:hAnsi="Andes" w:cs="Arial"/>
          <w:sz w:val="22"/>
          <w:szCs w:val="22"/>
        </w:rPr>
        <w:t xml:space="preserve"> marché</w:t>
      </w:r>
      <w:r>
        <w:rPr>
          <w:rFonts w:ascii="Andes" w:hAnsi="Andes" w:cs="Arial"/>
          <w:sz w:val="22"/>
          <w:szCs w:val="22"/>
        </w:rPr>
        <w:t xml:space="preserve">s et </w:t>
      </w:r>
      <w:r w:rsidRPr="00D124D9">
        <w:rPr>
          <w:rFonts w:ascii="Andes" w:hAnsi="Andes" w:cs="Arial"/>
          <w:sz w:val="22"/>
          <w:szCs w:val="22"/>
        </w:rPr>
        <w:t>contrat</w:t>
      </w:r>
      <w:r>
        <w:rPr>
          <w:rFonts w:ascii="Andes" w:hAnsi="Andes" w:cs="Arial"/>
          <w:sz w:val="22"/>
          <w:szCs w:val="22"/>
        </w:rPr>
        <w:t>s</w:t>
      </w:r>
      <w:r w:rsidRPr="00D124D9">
        <w:rPr>
          <w:rFonts w:ascii="Andes" w:hAnsi="Andes" w:cs="Arial"/>
          <w:sz w:val="22"/>
          <w:szCs w:val="22"/>
        </w:rPr>
        <w:t>.</w:t>
      </w:r>
    </w:p>
    <w:p w14:paraId="01A569C9" w14:textId="77777777" w:rsidR="004E780E" w:rsidRPr="000400DD" w:rsidRDefault="004E780E" w:rsidP="00A5557C">
      <w:pPr>
        <w:tabs>
          <w:tab w:val="left" w:pos="630"/>
        </w:tabs>
        <w:spacing w:before="0" w:after="200" w:line="240" w:lineRule="auto"/>
        <w:contextualSpacing w:val="0"/>
        <w:jc w:val="left"/>
        <w:rPr>
          <w:rFonts w:ascii="Andes" w:hAnsi="Andes" w:cs="Arial"/>
        </w:rPr>
      </w:pPr>
    </w:p>
    <w:p w14:paraId="41D7FBFE" w14:textId="77777777" w:rsidR="008A510A" w:rsidRPr="00B1581D" w:rsidRDefault="008A510A" w:rsidP="00A5557C">
      <w:pPr>
        <w:spacing w:before="0" w:after="200"/>
        <w:contextualSpacing w:val="0"/>
        <w:jc w:val="left"/>
        <w:rPr>
          <w:rFonts w:ascii="Andes" w:hAnsi="Andes" w:cs="Arial"/>
        </w:rPr>
        <w:sectPr w:rsidR="008A510A" w:rsidRPr="00B1581D" w:rsidSect="000B5EC0">
          <w:headerReference w:type="default" r:id="rId52"/>
          <w:pgSz w:w="12240" w:h="15840"/>
          <w:pgMar w:top="1872" w:right="1440" w:bottom="1440" w:left="1411" w:header="720" w:footer="720" w:gutter="0"/>
          <w:cols w:space="720"/>
          <w:docGrid w:linePitch="360"/>
        </w:sectPr>
      </w:pPr>
    </w:p>
    <w:p w14:paraId="15EB0D0E" w14:textId="77777777" w:rsidR="008F0584" w:rsidRPr="00B1581D" w:rsidRDefault="008F0584" w:rsidP="00A5557C">
      <w:pPr>
        <w:spacing w:before="0" w:after="200"/>
        <w:contextualSpacing w:val="0"/>
        <w:jc w:val="left"/>
        <w:rPr>
          <w:rFonts w:ascii="Andes" w:hAnsi="Andes" w:cs="Arial"/>
        </w:rPr>
        <w:sectPr w:rsidR="008F0584" w:rsidRPr="00B1581D" w:rsidSect="000B5EC0">
          <w:headerReference w:type="default" r:id="rId53"/>
          <w:pgSz w:w="12240" w:h="15840"/>
          <w:pgMar w:top="1872" w:right="1440" w:bottom="1440" w:left="1411" w:header="720" w:footer="720" w:gutter="0"/>
          <w:cols w:space="720"/>
          <w:docGrid w:linePitch="360"/>
        </w:sectPr>
      </w:pPr>
    </w:p>
    <w:p w14:paraId="75607F7D" w14:textId="77777777" w:rsidR="00A86506" w:rsidRPr="000A5DC6" w:rsidRDefault="00A346CE" w:rsidP="000A5DC6">
      <w:pPr>
        <w:spacing w:before="0" w:line="240" w:lineRule="auto"/>
        <w:jc w:val="center"/>
        <w:outlineLvl w:val="0"/>
        <w:rPr>
          <w:rFonts w:ascii="Andes" w:hAnsi="Andes" w:cs="Arial"/>
          <w:sz w:val="36"/>
          <w:lang w:val="en-US"/>
        </w:rPr>
      </w:pPr>
      <w:bookmarkStart w:id="3600" w:name="_Toc453544343"/>
      <w:r w:rsidRPr="00A346CE">
        <w:rPr>
          <w:rFonts w:ascii="Andes" w:hAnsi="Andes" w:cs="Microsoft Sans Serif"/>
          <w:caps/>
          <w:noProof/>
          <w:color w:val="002060"/>
          <w:lang w:val="en-US"/>
        </w:rPr>
        <w:lastRenderedPageBreak/>
        <mc:AlternateContent>
          <mc:Choice Requires="wps">
            <w:drawing>
              <wp:anchor distT="0" distB="0" distL="114300" distR="114300" simplePos="0" relativeHeight="251681792" behindDoc="0" locked="0" layoutInCell="1" allowOverlap="1" wp14:anchorId="5D0CCDCC" wp14:editId="56C477A0">
                <wp:simplePos x="0" y="0"/>
                <wp:positionH relativeFrom="page">
                  <wp:posOffset>0</wp:posOffset>
                </wp:positionH>
                <wp:positionV relativeFrom="paragraph">
                  <wp:posOffset>-1182065</wp:posOffset>
                </wp:positionV>
                <wp:extent cx="8151963" cy="1466491"/>
                <wp:effectExtent l="0" t="0" r="1905" b="635"/>
                <wp:wrapNone/>
                <wp:docPr id="52" name="Rectangle 52"/>
                <wp:cNvGraphicFramePr/>
                <a:graphic xmlns:a="http://schemas.openxmlformats.org/drawingml/2006/main">
                  <a:graphicData uri="http://schemas.microsoft.com/office/word/2010/wordprocessingShape">
                    <wps:wsp>
                      <wps:cNvSpPr/>
                      <wps:spPr>
                        <a:xfrm>
                          <a:off x="0" y="0"/>
                          <a:ext cx="8151963" cy="1466491"/>
                        </a:xfrm>
                        <a:prstGeom prst="rect">
                          <a:avLst/>
                        </a:prstGeom>
                        <a:solidFill>
                          <a:srgbClr val="C45911"/>
                        </a:solidFill>
                        <a:ln w="12700" cap="flat" cmpd="sng" algn="ctr">
                          <a:noFill/>
                          <a:prstDash val="solid"/>
                          <a:miter lim="800000"/>
                        </a:ln>
                        <a:effectLst/>
                      </wps:spPr>
                      <wps:txbx>
                        <w:txbxContent>
                          <w:p w14:paraId="2F7BA1EF" w14:textId="533DF4BE" w:rsidR="00A41794" w:rsidRPr="008F0584" w:rsidRDefault="00A41794" w:rsidP="00E76B4B">
                            <w:pPr>
                              <w:tabs>
                                <w:tab w:val="left" w:pos="3330"/>
                              </w:tabs>
                              <w:ind w:left="1260"/>
                              <w:rPr>
                                <w:rFonts w:ascii="Andes" w:hAnsi="Andes"/>
                                <w:color w:val="FFFFFF" w:themeColor="background1"/>
                                <w:sz w:val="44"/>
                                <w:szCs w:val="44"/>
                              </w:rPr>
                            </w:pPr>
                            <w:r w:rsidRPr="008F0584">
                              <w:rPr>
                                <w:rFonts w:ascii="Andes" w:hAnsi="Andes"/>
                                <w:color w:val="FFFFFF" w:themeColor="background1"/>
                                <w:sz w:val="44"/>
                                <w:szCs w:val="44"/>
                              </w:rPr>
                              <w:t>Annex</w:t>
                            </w:r>
                            <w:r>
                              <w:rPr>
                                <w:rFonts w:ascii="Andes" w:hAnsi="Andes"/>
                                <w:color w:val="FFFFFF" w:themeColor="background1"/>
                                <w:sz w:val="44"/>
                                <w:szCs w:val="44"/>
                              </w:rPr>
                              <w:t>e</w:t>
                            </w:r>
                            <w:r w:rsidRPr="008F0584">
                              <w:rPr>
                                <w:rFonts w:ascii="Andes" w:hAnsi="Andes"/>
                                <w:color w:val="FFFFFF" w:themeColor="background1"/>
                                <w:sz w:val="44"/>
                                <w:szCs w:val="44"/>
                              </w:rPr>
                              <w:t xml:space="preserve"> </w:t>
                            </w:r>
                            <w:r>
                              <w:rPr>
                                <w:rFonts w:ascii="Andes" w:hAnsi="Andes"/>
                                <w:color w:val="FFFFFF" w:themeColor="background1"/>
                                <w:sz w:val="44"/>
                                <w:szCs w:val="44"/>
                              </w:rPr>
                              <w:t xml:space="preserve">XV.  </w:t>
                            </w:r>
                            <w:r w:rsidRPr="008F0584">
                              <w:rPr>
                                <w:rFonts w:ascii="Andes" w:hAnsi="Andes"/>
                                <w:color w:val="FFFFFF" w:themeColor="background1"/>
                                <w:sz w:val="44"/>
                                <w:szCs w:val="44"/>
                              </w:rPr>
                              <w:tab/>
                            </w:r>
                            <w:r>
                              <w:rPr>
                                <w:rFonts w:ascii="Andes" w:hAnsi="Andes"/>
                                <w:color w:val="FFFFFF" w:themeColor="background1"/>
                                <w:sz w:val="44"/>
                                <w:szCs w:val="44"/>
                              </w:rPr>
                              <w:t>Accords-cadres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CCDCC" id="Rectangle 52" o:spid="_x0000_s1054" style="position:absolute;left:0;text-align:left;margin-left:0;margin-top:-93.1pt;width:641.9pt;height:115.4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" fillcolor="#c45911" stroked="f" strokeweight="1pt">
                <v:textbox>
                  <w:txbxContent>
                    <w:p w14:paraId="2F7BA1EF" w14:textId="533DF4BE" w:rsidR="00A41794" w:rsidRPr="008F0584" w:rsidRDefault="00A41794" w:rsidP="00E76B4B">
                      <w:pPr>
                        <w:tabs>
                          <w:tab w:val="left" w:pos="3330"/>
                        </w:tabs>
                        <w:ind w:left="1260"/>
                        <w:rPr>
                          <w:rFonts w:ascii="Andes" w:hAnsi="Andes"/>
                          <w:color w:val="FFFFFF" w:themeColor="background1"/>
                          <w:sz w:val="44"/>
                          <w:szCs w:val="44"/>
                        </w:rPr>
                      </w:pPr>
                      <w:r w:rsidRPr="008F0584">
                        <w:rPr>
                          <w:rFonts w:ascii="Andes" w:hAnsi="Andes"/>
                          <w:color w:val="FFFFFF" w:themeColor="background1"/>
                          <w:sz w:val="44"/>
                          <w:szCs w:val="44"/>
                        </w:rPr>
                        <w:t>Annex</w:t>
                      </w:r>
                      <w:r>
                        <w:rPr>
                          <w:rFonts w:ascii="Andes" w:hAnsi="Andes"/>
                          <w:color w:val="FFFFFF" w:themeColor="background1"/>
                          <w:sz w:val="44"/>
                          <w:szCs w:val="44"/>
                        </w:rPr>
                        <w:t>e</w:t>
                      </w:r>
                      <w:r w:rsidRPr="008F0584">
                        <w:rPr>
                          <w:rFonts w:ascii="Andes" w:hAnsi="Andes"/>
                          <w:color w:val="FFFFFF" w:themeColor="background1"/>
                          <w:sz w:val="44"/>
                          <w:szCs w:val="44"/>
                        </w:rPr>
                        <w:t xml:space="preserve"> </w:t>
                      </w:r>
                      <w:r>
                        <w:rPr>
                          <w:rFonts w:ascii="Andes" w:hAnsi="Andes"/>
                          <w:color w:val="FFFFFF" w:themeColor="background1"/>
                          <w:sz w:val="44"/>
                          <w:szCs w:val="44"/>
                        </w:rPr>
                        <w:t xml:space="preserve">XV.  </w:t>
                      </w:r>
                      <w:r w:rsidRPr="008F0584">
                        <w:rPr>
                          <w:rFonts w:ascii="Andes" w:hAnsi="Andes"/>
                          <w:color w:val="FFFFFF" w:themeColor="background1"/>
                          <w:sz w:val="44"/>
                          <w:szCs w:val="44"/>
                        </w:rPr>
                        <w:tab/>
                      </w:r>
                      <w:r>
                        <w:rPr>
                          <w:rFonts w:ascii="Andes" w:hAnsi="Andes"/>
                          <w:color w:val="FFFFFF" w:themeColor="background1"/>
                          <w:sz w:val="44"/>
                          <w:szCs w:val="44"/>
                        </w:rPr>
                        <w:t>Accords-cadres</w:t>
                      </w:r>
                    </w:p>
                  </w:txbxContent>
                </v:textbox>
                <w10:wrap anchorx="page"/>
              </v:rect>
            </w:pict>
          </mc:Fallback>
        </mc:AlternateContent>
      </w:r>
      <w:r w:rsidR="00A86506" w:rsidRPr="000A5DC6">
        <w:rPr>
          <w:rFonts w:ascii="Andes" w:hAnsi="Andes" w:cs="Arial"/>
          <w:sz w:val="36"/>
          <w:lang w:val="en-US"/>
        </w:rPr>
        <w:t>Annex X</w:t>
      </w:r>
      <w:r w:rsidR="00E31298" w:rsidRPr="000A5DC6">
        <w:rPr>
          <w:rFonts w:ascii="Andes" w:hAnsi="Andes" w:cs="Arial"/>
          <w:sz w:val="36"/>
          <w:lang w:val="en-US"/>
        </w:rPr>
        <w:t>V</w:t>
      </w:r>
      <w:r w:rsidR="00687669">
        <w:rPr>
          <w:rFonts w:ascii="Andes" w:hAnsi="Andes" w:cs="Arial"/>
          <w:sz w:val="36"/>
          <w:lang w:val="en-US"/>
        </w:rPr>
        <w:t xml:space="preserve">.  </w:t>
      </w:r>
      <w:r w:rsidR="00E31298" w:rsidRPr="000A5DC6">
        <w:rPr>
          <w:rFonts w:ascii="Andes" w:hAnsi="Andes" w:cs="Arial"/>
          <w:sz w:val="36"/>
          <w:lang w:val="en-US"/>
        </w:rPr>
        <w:t>Framework Agreements</w:t>
      </w:r>
      <w:bookmarkEnd w:id="3600"/>
    </w:p>
    <w:bookmarkEnd w:id="3590"/>
    <w:p w14:paraId="4151934D" w14:textId="77777777" w:rsidR="00E76B4B" w:rsidRPr="00D124D9" w:rsidRDefault="00E76B4B" w:rsidP="00E76B4B">
      <w:pPr>
        <w:pStyle w:val="Paragraphedeliste"/>
        <w:numPr>
          <w:ilvl w:val="0"/>
          <w:numId w:val="199"/>
        </w:numPr>
        <w:spacing w:before="360"/>
        <w:ind w:left="634" w:hanging="634"/>
        <w:contextualSpacing w:val="0"/>
        <w:jc w:val="left"/>
        <w:rPr>
          <w:rFonts w:ascii="Andes" w:eastAsiaTheme="majorEastAsia" w:hAnsi="Andes"/>
          <w:b/>
          <w:color w:val="C45911"/>
          <w:sz w:val="32"/>
          <w:szCs w:val="32"/>
        </w:rPr>
      </w:pPr>
      <w:r w:rsidRPr="00D124D9">
        <w:rPr>
          <w:rFonts w:ascii="Andes" w:eastAsiaTheme="majorEastAsia" w:hAnsi="Andes"/>
          <w:b/>
          <w:color w:val="C45911"/>
          <w:sz w:val="32"/>
          <w:szCs w:val="32"/>
        </w:rPr>
        <w:t>Objet</w:t>
      </w:r>
    </w:p>
    <w:p w14:paraId="718CD2D4" w14:textId="6ED72FEB" w:rsidR="00E76B4B" w:rsidRPr="00D124D9" w:rsidRDefault="00E76B4B" w:rsidP="00E76B4B">
      <w:pPr>
        <w:numPr>
          <w:ilvl w:val="1"/>
          <w:numId w:val="111"/>
        </w:numPr>
        <w:spacing w:before="0" w:line="240" w:lineRule="auto"/>
        <w:ind w:left="630" w:hanging="630"/>
        <w:contextualSpacing w:val="0"/>
        <w:rPr>
          <w:rFonts w:ascii="Andes" w:hAnsi="Andes" w:cs="Arial"/>
          <w:sz w:val="22"/>
          <w:szCs w:val="22"/>
        </w:rPr>
      </w:pPr>
      <w:r w:rsidRPr="00D124D9">
        <w:rPr>
          <w:rFonts w:ascii="Andes" w:hAnsi="Andes" w:cs="Arial"/>
          <w:sz w:val="22"/>
          <w:szCs w:val="22"/>
        </w:rPr>
        <w:t>La présente annexe complète les dispositions des paragraphes 6.57 à 6.</w:t>
      </w:r>
      <w:r w:rsidRPr="00C649D0">
        <w:rPr>
          <w:rFonts w:ascii="Andes" w:hAnsi="Andes" w:cs="Arial"/>
          <w:sz w:val="22"/>
          <w:szCs w:val="22"/>
        </w:rPr>
        <w:t>59 (Accords</w:t>
      </w:r>
      <w:r w:rsidR="00D55F7B">
        <w:rPr>
          <w:rFonts w:ascii="Andes" w:hAnsi="Andes" w:cs="Arial"/>
          <w:sz w:val="22"/>
          <w:szCs w:val="22"/>
        </w:rPr>
        <w:t>-</w:t>
      </w:r>
      <w:r w:rsidRPr="00C649D0">
        <w:rPr>
          <w:rFonts w:ascii="Andes" w:hAnsi="Andes" w:cs="Arial"/>
          <w:sz w:val="22"/>
          <w:szCs w:val="22"/>
        </w:rPr>
        <w:t>Cadres pour les Fournitures, les Travaux et les Services Autres que des Services de Consultants), 7.33 (Accord Cadre pour les Services de Consultants), et décrit les conditions minimales d’établissement d’un Accord Cadre pour les marchés ou contrats financés par la Banque</w:t>
      </w:r>
      <w:r w:rsidRPr="00D124D9">
        <w:rPr>
          <w:rFonts w:ascii="Andes" w:hAnsi="Andes" w:cs="Arial"/>
          <w:sz w:val="22"/>
          <w:szCs w:val="22"/>
        </w:rPr>
        <w:t xml:space="preserve"> au moyen d’un FPI.  </w:t>
      </w:r>
    </w:p>
    <w:p w14:paraId="4280F166" w14:textId="77777777" w:rsidR="00E76B4B" w:rsidRPr="00D124D9" w:rsidRDefault="00E76B4B" w:rsidP="00E76B4B">
      <w:pPr>
        <w:pStyle w:val="Paragraphedeliste"/>
        <w:numPr>
          <w:ilvl w:val="0"/>
          <w:numId w:val="199"/>
        </w:numPr>
        <w:spacing w:before="240"/>
        <w:ind w:left="630" w:hanging="630"/>
        <w:contextualSpacing w:val="0"/>
        <w:rPr>
          <w:rFonts w:ascii="Andes" w:eastAsiaTheme="majorEastAsia" w:hAnsi="Andes"/>
          <w:b/>
          <w:color w:val="C45911"/>
          <w:sz w:val="32"/>
          <w:szCs w:val="32"/>
        </w:rPr>
      </w:pPr>
      <w:r>
        <w:rPr>
          <w:rFonts w:ascii="Andes" w:eastAsiaTheme="majorEastAsia" w:hAnsi="Andes"/>
          <w:b/>
          <w:color w:val="C45911"/>
          <w:sz w:val="32"/>
          <w:szCs w:val="32"/>
        </w:rPr>
        <w:t xml:space="preserve">Prescriptions </w:t>
      </w:r>
    </w:p>
    <w:p w14:paraId="67B99C8F" w14:textId="50562E1A" w:rsidR="00E76B4B" w:rsidRPr="00D124D9" w:rsidRDefault="00E76B4B" w:rsidP="00E76B4B">
      <w:pPr>
        <w:numPr>
          <w:ilvl w:val="1"/>
          <w:numId w:val="113"/>
        </w:numPr>
        <w:spacing w:before="0" w:line="240" w:lineRule="auto"/>
        <w:ind w:left="634" w:hanging="634"/>
        <w:contextualSpacing w:val="0"/>
        <w:rPr>
          <w:rFonts w:ascii="Andes" w:hAnsi="Andes" w:cs="Arial"/>
          <w:sz w:val="22"/>
          <w:szCs w:val="22"/>
        </w:rPr>
      </w:pPr>
      <w:r w:rsidRPr="00D124D9">
        <w:rPr>
          <w:rFonts w:ascii="Andes" w:hAnsi="Andes" w:cs="Arial"/>
          <w:sz w:val="22"/>
          <w:szCs w:val="22"/>
        </w:rPr>
        <w:t>L’Emprunteur peut établir des A</w:t>
      </w:r>
      <w:r>
        <w:rPr>
          <w:rFonts w:ascii="Andes" w:hAnsi="Andes" w:cs="Arial"/>
          <w:sz w:val="22"/>
          <w:szCs w:val="22"/>
        </w:rPr>
        <w:t>ccords</w:t>
      </w:r>
      <w:r w:rsidR="00D55F7B">
        <w:rPr>
          <w:rFonts w:ascii="Andes" w:hAnsi="Andes" w:cs="Arial"/>
          <w:sz w:val="22"/>
          <w:szCs w:val="22"/>
        </w:rPr>
        <w:t>-</w:t>
      </w:r>
      <w:r w:rsidRPr="00D124D9">
        <w:rPr>
          <w:rFonts w:ascii="Andes" w:hAnsi="Andes" w:cs="Arial"/>
          <w:sz w:val="22"/>
          <w:szCs w:val="22"/>
        </w:rPr>
        <w:t>Cadres (AC) avec des entreprises capables de livrer des Fournitures, des Tr</w:t>
      </w:r>
      <w:r>
        <w:rPr>
          <w:rFonts w:ascii="Andes" w:hAnsi="Andes" w:cs="Arial"/>
          <w:sz w:val="22"/>
          <w:szCs w:val="22"/>
        </w:rPr>
        <w:t>avaux, des Services Autres que d</w:t>
      </w:r>
      <w:r w:rsidRPr="00D124D9">
        <w:rPr>
          <w:rFonts w:ascii="Andes" w:hAnsi="Andes" w:cs="Arial"/>
          <w:sz w:val="22"/>
          <w:szCs w:val="22"/>
        </w:rPr>
        <w:t xml:space="preserve">es Services de consultants et/ou des Services de Consultants spécifiés selon des clauses et conditions convenues à l’avance. </w:t>
      </w:r>
      <w:r>
        <w:rPr>
          <w:rFonts w:ascii="Andes" w:hAnsi="Andes" w:cs="Arial"/>
          <w:sz w:val="22"/>
          <w:szCs w:val="22"/>
        </w:rPr>
        <w:t>Ces clauses englobent</w:t>
      </w:r>
      <w:r w:rsidRPr="00D124D9">
        <w:rPr>
          <w:rFonts w:ascii="Andes" w:hAnsi="Andes" w:cs="Arial"/>
          <w:sz w:val="22"/>
          <w:szCs w:val="22"/>
        </w:rPr>
        <w:t xml:space="preserve"> généralement les </w:t>
      </w:r>
      <w:r>
        <w:rPr>
          <w:rFonts w:ascii="Andes" w:hAnsi="Andes" w:cs="Arial"/>
          <w:sz w:val="22"/>
          <w:szCs w:val="22"/>
        </w:rPr>
        <w:t xml:space="preserve">commissions, le barème des prix </w:t>
      </w:r>
      <w:r w:rsidRPr="00D124D9">
        <w:rPr>
          <w:rFonts w:ascii="Andes" w:hAnsi="Andes" w:cs="Arial"/>
          <w:sz w:val="22"/>
          <w:szCs w:val="22"/>
        </w:rPr>
        <w:t xml:space="preserve">ou le mécanisme </w:t>
      </w:r>
      <w:r>
        <w:rPr>
          <w:rFonts w:ascii="Andes" w:hAnsi="Andes" w:cs="Arial"/>
          <w:sz w:val="22"/>
          <w:szCs w:val="22"/>
        </w:rPr>
        <w:t>de tarification</w:t>
      </w:r>
      <w:r w:rsidRPr="00D124D9">
        <w:rPr>
          <w:rFonts w:ascii="Andes" w:hAnsi="Andes" w:cs="Arial"/>
          <w:sz w:val="22"/>
          <w:szCs w:val="22"/>
        </w:rPr>
        <w:t>.</w:t>
      </w:r>
    </w:p>
    <w:p w14:paraId="56B8173A" w14:textId="77777777" w:rsidR="00E76B4B" w:rsidRPr="00D124D9" w:rsidRDefault="00E76B4B" w:rsidP="00E76B4B">
      <w:pPr>
        <w:numPr>
          <w:ilvl w:val="1"/>
          <w:numId w:val="113"/>
        </w:numPr>
        <w:spacing w:before="0" w:line="240" w:lineRule="auto"/>
        <w:ind w:left="634" w:hanging="634"/>
        <w:contextualSpacing w:val="0"/>
        <w:rPr>
          <w:rFonts w:ascii="Andes" w:hAnsi="Andes" w:cs="Arial"/>
          <w:sz w:val="22"/>
          <w:szCs w:val="22"/>
        </w:rPr>
      </w:pPr>
      <w:r w:rsidRPr="00D124D9">
        <w:rPr>
          <w:rFonts w:ascii="Andes" w:hAnsi="Andes" w:cs="Arial"/>
          <w:sz w:val="22"/>
          <w:szCs w:val="22"/>
        </w:rPr>
        <w:t xml:space="preserve">Un AC existant peut être utilisé pour une opération de FPI ou </w:t>
      </w:r>
      <w:r>
        <w:rPr>
          <w:rFonts w:ascii="Andes" w:hAnsi="Andes" w:cs="Arial"/>
          <w:sz w:val="22"/>
          <w:szCs w:val="22"/>
        </w:rPr>
        <w:t xml:space="preserve">un nouvel AC </w:t>
      </w:r>
      <w:r w:rsidRPr="00D124D9">
        <w:rPr>
          <w:rFonts w:ascii="Andes" w:hAnsi="Andes" w:cs="Arial"/>
          <w:sz w:val="22"/>
          <w:szCs w:val="22"/>
        </w:rPr>
        <w:t>établi dans le cadre d</w:t>
      </w:r>
      <w:r>
        <w:rPr>
          <w:rFonts w:ascii="Andes" w:hAnsi="Andes" w:cs="Arial"/>
          <w:sz w:val="22"/>
          <w:szCs w:val="22"/>
        </w:rPr>
        <w:t>’un FPI</w:t>
      </w:r>
      <w:r w:rsidRPr="00D124D9">
        <w:rPr>
          <w:rFonts w:ascii="Andes" w:hAnsi="Andes" w:cs="Arial"/>
          <w:sz w:val="22"/>
          <w:szCs w:val="22"/>
        </w:rPr>
        <w:t xml:space="preserve">. Les AC </w:t>
      </w:r>
      <w:r>
        <w:rPr>
          <w:rFonts w:ascii="Andes" w:hAnsi="Andes" w:cs="Arial"/>
          <w:sz w:val="22"/>
          <w:szCs w:val="22"/>
        </w:rPr>
        <w:t>(</w:t>
      </w:r>
      <w:r w:rsidRPr="00D124D9">
        <w:rPr>
          <w:rFonts w:ascii="Andes" w:hAnsi="Andes" w:cs="Arial"/>
          <w:sz w:val="22"/>
          <w:szCs w:val="22"/>
        </w:rPr>
        <w:t>existants ou nouveaux</w:t>
      </w:r>
      <w:r>
        <w:rPr>
          <w:rFonts w:ascii="Andes" w:hAnsi="Andes" w:cs="Arial"/>
          <w:sz w:val="22"/>
          <w:szCs w:val="22"/>
        </w:rPr>
        <w:t>)</w:t>
      </w:r>
      <w:r w:rsidRPr="00D124D9">
        <w:rPr>
          <w:rFonts w:ascii="Andes" w:hAnsi="Andes" w:cs="Arial"/>
          <w:sz w:val="22"/>
          <w:szCs w:val="22"/>
        </w:rPr>
        <w:t xml:space="preserve"> sont utilisés dans les conditions ci-après dans un FPI :</w:t>
      </w:r>
    </w:p>
    <w:p w14:paraId="6F6000E2" w14:textId="77777777" w:rsidR="00E76B4B" w:rsidRPr="00D124D9" w:rsidRDefault="00E76B4B" w:rsidP="00E76B4B">
      <w:pPr>
        <w:numPr>
          <w:ilvl w:val="0"/>
          <w:numId w:val="200"/>
        </w:numPr>
        <w:tabs>
          <w:tab w:val="left" w:pos="1260"/>
        </w:tabs>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u w:val="single"/>
        </w:rPr>
        <w:t>Existant</w:t>
      </w:r>
      <w:r w:rsidRPr="00D124D9">
        <w:rPr>
          <w:rFonts w:ascii="Calibri" w:eastAsiaTheme="minorHAnsi" w:hAnsi="Calibri" w:cs="Arial"/>
          <w:color w:val="000000"/>
          <w:sz w:val="22"/>
          <w:szCs w:val="22"/>
          <w:u w:val="single"/>
        </w:rPr>
        <w:t> </w:t>
      </w:r>
      <w:r w:rsidRPr="00D124D9">
        <w:rPr>
          <w:rFonts w:ascii="Andes" w:eastAsiaTheme="minorHAnsi" w:hAnsi="Andes" w:cs="Arial"/>
          <w:color w:val="000000"/>
          <w:sz w:val="22"/>
          <w:szCs w:val="22"/>
        </w:rPr>
        <w:t>: la Banque doit pouvoir s’assurer que l’AC existant de l’Emprunteur cadre avec ses Principes fondamentaux de Passation des Marchés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ou</w:t>
      </w:r>
    </w:p>
    <w:p w14:paraId="510EBEC2" w14:textId="77777777" w:rsidR="00E76B4B" w:rsidRPr="00D124D9" w:rsidRDefault="00E76B4B" w:rsidP="00E76B4B">
      <w:pPr>
        <w:numPr>
          <w:ilvl w:val="0"/>
          <w:numId w:val="200"/>
        </w:numPr>
        <w:tabs>
          <w:tab w:val="left" w:pos="1260"/>
        </w:tabs>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u w:val="single"/>
        </w:rPr>
        <w:t>Nouveau</w:t>
      </w:r>
      <w:r w:rsidRPr="00D124D9">
        <w:rPr>
          <w:rFonts w:ascii="Calibri" w:eastAsiaTheme="minorHAnsi" w:hAnsi="Calibri" w:cs="Arial"/>
          <w:color w:val="000000"/>
          <w:sz w:val="22"/>
          <w:szCs w:val="22"/>
          <w:u w:val="single"/>
        </w:rPr>
        <w:t> </w:t>
      </w:r>
      <w:r w:rsidRPr="00D124D9">
        <w:rPr>
          <w:rFonts w:ascii="Andes" w:eastAsiaTheme="minorHAnsi" w:hAnsi="Andes" w:cs="Arial"/>
          <w:color w:val="000000"/>
          <w:sz w:val="22"/>
          <w:szCs w:val="22"/>
        </w:rPr>
        <w:t xml:space="preserve">: tout nouvel AC établi par l’Emprunteur doit répondre aux exigences du présent Règlement.  </w:t>
      </w:r>
    </w:p>
    <w:p w14:paraId="3DB8FE9B" w14:textId="77777777" w:rsidR="00E76B4B" w:rsidRPr="00D124D9" w:rsidRDefault="00E76B4B" w:rsidP="00E76B4B">
      <w:pPr>
        <w:numPr>
          <w:ilvl w:val="1"/>
          <w:numId w:val="113"/>
        </w:numPr>
        <w:spacing w:before="0" w:line="240" w:lineRule="auto"/>
        <w:ind w:left="634" w:hanging="634"/>
        <w:contextualSpacing w:val="0"/>
        <w:rPr>
          <w:rFonts w:ascii="Andes" w:hAnsi="Andes" w:cs="Arial"/>
          <w:sz w:val="22"/>
          <w:szCs w:val="22"/>
        </w:rPr>
      </w:pPr>
      <w:r w:rsidRPr="00D124D9">
        <w:rPr>
          <w:rFonts w:ascii="Andes" w:hAnsi="Andes" w:cs="Arial"/>
          <w:sz w:val="22"/>
          <w:szCs w:val="22"/>
        </w:rPr>
        <w:t xml:space="preserve">Les entreprises détentrices d’AC n’ont aucune garantie de se voir attribuer des marchés à commandes. Le nombre de ces entreprises doit être proportionnel à la demande prévue, ce qui laisse à chacune une chance de bénéficier d’un marché à commandes.   </w:t>
      </w:r>
    </w:p>
    <w:p w14:paraId="7D0C49E3" w14:textId="77777777" w:rsidR="00E76B4B" w:rsidRPr="00D124D9" w:rsidRDefault="00E76B4B" w:rsidP="00E76B4B">
      <w:pPr>
        <w:pStyle w:val="Paragraphedeliste"/>
        <w:numPr>
          <w:ilvl w:val="0"/>
          <w:numId w:val="199"/>
        </w:numPr>
        <w:spacing w:before="240"/>
        <w:ind w:left="630" w:hanging="630"/>
        <w:contextualSpacing w:val="0"/>
        <w:rPr>
          <w:rFonts w:ascii="Andes" w:eastAsiaTheme="majorEastAsia" w:hAnsi="Andes"/>
          <w:b/>
          <w:color w:val="C45911"/>
          <w:sz w:val="32"/>
          <w:szCs w:val="32"/>
        </w:rPr>
      </w:pPr>
      <w:r w:rsidRPr="00D124D9">
        <w:rPr>
          <w:rFonts w:ascii="Andes" w:eastAsiaTheme="majorEastAsia" w:hAnsi="Andes"/>
          <w:b/>
          <w:color w:val="C45911"/>
          <w:sz w:val="32"/>
          <w:szCs w:val="32"/>
        </w:rPr>
        <w:t>Parties</w:t>
      </w:r>
    </w:p>
    <w:p w14:paraId="5B7B718A" w14:textId="77777777" w:rsidR="00E76B4B" w:rsidRPr="00D124D9" w:rsidRDefault="00E76B4B" w:rsidP="00E76B4B">
      <w:pPr>
        <w:numPr>
          <w:ilvl w:val="1"/>
          <w:numId w:val="114"/>
        </w:numPr>
        <w:shd w:val="clear" w:color="auto" w:fill="FFFFFF" w:themeFill="background1"/>
        <w:spacing w:before="0" w:line="240" w:lineRule="auto"/>
        <w:ind w:left="630" w:hanging="630"/>
        <w:contextualSpacing w:val="0"/>
        <w:rPr>
          <w:rFonts w:ascii="Andes" w:hAnsi="Andes" w:cs="Arial"/>
          <w:sz w:val="22"/>
          <w:szCs w:val="22"/>
        </w:rPr>
      </w:pPr>
      <w:r w:rsidRPr="00D124D9">
        <w:rPr>
          <w:rFonts w:ascii="Andes" w:hAnsi="Andes" w:cs="Arial"/>
          <w:sz w:val="22"/>
          <w:szCs w:val="22"/>
        </w:rPr>
        <w:t>Un AC peut être conclu avec un seul fournisseur ou avec plusieurs fournisseurs pour les mêmes Fournitures</w:t>
      </w:r>
      <w:r>
        <w:rPr>
          <w:rFonts w:ascii="Andes" w:hAnsi="Andes" w:cs="Arial"/>
          <w:sz w:val="22"/>
          <w:szCs w:val="22"/>
        </w:rPr>
        <w:t>, Travaux, Services Autres que d</w:t>
      </w:r>
      <w:r w:rsidRPr="00D124D9">
        <w:rPr>
          <w:rFonts w:ascii="Andes" w:hAnsi="Andes" w:cs="Arial"/>
          <w:sz w:val="22"/>
          <w:szCs w:val="22"/>
        </w:rPr>
        <w:t>es Services de Consultants ou Services de Consultants. L’Emprunteur décide de la stratégie appropriée en fonction des conditions du marché et de ses exigences.</w:t>
      </w:r>
    </w:p>
    <w:p w14:paraId="29BFA083" w14:textId="0C47ABF4" w:rsidR="00E76B4B" w:rsidRPr="00D124D9" w:rsidRDefault="00E76B4B" w:rsidP="00E76B4B">
      <w:pPr>
        <w:numPr>
          <w:ilvl w:val="1"/>
          <w:numId w:val="114"/>
        </w:numPr>
        <w:shd w:val="clear" w:color="auto" w:fill="FFFFFF" w:themeFill="background1"/>
        <w:spacing w:before="0" w:line="240" w:lineRule="auto"/>
        <w:ind w:left="630" w:hanging="630"/>
        <w:contextualSpacing w:val="0"/>
        <w:rPr>
          <w:rFonts w:ascii="Andes" w:hAnsi="Andes" w:cs="Arial"/>
          <w:sz w:val="22"/>
          <w:szCs w:val="22"/>
        </w:rPr>
      </w:pPr>
      <w:r w:rsidRPr="00D124D9">
        <w:rPr>
          <w:rFonts w:ascii="Andes" w:hAnsi="Andes" w:cs="Arial"/>
          <w:sz w:val="22"/>
          <w:szCs w:val="22"/>
        </w:rPr>
        <w:t>L’AC lie uniquement l’organisme de</w:t>
      </w:r>
      <w:r w:rsidR="00060A4A">
        <w:rPr>
          <w:rFonts w:ascii="Andes" w:hAnsi="Andes" w:cs="Arial"/>
          <w:sz w:val="22"/>
          <w:szCs w:val="22"/>
        </w:rPr>
        <w:t xml:space="preserve"> </w:t>
      </w:r>
      <w:r w:rsidRPr="00D124D9">
        <w:rPr>
          <w:rFonts w:ascii="Andes" w:hAnsi="Andes" w:cs="Arial"/>
          <w:sz w:val="22"/>
          <w:szCs w:val="22"/>
        </w:rPr>
        <w:t>l’Emprunteur chargé des marchés et l’entreprise ou les entreprises contractante(s). Lorsque plusieurs organismes chargés des march</w:t>
      </w:r>
      <w:r>
        <w:rPr>
          <w:rFonts w:ascii="Andes" w:hAnsi="Andes" w:cs="Arial"/>
          <w:sz w:val="22"/>
          <w:szCs w:val="22"/>
        </w:rPr>
        <w:t xml:space="preserve">és concluent ensemble un Accord </w:t>
      </w:r>
      <w:r w:rsidRPr="00D124D9">
        <w:rPr>
          <w:rFonts w:ascii="Andes" w:hAnsi="Andes" w:cs="Arial"/>
          <w:sz w:val="22"/>
          <w:szCs w:val="22"/>
        </w:rPr>
        <w:t>Cadre, l’un des organismes est désigné comme chef de file pour agir au nom de l’ensemble. Chaque organisme faisant partie du groupe est identifié dans les dossiers d’</w:t>
      </w:r>
      <w:r w:rsidR="00C51DF5">
        <w:rPr>
          <w:rFonts w:ascii="Andes" w:hAnsi="Andes" w:cs="Arial"/>
          <w:sz w:val="22"/>
          <w:szCs w:val="22"/>
        </w:rPr>
        <w:t>Appel d’Offres/ à Propositions</w:t>
      </w:r>
      <w:r w:rsidRPr="00D124D9">
        <w:rPr>
          <w:rFonts w:ascii="Andes" w:hAnsi="Andes" w:cs="Arial"/>
          <w:sz w:val="22"/>
          <w:szCs w:val="22"/>
        </w:rPr>
        <w:t xml:space="preserve"> au moment de faire appel aux fournisseurs. Ch</w:t>
      </w:r>
      <w:r>
        <w:rPr>
          <w:rFonts w:ascii="Andes" w:hAnsi="Andes" w:cs="Arial"/>
          <w:sz w:val="22"/>
          <w:szCs w:val="22"/>
        </w:rPr>
        <w:t>aque organisme chargé des marché</w:t>
      </w:r>
      <w:r w:rsidRPr="00D124D9">
        <w:rPr>
          <w:rFonts w:ascii="Andes" w:hAnsi="Andes" w:cs="Arial"/>
          <w:sz w:val="22"/>
          <w:szCs w:val="22"/>
        </w:rPr>
        <w:t xml:space="preserve">s est désigné spécifiquement dans chaque marché à commandes.  </w:t>
      </w:r>
    </w:p>
    <w:p w14:paraId="377D9237" w14:textId="77777777" w:rsidR="00E76B4B" w:rsidRPr="00D124D9" w:rsidRDefault="00E76B4B" w:rsidP="00E76B4B">
      <w:pPr>
        <w:pStyle w:val="Paragraphedeliste"/>
        <w:numPr>
          <w:ilvl w:val="0"/>
          <w:numId w:val="199"/>
        </w:numPr>
        <w:spacing w:before="240"/>
        <w:ind w:left="630" w:hanging="630"/>
        <w:contextualSpacing w:val="0"/>
        <w:rPr>
          <w:rFonts w:ascii="Andes" w:eastAsiaTheme="majorEastAsia" w:hAnsi="Andes"/>
          <w:b/>
          <w:color w:val="C45911"/>
          <w:sz w:val="32"/>
          <w:szCs w:val="32"/>
        </w:rPr>
      </w:pPr>
      <w:r w:rsidRPr="00D124D9">
        <w:rPr>
          <w:rFonts w:ascii="Andes" w:eastAsiaTheme="majorEastAsia" w:hAnsi="Andes"/>
          <w:b/>
          <w:color w:val="C45911"/>
          <w:sz w:val="32"/>
          <w:szCs w:val="32"/>
        </w:rPr>
        <w:t>Conclure un AC</w:t>
      </w:r>
    </w:p>
    <w:p w14:paraId="675F0C8A" w14:textId="4B83DA02" w:rsidR="00E76B4B" w:rsidRPr="00D124D9" w:rsidRDefault="00E76B4B" w:rsidP="00E76B4B">
      <w:pPr>
        <w:numPr>
          <w:ilvl w:val="1"/>
          <w:numId w:val="117"/>
        </w:numPr>
        <w:spacing w:before="0" w:line="240" w:lineRule="auto"/>
        <w:ind w:left="630" w:hanging="630"/>
        <w:contextualSpacing w:val="0"/>
        <w:rPr>
          <w:rFonts w:ascii="Andes" w:hAnsi="Andes" w:cs="Arial"/>
          <w:sz w:val="22"/>
          <w:szCs w:val="22"/>
        </w:rPr>
      </w:pPr>
      <w:r w:rsidRPr="00D124D9">
        <w:rPr>
          <w:rFonts w:ascii="Andes" w:hAnsi="Andes" w:cs="Arial"/>
          <w:sz w:val="22"/>
          <w:szCs w:val="22"/>
        </w:rPr>
        <w:t>Pour conclure un AC, l’Emprunteur procède à une mise en concurrence ouverte sur la base de dossiers d’</w:t>
      </w:r>
      <w:r w:rsidR="00C51DF5">
        <w:rPr>
          <w:rFonts w:ascii="Andes" w:hAnsi="Andes" w:cs="Arial"/>
          <w:sz w:val="22"/>
          <w:szCs w:val="22"/>
        </w:rPr>
        <w:t>Appel d’Offres/ à Propositions</w:t>
      </w:r>
      <w:r w:rsidRPr="00D124D9">
        <w:rPr>
          <w:rFonts w:ascii="Andes" w:hAnsi="Andes" w:cs="Arial"/>
          <w:sz w:val="22"/>
          <w:szCs w:val="22"/>
        </w:rPr>
        <w:t xml:space="preserve"> appropriés. Une fois que l’AC est conclu, l’Emprunteur n’a plus besoin d’ouvrir l</w:t>
      </w:r>
      <w:r>
        <w:rPr>
          <w:rFonts w:ascii="Andes" w:hAnsi="Andes" w:cs="Arial"/>
          <w:sz w:val="22"/>
          <w:szCs w:val="22"/>
        </w:rPr>
        <w:t>a possibilité</w:t>
      </w:r>
      <w:r w:rsidRPr="00D124D9">
        <w:rPr>
          <w:rFonts w:ascii="Andes" w:hAnsi="Andes" w:cs="Arial"/>
          <w:sz w:val="22"/>
          <w:szCs w:val="22"/>
        </w:rPr>
        <w:t xml:space="preserve"> de soumissionner pour </w:t>
      </w:r>
      <w:r>
        <w:rPr>
          <w:rFonts w:ascii="Andes" w:hAnsi="Andes" w:cs="Arial"/>
          <w:sz w:val="22"/>
          <w:szCs w:val="22"/>
        </w:rPr>
        <w:t>un</w:t>
      </w:r>
      <w:r w:rsidRPr="00D124D9">
        <w:rPr>
          <w:rFonts w:ascii="Andes" w:hAnsi="Andes" w:cs="Arial"/>
          <w:sz w:val="22"/>
          <w:szCs w:val="22"/>
        </w:rPr>
        <w:t xml:space="preserve"> marché à commandes.</w:t>
      </w:r>
    </w:p>
    <w:p w14:paraId="4470EBB1" w14:textId="2CFB307E" w:rsidR="00E76B4B" w:rsidRPr="00D124D9" w:rsidRDefault="00E76B4B" w:rsidP="00E76B4B">
      <w:pPr>
        <w:numPr>
          <w:ilvl w:val="1"/>
          <w:numId w:val="117"/>
        </w:numPr>
        <w:spacing w:before="0" w:line="240" w:lineRule="auto"/>
        <w:ind w:left="630" w:hanging="630"/>
        <w:contextualSpacing w:val="0"/>
        <w:rPr>
          <w:rFonts w:ascii="Andes" w:hAnsi="Andes" w:cs="Arial"/>
          <w:sz w:val="22"/>
          <w:szCs w:val="22"/>
        </w:rPr>
      </w:pPr>
      <w:r w:rsidRPr="00D124D9">
        <w:rPr>
          <w:rFonts w:ascii="Andes" w:hAnsi="Andes" w:cs="Arial"/>
          <w:sz w:val="22"/>
          <w:szCs w:val="22"/>
        </w:rPr>
        <w:lastRenderedPageBreak/>
        <w:t>Les dossiers d’</w:t>
      </w:r>
      <w:r w:rsidR="00C51DF5">
        <w:rPr>
          <w:rFonts w:ascii="Andes" w:hAnsi="Andes" w:cs="Arial"/>
          <w:sz w:val="22"/>
          <w:szCs w:val="22"/>
        </w:rPr>
        <w:t>Appel d’Offres/ à Propositions</w:t>
      </w:r>
      <w:r w:rsidRPr="00D124D9">
        <w:rPr>
          <w:rFonts w:ascii="Andes" w:hAnsi="Andes" w:cs="Arial"/>
          <w:sz w:val="22"/>
          <w:szCs w:val="22"/>
        </w:rPr>
        <w:t xml:space="preserve"> contiennent au moins les informations supplémentaires suivantes</w:t>
      </w:r>
      <w:r w:rsidRPr="00D124D9">
        <w:rPr>
          <w:rFonts w:ascii="Calibri" w:hAnsi="Calibri" w:cs="Arial"/>
          <w:sz w:val="22"/>
          <w:szCs w:val="22"/>
        </w:rPr>
        <w:t> </w:t>
      </w:r>
      <w:r w:rsidRPr="00D124D9">
        <w:rPr>
          <w:rFonts w:ascii="Andes" w:hAnsi="Andes" w:cs="Arial"/>
          <w:sz w:val="22"/>
          <w:szCs w:val="22"/>
        </w:rPr>
        <w:t xml:space="preserve">: </w:t>
      </w:r>
    </w:p>
    <w:p w14:paraId="3B0EABCF" w14:textId="77777777" w:rsidR="00E76B4B" w:rsidRPr="00D124D9" w:rsidRDefault="00E76B4B" w:rsidP="00E76B4B">
      <w:pPr>
        <w:numPr>
          <w:ilvl w:val="0"/>
          <w:numId w:val="258"/>
        </w:numPr>
        <w:shd w:val="clear" w:color="auto" w:fill="FFFFFF" w:themeFill="background1"/>
        <w:tabs>
          <w:tab w:val="left" w:pos="2070"/>
        </w:tabs>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u</w:t>
      </w:r>
      <w:r w:rsidRPr="00D124D9">
        <w:rPr>
          <w:rFonts w:ascii="Andes" w:eastAsiaTheme="minorHAnsi" w:hAnsi="Andes" w:cs="Arial"/>
          <w:color w:val="000000"/>
          <w:sz w:val="22"/>
          <w:szCs w:val="22"/>
        </w:rPr>
        <w:t>ne description des</w:t>
      </w:r>
      <w:r w:rsidRPr="00D124D9">
        <w:rPr>
          <w:rFonts w:ascii="Calibri" w:eastAsiaTheme="minorHAnsi" w:hAnsi="Calibri" w:cs="Calibri"/>
          <w:color w:val="000000"/>
          <w:sz w:val="22"/>
          <w:szCs w:val="22"/>
        </w:rPr>
        <w:t> </w:t>
      </w:r>
      <w:r w:rsidRPr="00D124D9">
        <w:rPr>
          <w:rFonts w:ascii="Andes" w:eastAsiaTheme="minorHAnsi" w:hAnsi="Andes" w:cs="Arial"/>
          <w:color w:val="000000"/>
          <w:sz w:val="22"/>
          <w:szCs w:val="22"/>
        </w:rPr>
        <w:t>Fournitures</w:t>
      </w:r>
      <w:r>
        <w:rPr>
          <w:rFonts w:ascii="Andes" w:eastAsiaTheme="minorHAnsi" w:hAnsi="Andes" w:cs="Arial"/>
          <w:color w:val="000000"/>
          <w:sz w:val="22"/>
          <w:szCs w:val="22"/>
        </w:rPr>
        <w:t>, Travaux, Services Autres que d</w:t>
      </w:r>
      <w:r w:rsidRPr="00D124D9">
        <w:rPr>
          <w:rFonts w:ascii="Andes" w:eastAsiaTheme="minorHAnsi" w:hAnsi="Andes" w:cs="Arial"/>
          <w:color w:val="000000"/>
          <w:sz w:val="22"/>
          <w:szCs w:val="22"/>
        </w:rPr>
        <w:t>es Services de Consultants ou Services de Consultants couverts par l’AC</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3CE1FB1E" w14:textId="77777777" w:rsidR="00E76B4B" w:rsidRPr="00D124D9" w:rsidRDefault="00E76B4B" w:rsidP="00E76B4B">
      <w:pPr>
        <w:numPr>
          <w:ilvl w:val="0"/>
          <w:numId w:val="258"/>
        </w:numPr>
        <w:shd w:val="clear" w:color="auto" w:fill="FFFFFF" w:themeFill="background1"/>
        <w:spacing w:before="0" w:line="240" w:lineRule="auto"/>
        <w:contextualSpacing w:val="0"/>
        <w:rPr>
          <w:rFonts w:ascii="Andes" w:eastAsiaTheme="minorHAnsi" w:hAnsi="Andes" w:cs="Arial"/>
          <w:sz w:val="22"/>
          <w:szCs w:val="22"/>
        </w:rPr>
      </w:pPr>
      <w:r>
        <w:rPr>
          <w:rFonts w:ascii="Andes" w:eastAsiaTheme="minorHAnsi" w:hAnsi="Andes" w:cs="Arial"/>
          <w:color w:val="000000"/>
          <w:sz w:val="22"/>
          <w:szCs w:val="22"/>
        </w:rPr>
        <w:t>u</w:t>
      </w:r>
      <w:r w:rsidRPr="00D124D9">
        <w:rPr>
          <w:rFonts w:ascii="Andes" w:eastAsiaTheme="minorHAnsi" w:hAnsi="Andes" w:cs="Arial"/>
          <w:color w:val="000000"/>
          <w:sz w:val="22"/>
          <w:szCs w:val="22"/>
        </w:rPr>
        <w:t xml:space="preserve">ne estimation </w:t>
      </w:r>
      <w:r>
        <w:rPr>
          <w:rFonts w:ascii="Andes" w:eastAsiaTheme="minorHAnsi" w:hAnsi="Andes" w:cs="Arial"/>
          <w:color w:val="000000"/>
          <w:sz w:val="22"/>
          <w:szCs w:val="22"/>
        </w:rPr>
        <w:t>totale du volume/de l’</w:t>
      </w:r>
      <w:r w:rsidRPr="00D124D9">
        <w:rPr>
          <w:rFonts w:ascii="Andes" w:eastAsiaTheme="minorHAnsi" w:hAnsi="Andes" w:cs="Arial"/>
          <w:color w:val="000000"/>
          <w:sz w:val="22"/>
          <w:szCs w:val="22"/>
        </w:rPr>
        <w:t xml:space="preserve">ampleur </w:t>
      </w:r>
      <w:r>
        <w:rPr>
          <w:rFonts w:ascii="Andes" w:eastAsiaTheme="minorHAnsi" w:hAnsi="Andes" w:cs="Arial"/>
          <w:color w:val="000000"/>
          <w:sz w:val="22"/>
          <w:szCs w:val="22"/>
        </w:rPr>
        <w:t>d</w:t>
      </w:r>
      <w:r w:rsidRPr="00D124D9">
        <w:rPr>
          <w:rFonts w:ascii="Andes" w:eastAsiaTheme="minorHAnsi" w:hAnsi="Andes" w:cs="Arial"/>
          <w:color w:val="000000"/>
          <w:sz w:val="22"/>
          <w:szCs w:val="22"/>
        </w:rPr>
        <w:t>es Fournitures, Travaux, Services Autres q</w:t>
      </w:r>
      <w:r>
        <w:rPr>
          <w:rFonts w:ascii="Andes" w:eastAsiaTheme="minorHAnsi" w:hAnsi="Andes" w:cs="Arial"/>
          <w:color w:val="000000"/>
          <w:sz w:val="22"/>
          <w:szCs w:val="22"/>
        </w:rPr>
        <w:t>ue d</w:t>
      </w:r>
      <w:r w:rsidRPr="00D124D9">
        <w:rPr>
          <w:rFonts w:ascii="Andes" w:eastAsiaTheme="minorHAnsi" w:hAnsi="Andes" w:cs="Arial"/>
          <w:color w:val="000000"/>
          <w:sz w:val="22"/>
          <w:szCs w:val="22"/>
        </w:rPr>
        <w:t>es Services de Consultants ou Services de Consultants pour lesquels des marchés à commandes peuvent être passés et, dans la mesure du possible, le volume/l’ampleur des prestations et la fréquence des marchés à commandes à attribuer dans le cadre de l’AC</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446B7C59" w14:textId="3E63BFBA" w:rsidR="00E76B4B" w:rsidRPr="00D124D9" w:rsidRDefault="00E76B4B" w:rsidP="00E76B4B">
      <w:pPr>
        <w:numPr>
          <w:ilvl w:val="0"/>
          <w:numId w:val="258"/>
        </w:numPr>
        <w:shd w:val="clear" w:color="auto" w:fill="FFFFFF" w:themeFill="background1"/>
        <w:spacing w:before="0" w:line="240" w:lineRule="auto"/>
        <w:contextualSpacing w:val="0"/>
        <w:rPr>
          <w:rFonts w:ascii="Andes" w:eastAsiaTheme="minorHAnsi" w:hAnsi="Andes" w:cs="Arial"/>
          <w:sz w:val="22"/>
          <w:szCs w:val="22"/>
        </w:rPr>
      </w:pPr>
      <w:r>
        <w:rPr>
          <w:rFonts w:ascii="Andes" w:eastAsiaTheme="minorHAnsi" w:hAnsi="Andes" w:cs="Arial"/>
          <w:sz w:val="22"/>
          <w:szCs w:val="22"/>
        </w:rPr>
        <w:t>l</w:t>
      </w:r>
      <w:r w:rsidRPr="00D124D9">
        <w:rPr>
          <w:rFonts w:ascii="Andes" w:eastAsiaTheme="minorHAnsi" w:hAnsi="Andes" w:cs="Arial"/>
          <w:sz w:val="22"/>
          <w:szCs w:val="22"/>
        </w:rPr>
        <w:t xml:space="preserve">es </w:t>
      </w:r>
      <w:r w:rsidR="00E831E3">
        <w:rPr>
          <w:rFonts w:ascii="Andes" w:eastAsiaTheme="minorHAnsi" w:hAnsi="Andes" w:cs="Arial"/>
          <w:sz w:val="22"/>
          <w:szCs w:val="22"/>
        </w:rPr>
        <w:t>C</w:t>
      </w:r>
      <w:r w:rsidRPr="00D124D9">
        <w:rPr>
          <w:rFonts w:ascii="Andes" w:eastAsiaTheme="minorHAnsi" w:hAnsi="Andes" w:cs="Arial"/>
          <w:sz w:val="22"/>
          <w:szCs w:val="22"/>
        </w:rPr>
        <w:t xml:space="preserve">ritères de </w:t>
      </w:r>
      <w:r w:rsidR="007664F0">
        <w:rPr>
          <w:rFonts w:ascii="Andes" w:eastAsiaTheme="minorHAnsi" w:hAnsi="Andes" w:cs="Arial"/>
          <w:sz w:val="22"/>
          <w:szCs w:val="22"/>
        </w:rPr>
        <w:t>Q</w:t>
      </w:r>
      <w:r w:rsidRPr="00D124D9">
        <w:rPr>
          <w:rFonts w:ascii="Andes" w:eastAsiaTheme="minorHAnsi" w:hAnsi="Andes" w:cs="Arial"/>
          <w:sz w:val="22"/>
          <w:szCs w:val="22"/>
        </w:rPr>
        <w:t>ualification et d’évaluation</w:t>
      </w:r>
      <w:r>
        <w:rPr>
          <w:rFonts w:ascii="Andes" w:eastAsiaTheme="minorHAnsi" w:hAnsi="Andes" w:cs="Arial"/>
          <w:sz w:val="22"/>
          <w:szCs w:val="22"/>
        </w:rPr>
        <w:t>,</w:t>
      </w:r>
      <w:r w:rsidRPr="00D124D9">
        <w:rPr>
          <w:rFonts w:ascii="Andes" w:eastAsiaTheme="minorHAnsi" w:hAnsi="Andes" w:cs="Arial"/>
          <w:sz w:val="22"/>
          <w:szCs w:val="22"/>
        </w:rPr>
        <w:t xml:space="preserve"> et la méthode d’évaluation</w:t>
      </w:r>
      <w:r w:rsidRPr="00D124D9">
        <w:rPr>
          <w:rFonts w:ascii="Calibri" w:eastAsiaTheme="minorHAnsi" w:hAnsi="Calibri" w:cs="Arial"/>
          <w:sz w:val="22"/>
          <w:szCs w:val="22"/>
        </w:rPr>
        <w:t> </w:t>
      </w:r>
      <w:r w:rsidRPr="00D124D9">
        <w:rPr>
          <w:rFonts w:ascii="Andes" w:eastAsiaTheme="minorHAnsi" w:hAnsi="Andes" w:cs="Arial"/>
          <w:sz w:val="22"/>
          <w:szCs w:val="22"/>
        </w:rPr>
        <w:t>;</w:t>
      </w:r>
    </w:p>
    <w:p w14:paraId="6A8E42FD" w14:textId="77777777" w:rsidR="00E76B4B" w:rsidRPr="00D124D9" w:rsidRDefault="00E76B4B" w:rsidP="00E76B4B">
      <w:pPr>
        <w:numPr>
          <w:ilvl w:val="0"/>
          <w:numId w:val="258"/>
        </w:numPr>
        <w:shd w:val="clear" w:color="auto" w:fill="FFFFFF" w:themeFill="background1"/>
        <w:spacing w:before="0" w:line="240" w:lineRule="auto"/>
        <w:contextualSpacing w:val="0"/>
        <w:rPr>
          <w:rFonts w:ascii="Andes" w:eastAsiaTheme="minorHAnsi" w:hAnsi="Andes" w:cs="Arial"/>
          <w:color w:val="000000"/>
          <w:sz w:val="22"/>
          <w:szCs w:val="22"/>
        </w:rPr>
      </w:pPr>
      <w:r>
        <w:rPr>
          <w:rFonts w:ascii="Andes" w:eastAsiaTheme="minorHAnsi" w:hAnsi="Andes" w:cs="Arial"/>
          <w:color w:val="000000"/>
          <w:sz w:val="22"/>
          <w:szCs w:val="22"/>
        </w:rPr>
        <w:t>l</w:t>
      </w:r>
      <w:r w:rsidRPr="00D124D9">
        <w:rPr>
          <w:rFonts w:ascii="Andes" w:eastAsiaTheme="minorHAnsi" w:hAnsi="Andes" w:cs="Arial"/>
          <w:color w:val="000000"/>
          <w:sz w:val="22"/>
          <w:szCs w:val="22"/>
        </w:rPr>
        <w:t xml:space="preserve">es clauses et conditions </w:t>
      </w:r>
      <w:r>
        <w:rPr>
          <w:rFonts w:ascii="Andes" w:eastAsiaTheme="minorHAnsi" w:hAnsi="Andes" w:cs="Arial"/>
          <w:color w:val="000000"/>
          <w:sz w:val="22"/>
          <w:szCs w:val="22"/>
        </w:rPr>
        <w:t>c</w:t>
      </w:r>
      <w:r w:rsidRPr="00D124D9">
        <w:rPr>
          <w:rFonts w:ascii="Andes" w:eastAsiaTheme="minorHAnsi" w:hAnsi="Andes" w:cs="Arial"/>
          <w:color w:val="000000"/>
          <w:sz w:val="22"/>
          <w:szCs w:val="22"/>
        </w:rPr>
        <w:t>ontra</w:t>
      </w:r>
      <w:r>
        <w:rPr>
          <w:rFonts w:ascii="Andes" w:eastAsiaTheme="minorHAnsi" w:hAnsi="Andes" w:cs="Arial"/>
          <w:color w:val="000000"/>
          <w:sz w:val="22"/>
          <w:szCs w:val="22"/>
        </w:rPr>
        <w:t>c</w:t>
      </w:r>
      <w:r w:rsidRPr="00D124D9">
        <w:rPr>
          <w:rFonts w:ascii="Andes" w:eastAsiaTheme="minorHAnsi" w:hAnsi="Andes" w:cs="Arial"/>
          <w:color w:val="000000"/>
          <w:sz w:val="22"/>
          <w:szCs w:val="22"/>
        </w:rPr>
        <w:t>t</w:t>
      </w:r>
      <w:r>
        <w:rPr>
          <w:rFonts w:ascii="Andes" w:eastAsiaTheme="minorHAnsi" w:hAnsi="Andes" w:cs="Arial"/>
          <w:color w:val="000000"/>
          <w:sz w:val="22"/>
          <w:szCs w:val="22"/>
        </w:rPr>
        <w:t>uelles</w:t>
      </w:r>
      <w:r w:rsidRPr="00D124D9">
        <w:rPr>
          <w:rFonts w:ascii="Andes" w:eastAsiaTheme="minorHAnsi" w:hAnsi="Andes" w:cs="Arial"/>
          <w:color w:val="000000"/>
          <w:sz w:val="22"/>
          <w:szCs w:val="22"/>
        </w:rPr>
        <w:t xml:space="preserve"> applicable</w:t>
      </w:r>
      <w:r>
        <w:rPr>
          <w:rFonts w:ascii="Andes" w:eastAsiaTheme="minorHAnsi" w:hAnsi="Andes" w:cs="Arial"/>
          <w:color w:val="000000"/>
          <w:sz w:val="22"/>
          <w:szCs w:val="22"/>
        </w:rPr>
        <w:t>s</w:t>
      </w:r>
      <w:r w:rsidRPr="00D124D9">
        <w:rPr>
          <w:rFonts w:ascii="Andes" w:eastAsiaTheme="minorHAnsi" w:hAnsi="Andes" w:cs="Arial"/>
          <w:color w:val="000000"/>
          <w:sz w:val="22"/>
          <w:szCs w:val="22"/>
        </w:rPr>
        <w:t xml:space="preserve"> aux marchés à commandes dans le cadre de l’AC, notamment les dispositions suivantes :</w:t>
      </w:r>
    </w:p>
    <w:p w14:paraId="6EACC9E3" w14:textId="77777777" w:rsidR="00E76B4B" w:rsidRPr="00D124D9" w:rsidRDefault="00E76B4B" w:rsidP="00E76B4B">
      <w:pPr>
        <w:numPr>
          <w:ilvl w:val="0"/>
          <w:numId w:val="112"/>
        </w:numPr>
        <w:shd w:val="clear" w:color="auto" w:fill="FFFFFF" w:themeFill="background1"/>
        <w:spacing w:before="0" w:line="240" w:lineRule="auto"/>
        <w:ind w:left="1980" w:hanging="270"/>
        <w:contextualSpacing w:val="0"/>
        <w:rPr>
          <w:rFonts w:ascii="Andes" w:eastAsiaTheme="minorHAnsi" w:hAnsi="Andes" w:cs="Arial"/>
          <w:sz w:val="22"/>
          <w:szCs w:val="22"/>
        </w:rPr>
      </w:pPr>
      <w:r>
        <w:rPr>
          <w:rFonts w:ascii="Andes" w:hAnsi="Andes" w:cs="Arial"/>
          <w:sz w:val="22"/>
          <w:szCs w:val="22"/>
        </w:rPr>
        <w:t>l</w:t>
      </w:r>
      <w:r w:rsidRPr="00D124D9">
        <w:rPr>
          <w:rFonts w:ascii="Andes" w:hAnsi="Andes" w:cs="Arial"/>
          <w:sz w:val="22"/>
          <w:szCs w:val="22"/>
        </w:rPr>
        <w:t xml:space="preserve">es </w:t>
      </w:r>
      <w:r>
        <w:rPr>
          <w:rFonts w:ascii="Andes" w:hAnsi="Andes" w:cs="Arial"/>
          <w:sz w:val="22"/>
          <w:szCs w:val="22"/>
        </w:rPr>
        <w:t>commissions, le barème des prix ou</w:t>
      </w:r>
      <w:r w:rsidRPr="00D124D9">
        <w:rPr>
          <w:rFonts w:ascii="Andes" w:hAnsi="Andes" w:cs="Arial"/>
          <w:sz w:val="22"/>
          <w:szCs w:val="22"/>
        </w:rPr>
        <w:t xml:space="preserve"> </w:t>
      </w:r>
      <w:r>
        <w:rPr>
          <w:rFonts w:ascii="Andes" w:hAnsi="Andes" w:cs="Arial"/>
          <w:sz w:val="22"/>
          <w:szCs w:val="22"/>
        </w:rPr>
        <w:t xml:space="preserve">le </w:t>
      </w:r>
      <w:r w:rsidRPr="00D124D9">
        <w:rPr>
          <w:rFonts w:ascii="Andes" w:hAnsi="Andes" w:cs="Arial"/>
          <w:sz w:val="22"/>
          <w:szCs w:val="22"/>
        </w:rPr>
        <w:t xml:space="preserve">mécanisme </w:t>
      </w:r>
      <w:r>
        <w:rPr>
          <w:rFonts w:ascii="Andes" w:hAnsi="Andes" w:cs="Arial"/>
          <w:sz w:val="22"/>
          <w:szCs w:val="22"/>
        </w:rPr>
        <w:t>de tarification</w:t>
      </w:r>
      <w:r w:rsidRPr="00D124D9">
        <w:rPr>
          <w:rFonts w:ascii="Andes" w:hAnsi="Andes" w:cs="Arial"/>
          <w:sz w:val="22"/>
          <w:szCs w:val="22"/>
        </w:rPr>
        <w:t xml:space="preserve"> et tous </w:t>
      </w:r>
      <w:r>
        <w:rPr>
          <w:rFonts w:ascii="Andes" w:hAnsi="Andes" w:cs="Arial"/>
          <w:sz w:val="22"/>
          <w:szCs w:val="22"/>
        </w:rPr>
        <w:t xml:space="preserve">les </w:t>
      </w:r>
      <w:r w:rsidRPr="00D124D9">
        <w:rPr>
          <w:rFonts w:ascii="Andes" w:hAnsi="Andes" w:cs="Arial"/>
          <w:sz w:val="22"/>
          <w:szCs w:val="22"/>
        </w:rPr>
        <w:t>autres coûts connexes sont arrêtés en accord avec chaque entreprise et restent valables pendant la durée de l’AC ;</w:t>
      </w:r>
    </w:p>
    <w:p w14:paraId="75C9EB78" w14:textId="77777777" w:rsidR="00E76B4B" w:rsidRPr="00D124D9" w:rsidRDefault="00E76B4B" w:rsidP="00E76B4B">
      <w:pPr>
        <w:numPr>
          <w:ilvl w:val="0"/>
          <w:numId w:val="112"/>
        </w:numPr>
        <w:shd w:val="clear" w:color="auto" w:fill="FFFFFF" w:themeFill="background1"/>
        <w:spacing w:before="0" w:line="240" w:lineRule="auto"/>
        <w:ind w:left="1980" w:hanging="270"/>
        <w:contextualSpacing w:val="0"/>
        <w:rPr>
          <w:rFonts w:ascii="Andes" w:eastAsiaTheme="minorHAnsi" w:hAnsi="Andes" w:cs="Arial"/>
          <w:sz w:val="22"/>
          <w:szCs w:val="22"/>
        </w:rPr>
      </w:pPr>
      <w:r>
        <w:rPr>
          <w:rFonts w:ascii="Andes" w:hAnsi="Andes" w:cs="Arial"/>
          <w:sz w:val="22"/>
          <w:szCs w:val="22"/>
        </w:rPr>
        <w:t>l</w:t>
      </w:r>
      <w:r w:rsidRPr="00D124D9">
        <w:rPr>
          <w:rFonts w:ascii="Andes" w:hAnsi="Andes" w:cs="Arial"/>
          <w:sz w:val="22"/>
          <w:szCs w:val="22"/>
        </w:rPr>
        <w:t>’Emprunteur sollicite les entreprises contractantes selon les besoins, par des marchés à commandes ;</w:t>
      </w:r>
    </w:p>
    <w:p w14:paraId="5E5B4AE9" w14:textId="77777777" w:rsidR="00E76B4B" w:rsidRPr="00D124D9" w:rsidRDefault="00E76B4B" w:rsidP="00E76B4B">
      <w:pPr>
        <w:numPr>
          <w:ilvl w:val="0"/>
          <w:numId w:val="112"/>
        </w:numPr>
        <w:shd w:val="clear" w:color="auto" w:fill="FFFFFF" w:themeFill="background1"/>
        <w:spacing w:before="0" w:line="240" w:lineRule="auto"/>
        <w:ind w:left="1980" w:hanging="270"/>
        <w:contextualSpacing w:val="0"/>
        <w:rPr>
          <w:rFonts w:ascii="Andes" w:eastAsiaTheme="minorHAnsi" w:hAnsi="Andes" w:cs="Arial"/>
          <w:color w:val="000000" w:themeColor="text1"/>
          <w:sz w:val="22"/>
          <w:szCs w:val="22"/>
        </w:rPr>
      </w:pPr>
      <w:r>
        <w:rPr>
          <w:rFonts w:ascii="Andes" w:eastAsiaTheme="minorHAnsi" w:hAnsi="Andes" w:cs="Arial"/>
          <w:sz w:val="22"/>
          <w:szCs w:val="22"/>
        </w:rPr>
        <w:t>l</w:t>
      </w:r>
      <w:r w:rsidRPr="00D124D9">
        <w:rPr>
          <w:rFonts w:ascii="Andes" w:eastAsiaTheme="minorHAnsi" w:hAnsi="Andes" w:cs="Arial"/>
          <w:sz w:val="22"/>
          <w:szCs w:val="22"/>
        </w:rPr>
        <w:t>’AC est</w:t>
      </w:r>
      <w:r w:rsidRPr="00D124D9">
        <w:rPr>
          <w:rFonts w:ascii="Calibri" w:eastAsiaTheme="minorHAnsi" w:hAnsi="Calibri" w:cs="Arial"/>
          <w:sz w:val="22"/>
          <w:szCs w:val="22"/>
        </w:rPr>
        <w:t> </w:t>
      </w:r>
      <w:r w:rsidRPr="00D124D9">
        <w:rPr>
          <w:rFonts w:ascii="Andes" w:hAnsi="Andes" w:cs="Arial"/>
          <w:color w:val="000000" w:themeColor="text1"/>
          <w:sz w:val="22"/>
          <w:szCs w:val="22"/>
        </w:rPr>
        <w:t>:</w:t>
      </w:r>
    </w:p>
    <w:p w14:paraId="6F55B145" w14:textId="77777777" w:rsidR="00E76B4B" w:rsidRPr="00D124D9" w:rsidRDefault="00E76B4B" w:rsidP="00E76B4B">
      <w:pPr>
        <w:pStyle w:val="Paragraphedeliste"/>
        <w:numPr>
          <w:ilvl w:val="0"/>
          <w:numId w:val="201"/>
        </w:numPr>
        <w:shd w:val="clear" w:color="auto" w:fill="FFFFFF" w:themeFill="background1"/>
        <w:spacing w:before="0" w:line="240" w:lineRule="auto"/>
        <w:ind w:left="2340" w:hanging="270"/>
        <w:contextualSpacing w:val="0"/>
        <w:rPr>
          <w:rFonts w:ascii="Andes" w:hAnsi="Andes" w:cs="Arial"/>
          <w:color w:val="000000" w:themeColor="text1"/>
          <w:sz w:val="22"/>
          <w:szCs w:val="22"/>
        </w:rPr>
      </w:pPr>
      <w:r w:rsidRPr="00D124D9">
        <w:rPr>
          <w:rFonts w:ascii="Andes" w:hAnsi="Andes" w:cs="Arial"/>
          <w:color w:val="000000" w:themeColor="text1"/>
          <w:sz w:val="22"/>
          <w:szCs w:val="22"/>
        </w:rPr>
        <w:t>fermé (ce qui devrait en principe être le cas) et aucun nouvel entrant n’e</w:t>
      </w:r>
      <w:r>
        <w:rPr>
          <w:rFonts w:ascii="Andes" w:hAnsi="Andes" w:cs="Arial"/>
          <w:color w:val="000000" w:themeColor="text1"/>
          <w:sz w:val="22"/>
          <w:szCs w:val="22"/>
        </w:rPr>
        <w:t>st admis pendant la durée de l’A</w:t>
      </w:r>
      <w:r w:rsidRPr="00D124D9">
        <w:rPr>
          <w:rFonts w:ascii="Andes" w:hAnsi="Andes" w:cs="Arial"/>
          <w:color w:val="000000" w:themeColor="text1"/>
          <w:sz w:val="22"/>
          <w:szCs w:val="22"/>
        </w:rPr>
        <w:t>ccord</w:t>
      </w:r>
      <w:r>
        <w:rPr>
          <w:rFonts w:ascii="Andes" w:hAnsi="Andes" w:cs="Arial"/>
          <w:color w:val="000000" w:themeColor="text1"/>
          <w:sz w:val="22"/>
          <w:szCs w:val="22"/>
        </w:rPr>
        <w:t xml:space="preserve"> Cadre</w:t>
      </w:r>
      <w:r w:rsidRPr="00D124D9">
        <w:rPr>
          <w:rFonts w:ascii="Andes" w:hAnsi="Andes" w:cs="Arial"/>
          <w:color w:val="000000" w:themeColor="text1"/>
          <w:sz w:val="22"/>
          <w:szCs w:val="22"/>
        </w:rPr>
        <w:t xml:space="preserve"> (si l’on excepte les entreprises qui sont exclues de l’accord, aucune entreprise n’est ajoutée ni remplacée) ; ou </w:t>
      </w:r>
    </w:p>
    <w:p w14:paraId="457EA219" w14:textId="77777777" w:rsidR="00E76B4B" w:rsidRPr="00D124D9" w:rsidRDefault="00E76B4B" w:rsidP="00E76B4B">
      <w:pPr>
        <w:pStyle w:val="Paragraphedeliste"/>
        <w:numPr>
          <w:ilvl w:val="0"/>
          <w:numId w:val="201"/>
        </w:numPr>
        <w:shd w:val="clear" w:color="auto" w:fill="FFFFFF" w:themeFill="background1"/>
        <w:spacing w:before="0" w:line="240" w:lineRule="auto"/>
        <w:ind w:left="2340" w:hanging="270"/>
        <w:contextualSpacing w:val="0"/>
        <w:rPr>
          <w:rFonts w:ascii="Andes" w:eastAsiaTheme="minorHAnsi" w:hAnsi="Andes" w:cs="Arial"/>
          <w:color w:val="000000" w:themeColor="text1"/>
          <w:sz w:val="22"/>
          <w:szCs w:val="22"/>
        </w:rPr>
      </w:pPr>
      <w:r w:rsidRPr="00D124D9">
        <w:rPr>
          <w:rFonts w:ascii="Andes" w:hAnsi="Andes" w:cs="Arial"/>
          <w:color w:val="000000" w:themeColor="text1"/>
          <w:sz w:val="22"/>
          <w:szCs w:val="22"/>
        </w:rPr>
        <w:t xml:space="preserve">ouvert et </w:t>
      </w:r>
      <w:r>
        <w:rPr>
          <w:rFonts w:ascii="Andes" w:hAnsi="Andes" w:cs="Arial"/>
          <w:color w:val="000000" w:themeColor="text1"/>
          <w:sz w:val="22"/>
          <w:szCs w:val="22"/>
        </w:rPr>
        <w:t xml:space="preserve">précise </w:t>
      </w:r>
      <w:r w:rsidRPr="00D124D9">
        <w:rPr>
          <w:rFonts w:ascii="Andes" w:hAnsi="Andes" w:cs="Arial"/>
          <w:color w:val="000000" w:themeColor="text1"/>
          <w:sz w:val="22"/>
          <w:szCs w:val="22"/>
        </w:rPr>
        <w:t xml:space="preserve">les grandes lignes de </w:t>
      </w:r>
      <w:r>
        <w:rPr>
          <w:rFonts w:ascii="Andes" w:hAnsi="Andes" w:cs="Arial"/>
          <w:color w:val="000000" w:themeColor="text1"/>
          <w:sz w:val="22"/>
          <w:szCs w:val="22"/>
        </w:rPr>
        <w:t>l</w:t>
      </w:r>
      <w:r w:rsidRPr="00D124D9">
        <w:rPr>
          <w:rFonts w:ascii="Andes" w:hAnsi="Andes" w:cs="Arial"/>
          <w:color w:val="000000" w:themeColor="text1"/>
          <w:sz w:val="22"/>
          <w:szCs w:val="22"/>
        </w:rPr>
        <w:t>a procédure de sélection</w:t>
      </w:r>
      <w:r w:rsidRPr="00D124D9">
        <w:rPr>
          <w:rFonts w:ascii="Calibri" w:hAnsi="Calibri" w:cs="Arial"/>
          <w:color w:val="000000" w:themeColor="text1"/>
          <w:sz w:val="22"/>
          <w:szCs w:val="22"/>
        </w:rPr>
        <w:t> </w:t>
      </w:r>
      <w:r w:rsidRPr="00D124D9">
        <w:rPr>
          <w:rFonts w:ascii="Andes" w:hAnsi="Andes" w:cs="Arial"/>
          <w:color w:val="000000" w:themeColor="text1"/>
          <w:sz w:val="22"/>
          <w:szCs w:val="22"/>
        </w:rPr>
        <w:t>;</w:t>
      </w:r>
    </w:p>
    <w:p w14:paraId="261D60A4" w14:textId="77777777" w:rsidR="00E76B4B" w:rsidRPr="00D124D9" w:rsidRDefault="00E76B4B" w:rsidP="00E76B4B">
      <w:pPr>
        <w:numPr>
          <w:ilvl w:val="0"/>
          <w:numId w:val="112"/>
        </w:numPr>
        <w:shd w:val="clear" w:color="auto" w:fill="FFFFFF" w:themeFill="background1"/>
        <w:spacing w:before="0" w:line="240" w:lineRule="auto"/>
        <w:ind w:left="1980" w:hanging="270"/>
        <w:contextualSpacing w:val="0"/>
        <w:rPr>
          <w:rFonts w:ascii="Andes" w:eastAsiaTheme="minorHAnsi" w:hAnsi="Andes" w:cs="Arial"/>
          <w:color w:val="000000"/>
          <w:sz w:val="22"/>
          <w:szCs w:val="22"/>
        </w:rPr>
      </w:pPr>
      <w:r w:rsidRPr="00D124D9">
        <w:rPr>
          <w:rFonts w:ascii="Andes" w:eastAsiaTheme="minorHAnsi" w:hAnsi="Andes" w:cs="Arial"/>
          <w:color w:val="000000" w:themeColor="text1"/>
          <w:sz w:val="22"/>
          <w:szCs w:val="22"/>
        </w:rPr>
        <w:t>l’attribution d’un marché à commandes n’est pas garantie et aucun engagement n’est pris relativement au volume éventuel des Fournitures</w:t>
      </w:r>
      <w:r>
        <w:rPr>
          <w:rFonts w:ascii="Andes" w:eastAsiaTheme="minorHAnsi" w:hAnsi="Andes" w:cs="Arial"/>
          <w:color w:val="000000" w:themeColor="text1"/>
          <w:sz w:val="22"/>
          <w:szCs w:val="22"/>
        </w:rPr>
        <w:t>, Travaux, Services Autres que d</w:t>
      </w:r>
      <w:r w:rsidRPr="00D124D9">
        <w:rPr>
          <w:rFonts w:ascii="Andes" w:eastAsiaTheme="minorHAnsi" w:hAnsi="Andes" w:cs="Arial"/>
          <w:color w:val="000000" w:themeColor="text1"/>
          <w:sz w:val="22"/>
          <w:szCs w:val="22"/>
        </w:rPr>
        <w:t xml:space="preserve">es Services de Consultants ou </w:t>
      </w:r>
      <w:r>
        <w:rPr>
          <w:rFonts w:ascii="Andes" w:eastAsiaTheme="minorHAnsi" w:hAnsi="Andes" w:cs="Arial"/>
          <w:color w:val="000000" w:themeColor="text1"/>
          <w:sz w:val="22"/>
          <w:szCs w:val="22"/>
        </w:rPr>
        <w:t>S</w:t>
      </w:r>
      <w:r w:rsidRPr="00D124D9">
        <w:rPr>
          <w:rFonts w:ascii="Andes" w:eastAsiaTheme="minorHAnsi" w:hAnsi="Andes" w:cs="Arial"/>
          <w:color w:val="000000" w:themeColor="text1"/>
          <w:sz w:val="22"/>
          <w:szCs w:val="22"/>
        </w:rPr>
        <w:t>ervices de Consultants </w:t>
      </w:r>
      <w:r w:rsidRPr="00D124D9">
        <w:rPr>
          <w:rFonts w:ascii="Andes" w:eastAsiaTheme="minorHAnsi" w:hAnsi="Andes" w:cs="Arial"/>
          <w:color w:val="000000"/>
          <w:sz w:val="22"/>
          <w:szCs w:val="22"/>
        </w:rPr>
        <w:t>;</w:t>
      </w:r>
    </w:p>
    <w:p w14:paraId="501138F6" w14:textId="77777777" w:rsidR="00E76B4B" w:rsidRPr="00D124D9" w:rsidRDefault="00E76B4B" w:rsidP="00E76B4B">
      <w:pPr>
        <w:numPr>
          <w:ilvl w:val="0"/>
          <w:numId w:val="112"/>
        </w:numPr>
        <w:shd w:val="clear" w:color="auto" w:fill="FFFFFF" w:themeFill="background1"/>
        <w:spacing w:before="0" w:line="240" w:lineRule="auto"/>
        <w:ind w:left="1980" w:hanging="270"/>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l’AC ne comporte aucune clause d’exclusivité et l’Emprunteur se réserve le droit d’acquérir des Fournitures</w:t>
      </w:r>
      <w:r>
        <w:rPr>
          <w:rFonts w:ascii="Andes" w:eastAsiaTheme="minorHAnsi" w:hAnsi="Andes" w:cs="Arial"/>
          <w:color w:val="000000"/>
          <w:sz w:val="22"/>
          <w:szCs w:val="22"/>
        </w:rPr>
        <w:t>, Travaux, Services autres que d</w:t>
      </w:r>
      <w:r w:rsidRPr="00D124D9">
        <w:rPr>
          <w:rFonts w:ascii="Andes" w:eastAsiaTheme="minorHAnsi" w:hAnsi="Andes" w:cs="Arial"/>
          <w:color w:val="000000"/>
          <w:sz w:val="22"/>
          <w:szCs w:val="22"/>
        </w:rPr>
        <w:t xml:space="preserve">es Services de Consultants ou Services de Consultants de même nature ou similaires </w:t>
      </w:r>
      <w:r>
        <w:rPr>
          <w:rFonts w:ascii="Andes" w:eastAsiaTheme="minorHAnsi" w:hAnsi="Andes" w:cs="Arial"/>
          <w:color w:val="000000"/>
          <w:sz w:val="22"/>
          <w:szCs w:val="22"/>
        </w:rPr>
        <w:t>en faisant appel à</w:t>
      </w:r>
      <w:r w:rsidRPr="00D124D9">
        <w:rPr>
          <w:rFonts w:ascii="Andes" w:eastAsiaTheme="minorHAnsi" w:hAnsi="Andes" w:cs="Arial"/>
          <w:color w:val="000000"/>
          <w:sz w:val="22"/>
          <w:szCs w:val="22"/>
        </w:rPr>
        <w:t xml:space="preserve"> des entreprises ne faisant pas partie de l’AC</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3FC316D9" w14:textId="77777777" w:rsidR="00E76B4B" w:rsidRPr="00D124D9" w:rsidRDefault="00E76B4B" w:rsidP="00E76B4B">
      <w:pPr>
        <w:numPr>
          <w:ilvl w:val="0"/>
          <w:numId w:val="112"/>
        </w:numPr>
        <w:shd w:val="clear" w:color="auto" w:fill="FFFFFF" w:themeFill="background1"/>
        <w:spacing w:before="0" w:line="240" w:lineRule="auto"/>
        <w:ind w:left="1980" w:hanging="270"/>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la description des circonstances dans lesquelles une entreprise peut être exclue de l’AC et la procédure applicable à cette fin ;</w:t>
      </w:r>
    </w:p>
    <w:p w14:paraId="3A5068BC" w14:textId="77777777" w:rsidR="00E76B4B" w:rsidRPr="00D124D9" w:rsidRDefault="00E76B4B" w:rsidP="00E76B4B">
      <w:pPr>
        <w:numPr>
          <w:ilvl w:val="0"/>
          <w:numId w:val="258"/>
        </w:numPr>
        <w:shd w:val="clear" w:color="auto" w:fill="FFFFFF" w:themeFill="background1"/>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la ou les méthodes de passation de marché secondaire que l’Emprunteur utilisera pour choisir une entreprise (procédure de passation de marchés à commandes) ;</w:t>
      </w:r>
    </w:p>
    <w:p w14:paraId="39CECF56" w14:textId="77777777" w:rsidR="00E76B4B" w:rsidRPr="00D124D9" w:rsidRDefault="00E76B4B" w:rsidP="00E76B4B">
      <w:pPr>
        <w:numPr>
          <w:ilvl w:val="0"/>
          <w:numId w:val="258"/>
        </w:numPr>
        <w:shd w:val="clear" w:color="auto" w:fill="FFFFFF" w:themeFill="background1"/>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la méthode contractuelle que retiendra l’Emprunteur pour passer le marché à commandes (cahier des charges ou bon de commande par exemple) ; et</w:t>
      </w:r>
    </w:p>
    <w:p w14:paraId="4DF4E451" w14:textId="77777777" w:rsidR="00E76B4B" w:rsidRPr="00D124D9" w:rsidRDefault="00E76B4B" w:rsidP="00E76B4B">
      <w:pPr>
        <w:numPr>
          <w:ilvl w:val="0"/>
          <w:numId w:val="258"/>
        </w:numPr>
        <w:shd w:val="clear" w:color="auto" w:fill="FFFFFF" w:themeFill="background1"/>
        <w:spacing w:before="0" w:line="240" w:lineRule="auto"/>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rPr>
        <w:t>la durée de l’AC, notamment toute possibilité de prolongation. Les AC doivent être conclus pour une durée maximale de trois (03) ans, avec possibilité de l’étendre à deux (02) années de plus si le premier engagement est satisfaisant.</w:t>
      </w:r>
    </w:p>
    <w:p w14:paraId="46E7DB9B" w14:textId="15336C4C" w:rsidR="00E76B4B" w:rsidRPr="00D124D9" w:rsidRDefault="00E76B4B" w:rsidP="00E76B4B">
      <w:pPr>
        <w:numPr>
          <w:ilvl w:val="1"/>
          <w:numId w:val="117"/>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L’Emprunteur diffuse une Notification d’intention de conclure un AC, conformément aux dispositions des paragraphes 5.72 à 5.77 </w:t>
      </w:r>
      <w:r w:rsidRPr="00C649D0">
        <w:rPr>
          <w:rFonts w:ascii="Andes" w:hAnsi="Andes" w:cs="Arial"/>
          <w:sz w:val="22"/>
          <w:szCs w:val="22"/>
        </w:rPr>
        <w:t xml:space="preserve">(Notification d’Intention d’Attribution de </w:t>
      </w:r>
      <w:r w:rsidRPr="00C649D0">
        <w:rPr>
          <w:rFonts w:ascii="Andes" w:hAnsi="Andes" w:cs="Arial"/>
          <w:sz w:val="22"/>
          <w:szCs w:val="22"/>
        </w:rPr>
        <w:lastRenderedPageBreak/>
        <w:t xml:space="preserve">Marché/Contrat), et un délai </w:t>
      </w:r>
      <w:r w:rsidR="00893975">
        <w:rPr>
          <w:rFonts w:ascii="Andes" w:hAnsi="Andes" w:cs="Arial"/>
          <w:sz w:val="22"/>
          <w:szCs w:val="22"/>
        </w:rPr>
        <w:t>d’attente</w:t>
      </w:r>
      <w:r w:rsidRPr="00C649D0">
        <w:rPr>
          <w:rFonts w:ascii="Andes" w:hAnsi="Andes" w:cs="Arial"/>
          <w:sz w:val="22"/>
          <w:szCs w:val="22"/>
        </w:rPr>
        <w:t xml:space="preserve"> est observé dès l’établissement de l’AC. Un avis de conclusion de l’AC est publié sitôt après son établissement, en application des paragraphes 5.93 à 5.95 (Avis d’Attribution de Marché</w:t>
      </w:r>
      <w:r w:rsidRPr="00C649D0">
        <w:rPr>
          <w:rFonts w:ascii="Andes" w:hAnsi="Andes" w:cs="Calibri"/>
          <w:sz w:val="22"/>
          <w:szCs w:val="22"/>
        </w:rPr>
        <w:t>/Contrat</w:t>
      </w:r>
      <w:r w:rsidRPr="00C649D0">
        <w:rPr>
          <w:rFonts w:ascii="Andes" w:hAnsi="Andes" w:cs="Arial"/>
          <w:sz w:val="22"/>
          <w:szCs w:val="22"/>
        </w:rPr>
        <w:t>).</w:t>
      </w:r>
      <w:r w:rsidRPr="00D124D9">
        <w:rPr>
          <w:rFonts w:ascii="Andes" w:hAnsi="Andes" w:cs="Arial"/>
          <w:sz w:val="22"/>
          <w:szCs w:val="22"/>
        </w:rPr>
        <w:t xml:space="preserve">  Il indique les noms de toutes les entreprises parties à l’AC.  </w:t>
      </w:r>
    </w:p>
    <w:p w14:paraId="47E09D87" w14:textId="77777777" w:rsidR="00E76B4B" w:rsidRPr="00D124D9" w:rsidRDefault="00E76B4B" w:rsidP="00E76B4B">
      <w:pPr>
        <w:pStyle w:val="Paragraphedeliste"/>
        <w:numPr>
          <w:ilvl w:val="0"/>
          <w:numId w:val="199"/>
        </w:numPr>
        <w:spacing w:before="240"/>
        <w:ind w:left="630" w:hanging="630"/>
        <w:contextualSpacing w:val="0"/>
        <w:rPr>
          <w:rFonts w:ascii="Andes" w:eastAsiaTheme="majorEastAsia" w:hAnsi="Andes"/>
          <w:b/>
          <w:color w:val="C45911"/>
          <w:sz w:val="32"/>
          <w:szCs w:val="32"/>
        </w:rPr>
      </w:pPr>
      <w:r w:rsidRPr="00D124D9">
        <w:rPr>
          <w:rFonts w:ascii="Andes" w:eastAsiaTheme="majorEastAsia" w:hAnsi="Andes"/>
          <w:b/>
          <w:color w:val="C45911"/>
          <w:sz w:val="32"/>
          <w:szCs w:val="32"/>
        </w:rPr>
        <w:t>Marchés à commandes</w:t>
      </w:r>
    </w:p>
    <w:p w14:paraId="0F08242E" w14:textId="77777777" w:rsidR="00E76B4B" w:rsidRPr="00D124D9" w:rsidRDefault="00E76B4B" w:rsidP="00E76B4B">
      <w:pPr>
        <w:numPr>
          <w:ilvl w:val="1"/>
          <w:numId w:val="277"/>
        </w:numPr>
        <w:spacing w:before="0" w:line="240" w:lineRule="auto"/>
        <w:ind w:left="630" w:hanging="630"/>
        <w:contextualSpacing w:val="0"/>
        <w:rPr>
          <w:rFonts w:ascii="Andes" w:hAnsi="Andes" w:cs="Arial"/>
          <w:sz w:val="22"/>
          <w:szCs w:val="22"/>
        </w:rPr>
      </w:pPr>
      <w:r w:rsidRPr="00D124D9">
        <w:rPr>
          <w:rFonts w:ascii="Andes" w:hAnsi="Andes" w:cs="Arial"/>
          <w:sz w:val="22"/>
          <w:szCs w:val="22"/>
        </w:rPr>
        <w:t>Pour chaque acquisition réalisée dans le cadre de l’AC, une entreprise est sélectionnée dans le groupe au moyen d’une procédure secondaire de passation de marché ou de l’une quelconque des procédures définies dans l’AC.</w:t>
      </w:r>
    </w:p>
    <w:p w14:paraId="4660ADE9" w14:textId="77777777" w:rsidR="00E76B4B" w:rsidRPr="00D124D9" w:rsidRDefault="00E76B4B" w:rsidP="00E76B4B">
      <w:pPr>
        <w:numPr>
          <w:ilvl w:val="1"/>
          <w:numId w:val="277"/>
        </w:numPr>
        <w:spacing w:before="0" w:line="240" w:lineRule="auto"/>
        <w:ind w:left="630" w:hanging="630"/>
        <w:contextualSpacing w:val="0"/>
        <w:rPr>
          <w:rFonts w:ascii="Andes" w:hAnsi="Andes" w:cs="Arial"/>
          <w:sz w:val="22"/>
          <w:szCs w:val="22"/>
        </w:rPr>
      </w:pPr>
      <w:r w:rsidRPr="00D124D9">
        <w:rPr>
          <w:rFonts w:ascii="Andes" w:hAnsi="Andes" w:cs="Arial"/>
          <w:sz w:val="22"/>
          <w:szCs w:val="22"/>
        </w:rPr>
        <w:t>L’une ou, éventuellement les deux procédures décrites ci-après peuvent être appliquées à la passation de marché secondaire</w:t>
      </w:r>
      <w:r w:rsidRPr="00D124D9">
        <w:rPr>
          <w:rFonts w:ascii="Calibri" w:hAnsi="Calibri" w:cs="Arial"/>
          <w:sz w:val="22"/>
          <w:szCs w:val="22"/>
        </w:rPr>
        <w:t> </w:t>
      </w:r>
      <w:r w:rsidRPr="00D124D9">
        <w:rPr>
          <w:rFonts w:ascii="Andes" w:hAnsi="Andes" w:cs="Arial"/>
          <w:sz w:val="22"/>
          <w:szCs w:val="22"/>
        </w:rPr>
        <w:t>:</w:t>
      </w:r>
    </w:p>
    <w:p w14:paraId="05FC9C24" w14:textId="77777777" w:rsidR="00E76B4B" w:rsidRPr="00D124D9" w:rsidRDefault="00E76B4B" w:rsidP="00E76B4B">
      <w:pPr>
        <w:numPr>
          <w:ilvl w:val="0"/>
          <w:numId w:val="100"/>
        </w:numPr>
        <w:tabs>
          <w:tab w:val="left" w:pos="1260"/>
        </w:tabs>
        <w:spacing w:before="0" w:line="240" w:lineRule="auto"/>
        <w:ind w:left="1252" w:hanging="446"/>
        <w:contextualSpacing w:val="0"/>
        <w:rPr>
          <w:rFonts w:ascii="Andes" w:eastAsiaTheme="minorHAnsi" w:hAnsi="Andes" w:cs="Arial"/>
          <w:color w:val="000000"/>
          <w:sz w:val="22"/>
          <w:szCs w:val="22"/>
        </w:rPr>
      </w:pPr>
      <w:r>
        <w:rPr>
          <w:rFonts w:ascii="Andes" w:eastAsiaTheme="minorHAnsi" w:hAnsi="Andes" w:cs="Arial"/>
          <w:b/>
          <w:color w:val="000000"/>
          <w:sz w:val="22"/>
          <w:szCs w:val="22"/>
        </w:rPr>
        <w:t>l</w:t>
      </w:r>
      <w:r w:rsidRPr="00D124D9">
        <w:rPr>
          <w:rFonts w:ascii="Andes" w:eastAsiaTheme="minorHAnsi" w:hAnsi="Andes" w:cs="Arial"/>
          <w:b/>
          <w:color w:val="000000"/>
          <w:sz w:val="22"/>
          <w:szCs w:val="22"/>
        </w:rPr>
        <w:t>a mise en concurrence</w:t>
      </w:r>
      <w:r>
        <w:rPr>
          <w:rFonts w:ascii="Andes" w:eastAsiaTheme="minorHAnsi" w:hAnsi="Andes" w:cs="Arial"/>
          <w:b/>
          <w:color w:val="000000"/>
          <w:sz w:val="22"/>
          <w:szCs w:val="22"/>
        </w:rPr>
        <w:t xml:space="preserve"> à petite échelle</w:t>
      </w:r>
      <w:r w:rsidRPr="00D124D9">
        <w:rPr>
          <w:rFonts w:ascii="Andes" w:eastAsiaTheme="minorHAnsi" w:hAnsi="Andes" w:cs="Arial"/>
          <w:color w:val="000000"/>
          <w:sz w:val="22"/>
          <w:szCs w:val="22"/>
        </w:rPr>
        <w:t xml:space="preserve"> sur la base des critères objectifs fixés dans l’AC pour les marches à commandes</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46FEB20C" w14:textId="70CE52B5" w:rsidR="00E76B4B" w:rsidRPr="00D124D9" w:rsidRDefault="00E76B4B" w:rsidP="00E76B4B">
      <w:pPr>
        <w:numPr>
          <w:ilvl w:val="0"/>
          <w:numId w:val="115"/>
        </w:numPr>
        <w:spacing w:before="0" w:line="240" w:lineRule="auto"/>
        <w:ind w:left="1620" w:hanging="180"/>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u w:val="single"/>
        </w:rPr>
        <w:t>Prix concurrentiels</w:t>
      </w:r>
      <w:r w:rsidRPr="00D124D9">
        <w:rPr>
          <w:rFonts w:ascii="Andes" w:eastAsiaTheme="minorHAnsi" w:hAnsi="Andes" w:cs="Arial"/>
          <w:color w:val="000000"/>
          <w:sz w:val="22"/>
          <w:szCs w:val="22"/>
        </w:rPr>
        <w:t xml:space="preserve"> (</w:t>
      </w:r>
      <w:r w:rsidR="00893975" w:rsidRPr="00D124D9">
        <w:rPr>
          <w:rFonts w:ascii="Andes" w:eastAsiaTheme="minorHAnsi" w:hAnsi="Andes" w:cs="Arial"/>
          <w:color w:val="000000"/>
          <w:sz w:val="22"/>
          <w:szCs w:val="22"/>
        </w:rPr>
        <w:t>D</w:t>
      </w:r>
      <w:r w:rsidR="00893975">
        <w:rPr>
          <w:rFonts w:ascii="Andes" w:eastAsiaTheme="minorHAnsi" w:hAnsi="Andes" w:cs="Arial"/>
          <w:color w:val="000000"/>
          <w:sz w:val="22"/>
          <w:szCs w:val="22"/>
        </w:rPr>
        <w:t>C</w:t>
      </w:r>
      <w:r w:rsidRPr="00D124D9">
        <w:rPr>
          <w:rFonts w:ascii="Andes" w:eastAsiaTheme="minorHAnsi" w:hAnsi="Andes" w:cs="Arial"/>
          <w:color w:val="000000"/>
          <w:sz w:val="22"/>
          <w:szCs w:val="22"/>
        </w:rPr>
        <w:t>- à tout ou partie des entreprises du groupe) sur la base de l’offre évaluée la moins</w:t>
      </w:r>
      <w:r>
        <w:rPr>
          <w:rFonts w:ascii="Andes" w:eastAsiaTheme="minorHAnsi" w:hAnsi="Andes" w:cs="Arial"/>
          <w:color w:val="000000"/>
          <w:sz w:val="22"/>
          <w:szCs w:val="22"/>
        </w:rPr>
        <w:t>-</w:t>
      </w:r>
      <w:proofErr w:type="spellStart"/>
      <w:r w:rsidRPr="00D124D9">
        <w:rPr>
          <w:rFonts w:ascii="Andes" w:eastAsiaTheme="minorHAnsi" w:hAnsi="Andes" w:cs="Arial"/>
          <w:color w:val="000000"/>
          <w:sz w:val="22"/>
          <w:szCs w:val="22"/>
        </w:rPr>
        <w:t>disante</w:t>
      </w:r>
      <w:proofErr w:type="spellEnd"/>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34014D34" w14:textId="7F34F5C4" w:rsidR="00E76B4B" w:rsidRPr="00D124D9" w:rsidRDefault="00E76B4B" w:rsidP="00E76B4B">
      <w:pPr>
        <w:numPr>
          <w:ilvl w:val="0"/>
          <w:numId w:val="115"/>
        </w:numPr>
        <w:spacing w:before="0" w:line="240" w:lineRule="auto"/>
        <w:ind w:left="1620" w:hanging="180"/>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u w:val="single"/>
        </w:rPr>
        <w:t>Offres ou Propositions concurrentielles</w:t>
      </w:r>
      <w:r w:rsidRPr="00D124D9">
        <w:rPr>
          <w:rFonts w:ascii="Andes" w:eastAsiaTheme="minorHAnsi" w:hAnsi="Andes" w:cs="Arial"/>
          <w:color w:val="000000"/>
          <w:sz w:val="22"/>
          <w:szCs w:val="22"/>
        </w:rPr>
        <w:t xml:space="preserve"> (AO ou AP à tout ou partie des entreprises du groupe), sur la base de l’expertise, des solutions proposées et de l’adéquation </w:t>
      </w:r>
      <w:r>
        <w:rPr>
          <w:rFonts w:ascii="Andes" w:eastAsiaTheme="minorHAnsi" w:hAnsi="Andes" w:cs="Arial"/>
          <w:color w:val="000000"/>
          <w:sz w:val="22"/>
          <w:szCs w:val="22"/>
        </w:rPr>
        <w:t>entre</w:t>
      </w:r>
      <w:r w:rsidRPr="00D124D9">
        <w:rPr>
          <w:rFonts w:ascii="Andes" w:eastAsiaTheme="minorHAnsi" w:hAnsi="Andes" w:cs="Arial"/>
          <w:color w:val="000000"/>
          <w:sz w:val="22"/>
          <w:szCs w:val="22"/>
        </w:rPr>
        <w:t xml:space="preserve"> la qualité </w:t>
      </w:r>
      <w:r>
        <w:rPr>
          <w:rFonts w:ascii="Andes" w:eastAsiaTheme="minorHAnsi" w:hAnsi="Andes" w:cs="Arial"/>
          <w:color w:val="000000"/>
          <w:sz w:val="22"/>
          <w:szCs w:val="22"/>
        </w:rPr>
        <w:t>et le</w:t>
      </w:r>
      <w:r w:rsidRPr="00D124D9">
        <w:rPr>
          <w:rFonts w:ascii="Andes" w:eastAsiaTheme="minorHAnsi" w:hAnsi="Andes" w:cs="Arial"/>
          <w:color w:val="000000"/>
          <w:sz w:val="22"/>
          <w:szCs w:val="22"/>
        </w:rPr>
        <w:t xml:space="preserve"> prix</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 et/ou</w:t>
      </w:r>
    </w:p>
    <w:p w14:paraId="30FB8B60" w14:textId="77777777" w:rsidR="00E76B4B" w:rsidRPr="00D124D9" w:rsidRDefault="00E76B4B" w:rsidP="00E76B4B">
      <w:pPr>
        <w:numPr>
          <w:ilvl w:val="0"/>
          <w:numId w:val="100"/>
        </w:numPr>
        <w:tabs>
          <w:tab w:val="left" w:pos="1260"/>
        </w:tabs>
        <w:spacing w:before="0" w:line="240" w:lineRule="auto"/>
        <w:ind w:left="1252" w:hanging="446"/>
        <w:contextualSpacing w:val="0"/>
        <w:rPr>
          <w:rFonts w:ascii="Andes" w:eastAsiaTheme="minorHAnsi" w:hAnsi="Andes" w:cs="Arial"/>
          <w:color w:val="000000"/>
          <w:sz w:val="22"/>
          <w:szCs w:val="22"/>
        </w:rPr>
      </w:pPr>
      <w:r>
        <w:rPr>
          <w:rFonts w:ascii="Andes" w:eastAsiaTheme="minorHAnsi" w:hAnsi="Andes" w:cs="Arial"/>
          <w:b/>
          <w:color w:val="000000"/>
          <w:sz w:val="22"/>
          <w:szCs w:val="22"/>
        </w:rPr>
        <w:t>l</w:t>
      </w:r>
      <w:r w:rsidRPr="00D124D9">
        <w:rPr>
          <w:rFonts w:ascii="Andes" w:eastAsiaTheme="minorHAnsi" w:hAnsi="Andes" w:cs="Arial"/>
          <w:b/>
          <w:color w:val="000000"/>
          <w:sz w:val="22"/>
          <w:szCs w:val="22"/>
        </w:rPr>
        <w:t>a sélection directe,</w:t>
      </w:r>
      <w:r w:rsidRPr="00D124D9">
        <w:rPr>
          <w:rFonts w:ascii="Andes" w:eastAsiaTheme="minorHAnsi" w:hAnsi="Andes" w:cs="Arial"/>
          <w:color w:val="000000"/>
          <w:sz w:val="22"/>
          <w:szCs w:val="22"/>
        </w:rPr>
        <w:t xml:space="preserve"> basée sur des critères objectifs fixés dans l’AC pour les marchés à commandes, comme</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3D1EA04A" w14:textId="77777777" w:rsidR="00E76B4B" w:rsidRPr="00D124D9" w:rsidRDefault="00E76B4B" w:rsidP="00E76B4B">
      <w:pPr>
        <w:numPr>
          <w:ilvl w:val="0"/>
          <w:numId w:val="116"/>
        </w:numPr>
        <w:spacing w:before="0" w:line="240" w:lineRule="auto"/>
        <w:ind w:left="1620" w:hanging="180"/>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u w:val="single"/>
        </w:rPr>
        <w:t>L’emplacement :</w:t>
      </w:r>
      <w:r w:rsidRPr="00D124D9">
        <w:rPr>
          <w:rFonts w:ascii="Andes" w:eastAsiaTheme="minorHAnsi" w:hAnsi="Andes" w:cs="Arial"/>
          <w:color w:val="000000"/>
          <w:sz w:val="22"/>
          <w:szCs w:val="22"/>
        </w:rPr>
        <w:t xml:space="preserve"> les marchés à commandes sont attribués à l’entreprise la mieux à même d’accomplir les prestations en raison de son emplacement et du lieu de livraison des Fournitures</w:t>
      </w:r>
      <w:r>
        <w:rPr>
          <w:rFonts w:ascii="Andes" w:eastAsiaTheme="minorHAnsi" w:hAnsi="Andes" w:cs="Arial"/>
          <w:color w:val="000000"/>
          <w:sz w:val="22"/>
          <w:szCs w:val="22"/>
        </w:rPr>
        <w:t>, Travaux, Services Autres que d</w:t>
      </w:r>
      <w:r w:rsidRPr="00D124D9">
        <w:rPr>
          <w:rFonts w:ascii="Andes" w:eastAsiaTheme="minorHAnsi" w:hAnsi="Andes" w:cs="Arial"/>
          <w:color w:val="000000"/>
          <w:sz w:val="22"/>
          <w:szCs w:val="22"/>
        </w:rPr>
        <w:t>es Services de Consultants ou Services de Consultants.</w:t>
      </w:r>
    </w:p>
    <w:p w14:paraId="5AF81C7C" w14:textId="77777777" w:rsidR="00E76B4B" w:rsidRPr="00D124D9" w:rsidRDefault="00E76B4B" w:rsidP="00E76B4B">
      <w:pPr>
        <w:numPr>
          <w:ilvl w:val="0"/>
          <w:numId w:val="116"/>
        </w:numPr>
        <w:spacing w:before="0" w:line="240" w:lineRule="auto"/>
        <w:ind w:left="1620" w:hanging="180"/>
        <w:contextualSpacing w:val="0"/>
        <w:rPr>
          <w:rFonts w:ascii="Andes" w:eastAsiaTheme="minorHAnsi" w:hAnsi="Andes" w:cs="Arial"/>
          <w:color w:val="000000"/>
          <w:sz w:val="22"/>
          <w:szCs w:val="22"/>
        </w:rPr>
      </w:pPr>
      <w:r w:rsidRPr="00D124D9">
        <w:rPr>
          <w:rFonts w:ascii="Andes" w:eastAsiaTheme="minorHAnsi" w:hAnsi="Andes" w:cs="Arial"/>
          <w:color w:val="000000"/>
          <w:sz w:val="22"/>
          <w:szCs w:val="22"/>
          <w:u w:val="single"/>
        </w:rPr>
        <w:t>Une division équilibrée entre approvisionnement/ampleur des prestations/mission</w:t>
      </w:r>
      <w:r w:rsidRPr="00D124D9">
        <w:rPr>
          <w:rFonts w:ascii="Calibri" w:eastAsiaTheme="minorHAnsi" w:hAnsi="Calibri" w:cs="Arial"/>
          <w:color w:val="000000"/>
          <w:sz w:val="22"/>
          <w:szCs w:val="22"/>
          <w:u w:val="single"/>
        </w:rPr>
        <w:t> :</w:t>
      </w:r>
      <w:r w:rsidRPr="00D124D9">
        <w:rPr>
          <w:rFonts w:ascii="Andes" w:eastAsiaTheme="minorHAnsi" w:hAnsi="Andes" w:cs="Arial"/>
          <w:color w:val="000000"/>
          <w:sz w:val="22"/>
          <w:szCs w:val="22"/>
          <w:u w:val="single"/>
        </w:rPr>
        <w:t xml:space="preserve"> </w:t>
      </w:r>
      <w:r w:rsidRPr="00D124D9">
        <w:rPr>
          <w:rFonts w:ascii="Andes" w:eastAsiaTheme="minorHAnsi" w:hAnsi="Andes" w:cs="Arial"/>
          <w:color w:val="000000"/>
          <w:sz w:val="22"/>
          <w:szCs w:val="22"/>
        </w:rPr>
        <w:t xml:space="preserve">une valeur </w:t>
      </w:r>
      <w:r>
        <w:rPr>
          <w:rFonts w:ascii="Andes" w:eastAsiaTheme="minorHAnsi" w:hAnsi="Andes" w:cs="Arial"/>
          <w:color w:val="000000"/>
          <w:sz w:val="22"/>
          <w:szCs w:val="22"/>
        </w:rPr>
        <w:t>maximale est fixée et les marché</w:t>
      </w:r>
      <w:r w:rsidRPr="00D124D9">
        <w:rPr>
          <w:rFonts w:ascii="Andes" w:eastAsiaTheme="minorHAnsi" w:hAnsi="Andes" w:cs="Arial"/>
          <w:color w:val="000000"/>
          <w:sz w:val="22"/>
          <w:szCs w:val="22"/>
        </w:rPr>
        <w:t>s à commande</w:t>
      </w:r>
      <w:r>
        <w:rPr>
          <w:rFonts w:ascii="Andes" w:eastAsiaTheme="minorHAnsi" w:hAnsi="Andes" w:cs="Arial"/>
          <w:color w:val="000000"/>
          <w:sz w:val="22"/>
          <w:szCs w:val="22"/>
        </w:rPr>
        <w:t>s</w:t>
      </w:r>
      <w:r w:rsidRPr="00D124D9">
        <w:rPr>
          <w:rFonts w:ascii="Andes" w:eastAsiaTheme="minorHAnsi" w:hAnsi="Andes" w:cs="Arial"/>
          <w:color w:val="000000"/>
          <w:sz w:val="22"/>
          <w:szCs w:val="22"/>
        </w:rPr>
        <w:t xml:space="preserve"> sont attribués par ro</w:t>
      </w:r>
      <w:r>
        <w:rPr>
          <w:rFonts w:ascii="Andes" w:eastAsiaTheme="minorHAnsi" w:hAnsi="Andes" w:cs="Arial"/>
          <w:color w:val="000000"/>
          <w:sz w:val="22"/>
          <w:szCs w:val="22"/>
        </w:rPr>
        <w:t>ulement</w:t>
      </w:r>
      <w:r w:rsidRPr="00D124D9">
        <w:rPr>
          <w:rFonts w:ascii="Andes" w:eastAsiaTheme="minorHAnsi" w:hAnsi="Andes" w:cs="Arial"/>
          <w:color w:val="000000"/>
          <w:sz w:val="22"/>
          <w:szCs w:val="22"/>
        </w:rPr>
        <w:t xml:space="preserve"> chaque fois qu’une entreprise atteint la valeur maximale</w:t>
      </w:r>
      <w:r w:rsidRPr="00D124D9">
        <w:rPr>
          <w:rFonts w:ascii="Calibri" w:eastAsiaTheme="minorHAnsi" w:hAnsi="Calibri" w:cs="Arial"/>
          <w:color w:val="000000"/>
          <w:sz w:val="22"/>
          <w:szCs w:val="22"/>
        </w:rPr>
        <w:t> </w:t>
      </w:r>
      <w:r w:rsidRPr="00D124D9">
        <w:rPr>
          <w:rFonts w:ascii="Andes" w:eastAsiaTheme="minorHAnsi" w:hAnsi="Andes" w:cs="Arial"/>
          <w:color w:val="000000"/>
          <w:sz w:val="22"/>
          <w:szCs w:val="22"/>
        </w:rPr>
        <w:t>;</w:t>
      </w:r>
    </w:p>
    <w:p w14:paraId="65194A87" w14:textId="349C612B" w:rsidR="008A4406" w:rsidRDefault="00E76B4B" w:rsidP="00E76B4B">
      <w:pPr>
        <w:numPr>
          <w:ilvl w:val="1"/>
          <w:numId w:val="277"/>
        </w:numPr>
        <w:spacing w:before="0" w:line="240" w:lineRule="auto"/>
        <w:ind w:left="630" w:hanging="630"/>
        <w:contextualSpacing w:val="0"/>
        <w:rPr>
          <w:rFonts w:ascii="Andes" w:hAnsi="Andes" w:cs="Arial"/>
          <w:sz w:val="22"/>
          <w:szCs w:val="22"/>
        </w:rPr>
      </w:pPr>
      <w:r w:rsidRPr="00D124D9">
        <w:rPr>
          <w:rFonts w:ascii="Andes" w:hAnsi="Andes" w:cs="Arial"/>
          <w:sz w:val="22"/>
          <w:szCs w:val="22"/>
        </w:rPr>
        <w:t xml:space="preserve">Dans une procédure de passation de marché à commandes, l’ampleur des prestations à fournir ou le champ des missions à accomplir </w:t>
      </w:r>
      <w:r>
        <w:rPr>
          <w:rFonts w:ascii="Andes" w:hAnsi="Andes" w:cs="Arial"/>
          <w:sz w:val="22"/>
          <w:szCs w:val="22"/>
        </w:rPr>
        <w:t>doivent être</w:t>
      </w:r>
      <w:r w:rsidRPr="00D124D9">
        <w:rPr>
          <w:rFonts w:ascii="Andes" w:hAnsi="Andes" w:cs="Arial"/>
          <w:sz w:val="22"/>
          <w:szCs w:val="22"/>
        </w:rPr>
        <w:t xml:space="preserve"> décrits aux entreprises. Le cahier des charges ou le bon de commande émis dans le cadre de la procédure précisent les objectifs, les missions, les résultats attendus, les calendriers et les prix ou mécanismes d</w:t>
      </w:r>
      <w:r>
        <w:rPr>
          <w:rFonts w:ascii="Andes" w:hAnsi="Andes" w:cs="Arial"/>
          <w:sz w:val="22"/>
          <w:szCs w:val="22"/>
        </w:rPr>
        <w:t>e tarification</w:t>
      </w:r>
      <w:r w:rsidRPr="00D124D9">
        <w:rPr>
          <w:rFonts w:ascii="Andes" w:hAnsi="Andes" w:cs="Arial"/>
          <w:sz w:val="22"/>
          <w:szCs w:val="22"/>
        </w:rPr>
        <w:t xml:space="preserve">. Le prix de chaque marché à commandes sera fondé sur les </w:t>
      </w:r>
      <w:r>
        <w:rPr>
          <w:rFonts w:ascii="Andes" w:hAnsi="Andes" w:cs="Arial"/>
          <w:sz w:val="22"/>
          <w:szCs w:val="22"/>
        </w:rPr>
        <w:t>commissions, le barème des prix ou le mécanisme de tarification</w:t>
      </w:r>
      <w:r w:rsidR="003B5ADC">
        <w:rPr>
          <w:rFonts w:ascii="Andes" w:hAnsi="Andes" w:cs="Arial"/>
          <w:sz w:val="22"/>
          <w:szCs w:val="22"/>
        </w:rPr>
        <w:t xml:space="preserve"> définis dans l’A</w:t>
      </w:r>
      <w:r w:rsidR="002876E1">
        <w:rPr>
          <w:rFonts w:ascii="Andes" w:hAnsi="Andes" w:cs="Arial"/>
          <w:sz w:val="22"/>
          <w:szCs w:val="22"/>
        </w:rPr>
        <w:t>C.</w:t>
      </w:r>
    </w:p>
    <w:p w14:paraId="7B69A692" w14:textId="5EE4B77F" w:rsidR="008A4406" w:rsidRDefault="008A4406">
      <w:pPr>
        <w:spacing w:before="0" w:after="200"/>
        <w:contextualSpacing w:val="0"/>
        <w:jc w:val="left"/>
        <w:rPr>
          <w:rFonts w:ascii="Andes" w:hAnsi="Andes" w:cs="Arial"/>
          <w:sz w:val="22"/>
          <w:szCs w:val="22"/>
        </w:rPr>
      </w:pPr>
    </w:p>
    <w:p w14:paraId="058EA092" w14:textId="77777777" w:rsidR="008A4406" w:rsidRPr="00D124D9" w:rsidRDefault="008A4406" w:rsidP="00E76B4B">
      <w:pPr>
        <w:numPr>
          <w:ilvl w:val="1"/>
          <w:numId w:val="277"/>
        </w:numPr>
        <w:spacing w:before="0" w:line="240" w:lineRule="auto"/>
        <w:ind w:left="630" w:hanging="630"/>
        <w:contextualSpacing w:val="0"/>
        <w:rPr>
          <w:rFonts w:ascii="Andes" w:hAnsi="Andes" w:cs="Arial"/>
          <w:sz w:val="22"/>
          <w:szCs w:val="22"/>
        </w:rPr>
        <w:sectPr w:rsidR="008A4406" w:rsidRPr="00D124D9" w:rsidSect="000B5EC0">
          <w:headerReference w:type="default" r:id="rId54"/>
          <w:footnotePr>
            <w:numRestart w:val="eachSect"/>
          </w:footnotePr>
          <w:pgSz w:w="12240" w:h="15840"/>
          <w:pgMar w:top="1872" w:right="1440" w:bottom="1440" w:left="1411" w:header="720" w:footer="720" w:gutter="0"/>
          <w:cols w:space="720"/>
          <w:docGrid w:linePitch="360"/>
        </w:sectPr>
      </w:pPr>
    </w:p>
    <w:p w14:paraId="5E77D35A" w14:textId="673F61B7" w:rsidR="00995C63" w:rsidRDefault="00995C63">
      <w:pPr>
        <w:spacing w:before="0" w:after="200"/>
        <w:contextualSpacing w:val="0"/>
        <w:jc w:val="left"/>
        <w:rPr>
          <w:rFonts w:ascii="Andes" w:hAnsi="Andes" w:cs="Arial"/>
          <w:sz w:val="22"/>
          <w:szCs w:val="22"/>
        </w:rPr>
      </w:pPr>
    </w:p>
    <w:p w14:paraId="2853B0BB" w14:textId="77777777" w:rsidR="008A4406" w:rsidRDefault="008A4406">
      <w:pPr>
        <w:spacing w:before="0" w:after="200"/>
        <w:contextualSpacing w:val="0"/>
        <w:jc w:val="left"/>
        <w:rPr>
          <w:rFonts w:ascii="Andes" w:hAnsi="Andes" w:cs="Arial"/>
          <w:sz w:val="22"/>
          <w:szCs w:val="22"/>
        </w:rPr>
      </w:pPr>
    </w:p>
    <w:p w14:paraId="1719D6F7" w14:textId="752D1B28" w:rsidR="00E76B4B" w:rsidRPr="00D124D9" w:rsidRDefault="00E76B4B" w:rsidP="00E76B4B">
      <w:pPr>
        <w:spacing w:before="0" w:line="240" w:lineRule="auto"/>
        <w:contextualSpacing w:val="0"/>
        <w:jc w:val="center"/>
        <w:rPr>
          <w:rFonts w:ascii="Andes" w:hAnsi="Andes" w:cs="Arial"/>
          <w:sz w:val="22"/>
          <w:szCs w:val="22"/>
        </w:rPr>
      </w:pPr>
      <w:r w:rsidRPr="00D124D9">
        <w:rPr>
          <w:rFonts w:ascii="Andes" w:hAnsi="Andes" w:cs="Arial"/>
          <w:noProof/>
          <w:sz w:val="22"/>
          <w:szCs w:val="22"/>
          <w:lang w:val="en-US"/>
        </w:rPr>
        <w:drawing>
          <wp:inline distT="0" distB="0" distL="0" distR="0" wp14:anchorId="68D5F065" wp14:editId="727432F9">
            <wp:extent cx="6035040" cy="3736896"/>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48653" cy="3745325"/>
                    </a:xfrm>
                    <a:prstGeom prst="rect">
                      <a:avLst/>
                    </a:prstGeom>
                    <a:noFill/>
                  </pic:spPr>
                </pic:pic>
              </a:graphicData>
            </a:graphic>
          </wp:inline>
        </w:drawing>
      </w:r>
    </w:p>
    <w:p w14:paraId="55588787" w14:textId="77777777" w:rsidR="00E76B4B" w:rsidRPr="00D124D9" w:rsidRDefault="00E76B4B" w:rsidP="00E76B4B">
      <w:pPr>
        <w:spacing w:before="0" w:line="240" w:lineRule="auto"/>
        <w:contextualSpacing w:val="0"/>
        <w:rPr>
          <w:rFonts w:ascii="Andes" w:hAnsi="Andes" w:cs="Arial"/>
          <w:sz w:val="22"/>
          <w:szCs w:val="22"/>
        </w:rPr>
      </w:pPr>
    </w:p>
    <w:p w14:paraId="40542B4F" w14:textId="77777777" w:rsidR="00E76B4B" w:rsidRPr="00D124D9" w:rsidRDefault="00E76B4B" w:rsidP="00E76B4B">
      <w:pPr>
        <w:spacing w:before="0" w:line="240" w:lineRule="auto"/>
        <w:contextualSpacing w:val="0"/>
        <w:rPr>
          <w:rFonts w:ascii="Andes" w:hAnsi="Andes" w:cs="Arial"/>
          <w:sz w:val="22"/>
          <w:szCs w:val="22"/>
        </w:rPr>
      </w:pPr>
    </w:p>
    <w:p w14:paraId="780E4F03" w14:textId="77777777" w:rsidR="00E76B4B" w:rsidRPr="00D124D9" w:rsidRDefault="00E76B4B" w:rsidP="00E76B4B">
      <w:pPr>
        <w:spacing w:before="0" w:line="240" w:lineRule="auto"/>
        <w:contextualSpacing w:val="0"/>
        <w:rPr>
          <w:rFonts w:ascii="Andes" w:hAnsi="Andes" w:cs="Arial"/>
          <w:sz w:val="22"/>
          <w:szCs w:val="22"/>
        </w:rPr>
      </w:pPr>
    </w:p>
    <w:p w14:paraId="00445FB3" w14:textId="0594959B" w:rsidR="00AC408E" w:rsidRDefault="00E76B4B" w:rsidP="00E76B4B">
      <w:pPr>
        <w:spacing w:before="0" w:line="240" w:lineRule="auto"/>
        <w:ind w:left="720" w:right="749"/>
        <w:contextualSpacing w:val="0"/>
        <w:jc w:val="center"/>
        <w:rPr>
          <w:rFonts w:ascii="Andes" w:hAnsi="Andes" w:cs="Arial"/>
          <w:b/>
          <w:bCs/>
          <w:sz w:val="32"/>
          <w:szCs w:val="32"/>
        </w:rPr>
      </w:pPr>
      <w:r w:rsidRPr="004967F3">
        <w:rPr>
          <w:rFonts w:ascii="Andes" w:hAnsi="Andes" w:cs="Arial"/>
          <w:b/>
          <w:bCs/>
          <w:sz w:val="32"/>
          <w:szCs w:val="32"/>
        </w:rPr>
        <w:t xml:space="preserve">Pour plus </w:t>
      </w:r>
      <w:r w:rsidR="00761ECE">
        <w:rPr>
          <w:rFonts w:ascii="Andes" w:hAnsi="Andes" w:cs="Arial"/>
          <w:b/>
          <w:bCs/>
          <w:sz w:val="32"/>
          <w:szCs w:val="32"/>
        </w:rPr>
        <w:t xml:space="preserve">d’information </w:t>
      </w:r>
      <w:r w:rsidRPr="004967F3">
        <w:rPr>
          <w:rFonts w:ascii="Andes" w:hAnsi="Andes" w:cs="Arial"/>
          <w:b/>
          <w:bCs/>
          <w:sz w:val="32"/>
          <w:szCs w:val="32"/>
        </w:rPr>
        <w:t>sur les Dossiers Types de Passation des Marchés, le</w:t>
      </w:r>
      <w:r w:rsidR="00220210" w:rsidRPr="004967F3">
        <w:rPr>
          <w:rFonts w:ascii="Andes" w:hAnsi="Andes" w:cs="Arial"/>
          <w:b/>
          <w:bCs/>
          <w:sz w:val="32"/>
          <w:szCs w:val="32"/>
        </w:rPr>
        <w:t>s</w:t>
      </w:r>
      <w:r w:rsidRPr="004967F3">
        <w:rPr>
          <w:rFonts w:ascii="Andes" w:hAnsi="Andes" w:cs="Arial"/>
          <w:b/>
          <w:bCs/>
          <w:sz w:val="32"/>
          <w:szCs w:val="32"/>
        </w:rPr>
        <w:t xml:space="preserve"> </w:t>
      </w:r>
      <w:r w:rsidR="00220210" w:rsidRPr="004967F3">
        <w:rPr>
          <w:rFonts w:ascii="Andes" w:hAnsi="Andes" w:cs="Arial"/>
          <w:b/>
          <w:bCs/>
          <w:sz w:val="32"/>
          <w:szCs w:val="32"/>
        </w:rPr>
        <w:t>Conseils</w:t>
      </w:r>
      <w:r w:rsidRPr="004967F3">
        <w:rPr>
          <w:rFonts w:ascii="Andes" w:hAnsi="Andes" w:cs="Arial"/>
          <w:b/>
          <w:bCs/>
          <w:sz w:val="32"/>
          <w:szCs w:val="32"/>
        </w:rPr>
        <w:t xml:space="preserve">, </w:t>
      </w:r>
      <w:proofErr w:type="gramStart"/>
      <w:r w:rsidRPr="004967F3">
        <w:rPr>
          <w:rFonts w:ascii="Andes" w:hAnsi="Andes" w:cs="Arial"/>
          <w:b/>
          <w:bCs/>
          <w:sz w:val="32"/>
          <w:szCs w:val="32"/>
        </w:rPr>
        <w:t>le Briefing</w:t>
      </w:r>
      <w:proofErr w:type="gramEnd"/>
      <w:r w:rsidRPr="004967F3">
        <w:rPr>
          <w:rFonts w:ascii="Andes" w:hAnsi="Andes" w:cs="Arial"/>
          <w:b/>
          <w:bCs/>
          <w:sz w:val="32"/>
          <w:szCs w:val="32"/>
        </w:rPr>
        <w:t xml:space="preserve">, </w:t>
      </w:r>
      <w:r w:rsidR="00FF7142" w:rsidRPr="004967F3">
        <w:rPr>
          <w:rFonts w:ascii="Andes" w:hAnsi="Andes" w:cs="Arial"/>
          <w:b/>
          <w:bCs/>
          <w:sz w:val="32"/>
          <w:szCs w:val="32"/>
        </w:rPr>
        <w:t xml:space="preserve">les vidéos, </w:t>
      </w:r>
      <w:r w:rsidRPr="004967F3">
        <w:rPr>
          <w:rFonts w:ascii="Andes" w:hAnsi="Andes" w:cs="Arial"/>
          <w:b/>
          <w:bCs/>
          <w:sz w:val="32"/>
          <w:szCs w:val="32"/>
        </w:rPr>
        <w:t>les outils de formation et d’apprentissage en ligne, rendez-vous sur</w:t>
      </w:r>
      <w:r w:rsidR="004967F3">
        <w:rPr>
          <w:rFonts w:ascii="Andes" w:hAnsi="Andes" w:cs="Arial"/>
          <w:b/>
          <w:bCs/>
          <w:sz w:val="32"/>
          <w:szCs w:val="32"/>
        </w:rPr>
        <w:t xml:space="preserve"> </w:t>
      </w:r>
    </w:p>
    <w:p w14:paraId="140FC5C5" w14:textId="09C42BFB" w:rsidR="004967F3" w:rsidRDefault="00AC408E" w:rsidP="00E76B4B">
      <w:pPr>
        <w:spacing w:before="0" w:line="240" w:lineRule="auto"/>
        <w:ind w:left="720" w:right="749"/>
        <w:contextualSpacing w:val="0"/>
        <w:jc w:val="center"/>
        <w:rPr>
          <w:rFonts w:ascii="Andes" w:hAnsi="Andes" w:cs="Arial"/>
          <w:b/>
          <w:bCs/>
          <w:sz w:val="32"/>
          <w:szCs w:val="32"/>
        </w:rPr>
      </w:pPr>
      <w:hyperlink r:id="rId56">
        <w:r w:rsidRPr="002912FA">
          <w:rPr>
            <w:b/>
            <w:color w:val="0070C0"/>
            <w:sz w:val="36"/>
            <w:u w:val="single"/>
          </w:rPr>
          <w:t>www.worldbank.org/procurement</w:t>
        </w:r>
      </w:hyperlink>
    </w:p>
    <w:p w14:paraId="510A3C4F" w14:textId="77777777" w:rsidR="004967F3" w:rsidRPr="004967F3" w:rsidRDefault="004967F3" w:rsidP="00E76B4B">
      <w:pPr>
        <w:spacing w:before="0" w:line="240" w:lineRule="auto"/>
        <w:ind w:left="720" w:right="749"/>
        <w:contextualSpacing w:val="0"/>
        <w:jc w:val="center"/>
        <w:rPr>
          <w:rFonts w:ascii="Andes" w:hAnsi="Andes" w:cs="Arial"/>
          <w:b/>
          <w:bCs/>
          <w:sz w:val="32"/>
          <w:szCs w:val="32"/>
        </w:rPr>
      </w:pPr>
    </w:p>
    <w:p w14:paraId="2FABB1EF" w14:textId="77777777" w:rsidR="00E76B4B" w:rsidRPr="00E53F48" w:rsidRDefault="00E76B4B" w:rsidP="00E76B4B">
      <w:pPr>
        <w:spacing w:before="0" w:line="240" w:lineRule="auto"/>
        <w:contextualSpacing w:val="0"/>
        <w:jc w:val="center"/>
        <w:rPr>
          <w:rFonts w:ascii="Andes" w:hAnsi="Andes" w:cs="Arial"/>
          <w:sz w:val="22"/>
          <w:szCs w:val="22"/>
          <w:lang w:val="en-US"/>
        </w:rPr>
      </w:pPr>
      <w:r>
        <w:rPr>
          <w:rFonts w:ascii="Andes" w:eastAsiaTheme="minorEastAsia" w:hAnsi="Andes" w:cs="Arial"/>
          <w:noProof/>
          <w:sz w:val="18"/>
          <w:szCs w:val="18"/>
          <w:lang w:val="en-US"/>
        </w:rPr>
        <w:drawing>
          <wp:inline distT="0" distB="0" distL="0" distR="0" wp14:anchorId="6ED463F4" wp14:editId="650B7E40">
            <wp:extent cx="2538374" cy="657670"/>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bank.png"/>
                    <pic:cNvPicPr/>
                  </pic:nvPicPr>
                  <pic:blipFill>
                    <a:blip r:embed="rId12">
                      <a:extLst>
                        <a:ext uri="{28A0092B-C50C-407E-A947-70E740481C1C}">
                          <a14:useLocalDpi xmlns:a14="http://schemas.microsoft.com/office/drawing/2010/main" val="0"/>
                        </a:ext>
                      </a:extLst>
                    </a:blip>
                    <a:stretch>
                      <a:fillRect/>
                    </a:stretch>
                  </pic:blipFill>
                  <pic:spPr>
                    <a:xfrm>
                      <a:off x="0" y="0"/>
                      <a:ext cx="2555190" cy="662027"/>
                    </a:xfrm>
                    <a:prstGeom prst="rect">
                      <a:avLst/>
                    </a:prstGeom>
                  </pic:spPr>
                </pic:pic>
              </a:graphicData>
            </a:graphic>
          </wp:inline>
        </w:drawing>
      </w:r>
    </w:p>
    <w:sectPr w:rsidR="00E76B4B" w:rsidRPr="00E53F48" w:rsidSect="000B5EC0">
      <w:headerReference w:type="default" r:id="rId57"/>
      <w:footerReference w:type="default" r:id="rId58"/>
      <w:footnotePr>
        <w:numRestart w:val="eachSect"/>
      </w:footnotePr>
      <w:pgSz w:w="12240" w:h="15840"/>
      <w:pgMar w:top="1872" w:right="1440" w:bottom="1440" w:left="141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A27035" w14:textId="77777777" w:rsidR="00A6305C" w:rsidRDefault="00A6305C" w:rsidP="00D94D25">
      <w:r>
        <w:separator/>
      </w:r>
    </w:p>
  </w:endnote>
  <w:endnote w:type="continuationSeparator" w:id="0">
    <w:p w14:paraId="42553BB4" w14:textId="77777777" w:rsidR="00A6305C" w:rsidRDefault="00A6305C" w:rsidP="00D94D25">
      <w:r>
        <w:continuationSeparator/>
      </w:r>
    </w:p>
  </w:endnote>
  <w:endnote w:type="continuationNotice" w:id="1">
    <w:p w14:paraId="66E9B3A8" w14:textId="77777777" w:rsidR="00A6305C" w:rsidRDefault="00A6305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ndes">
    <w:altName w:val="Calibri"/>
    <w:panose1 w:val="00000000000000000000"/>
    <w:charset w:val="00"/>
    <w:family w:val="modern"/>
    <w:notTrueType/>
    <w:pitch w:val="variable"/>
    <w:sig w:usb0="A000002F" w:usb1="5000005B" w:usb2="00000000" w:usb3="00000000" w:csb0="00000093" w:csb1="00000000"/>
  </w:font>
  <w:font w:name="GulimChe">
    <w:charset w:val="81"/>
    <w:family w:val="modern"/>
    <w:pitch w:val="fixed"/>
    <w:sig w:usb0="B00002AF" w:usb1="69D77CFB" w:usb2="00000030" w:usb3="00000000" w:csb0="0008009F" w:csb1="00000000"/>
  </w:font>
  <w:font w:name="BatangChe">
    <w:charset w:val="81"/>
    <w:family w:val="modern"/>
    <w:pitch w:val="fixed"/>
    <w:sig w:usb0="B00002AF" w:usb1="69D77CFB" w:usb2="00000030" w:usb3="00000000" w:csb0="0008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VnHelvetInsH">
    <w:charset w:val="00"/>
    <w:family w:val="swiss"/>
    <w:pitch w:val="variable"/>
    <w:sig w:usb0="00000003" w:usb1="00000000" w:usb2="00000000" w:usb3="00000000" w:csb0="00000001" w:csb1="00000000"/>
  </w:font>
  <w:font w:name="Arial Bold">
    <w:panose1 w:val="00000000000000000000"/>
    <w:charset w:val="00"/>
    <w:family w:val="roman"/>
    <w:notTrueType/>
    <w:pitch w:val="default"/>
  </w:font>
  <w:font w:name="Andes Bold">
    <w:panose1 w:val="00000000000000000000"/>
    <w:charset w:val="00"/>
    <w:family w:val="modern"/>
    <w:notTrueType/>
    <w:pitch w:val="variable"/>
    <w:sig w:usb0="A000002F" w:usb1="5000005B"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ucida Grande">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erkeley">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imes New Roman Mäori">
    <w:altName w:val="Times New Roman"/>
    <w:charset w:val="00"/>
    <w:family w:val="roman"/>
    <w:pitch w:val="variable"/>
    <w:sig w:usb0="00000000" w:usb1="80000000" w:usb2="00000008" w:usb3="00000000" w:csb0="000001FF" w:csb1="00000000"/>
  </w:font>
  <w:font w:name="MetaBold-Roman">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IAAO F+ Janson Text">
    <w:altName w:val="Cambria"/>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Optima">
    <w:charset w:val="00"/>
    <w:family w:val="auto"/>
    <w:pitch w:val="variable"/>
    <w:sig w:usb0="80000067" w:usb1="00000000" w:usb2="00000000" w:usb3="00000000" w:csb0="00000001" w:csb1="00000000"/>
  </w:font>
  <w:font w:name="Kartika">
    <w:charset w:val="00"/>
    <w:family w:val="roman"/>
    <w:pitch w:val="variable"/>
    <w:sig w:usb0="008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 w:name="EY Gothic Cond Demi">
    <w:altName w:val="Cambria"/>
    <w:charset w:val="00"/>
    <w:family w:val="auto"/>
    <w:pitch w:val="variable"/>
    <w:sig w:usb0="800000A7" w:usb1="00000040" w:usb2="00000000" w:usb3="00000000" w:csb0="00000009"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EYInterstate Light">
    <w:altName w:val="Times New Roman"/>
    <w:charset w:val="00"/>
    <w:family w:val="auto"/>
    <w:pitch w:val="variable"/>
    <w:sig w:usb0="00000001" w:usb1="5000206A" w:usb2="00000000" w:usb3="00000000" w:csb0="0000009F" w:csb1="00000000"/>
  </w:font>
  <w:font w:name="@Malgun Gothic">
    <w:charset w:val="81"/>
    <w:family w:val="swiss"/>
    <w:pitch w:val="variable"/>
    <w:sig w:usb0="9000002F" w:usb1="29D77CFB" w:usb2="00000012" w:usb3="00000000" w:csb0="00080001" w:csb1="00000000"/>
  </w:font>
  <w:font w:name="HYGothic-Extra">
    <w:altName w:val="HY견고딕"/>
    <w:charset w:val="81"/>
    <w:family w:val="roman"/>
    <w:pitch w:val="variable"/>
    <w:sig w:usb0="800002A7" w:usb1="39D77CF9" w:usb2="00000010" w:usb3="00000000" w:csb0="00080000" w:csb1="00000000"/>
  </w:font>
  <w:font w:name="HYHeadLine-Medium">
    <w:altName w:val="HY헤드라인M"/>
    <w:charset w:val="81"/>
    <w:family w:val="roman"/>
    <w:pitch w:val="variable"/>
    <w:sig w:usb0="900002A7" w:usb1="09D77CF9" w:usb2="00000010" w:usb3="00000000" w:csb0="00080000" w:csb1="00000000"/>
  </w:font>
  <w:font w:name="한양신명조">
    <w:altName w:val="바탕"/>
    <w:panose1 w:val="00000000000000000000"/>
    <w:charset w:val="81"/>
    <w:family w:val="roman"/>
    <w:notTrueType/>
    <w:pitch w:val="default"/>
    <w:sig w:usb0="00000001" w:usb1="09060000"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산세리프">
    <w:panose1 w:val="00000000000000000000"/>
    <w:charset w:val="81"/>
    <w:family w:val="roman"/>
    <w:notTrueType/>
    <w:pitch w:val="default"/>
    <w:sig w:usb0="00000001" w:usb1="09060000" w:usb2="00000010" w:usb3="00000000" w:csb0="00080000" w:csb1="00000000"/>
  </w:font>
  <w:font w:name="함초롬바탕">
    <w:charset w:val="81"/>
    <w:family w:val="roman"/>
    <w:pitch w:val="variable"/>
    <w:sig w:usb0="F7FFAEFF" w:usb1="FBDFFFFF" w:usb2="0417FFFF" w:usb3="00000000" w:csb0="00080001" w:csb1="00000000"/>
  </w:font>
  <w:font w:name="HY울릉도B">
    <w:charset w:val="81"/>
    <w:family w:val="roman"/>
    <w:pitch w:val="variable"/>
    <w:sig w:usb0="800002A7" w:usb1="19D77CF9" w:usb2="00000010" w:usb3="00000000" w:csb0="00080000" w:csb1="00000000"/>
  </w:font>
  <w:font w:name="HYSinMyeongJo-Medium">
    <w:altName w:val="HY신명조"/>
    <w:charset w:val="81"/>
    <w:family w:val="roman"/>
    <w:pitch w:val="variable"/>
    <w:sig w:usb0="900002A7" w:usb1="29D77CF9" w:usb2="00000010" w:usb3="00000000" w:csb0="00080000" w:csb1="00000000"/>
  </w:font>
  <w:font w:name=".VnCentury Schoolbook">
    <w:altName w:val="Copperplate"/>
    <w:charset w:val="00"/>
    <w:family w:val="swiss"/>
    <w:pitch w:val="variable"/>
    <w:sig w:usb0="00000003" w:usb1="00000000" w:usb2="00000000" w:usb3="00000000" w:csb0="00000001" w:csb1="00000000"/>
  </w:font>
  <w:font w:name=".VnArial">
    <w:charset w:val="00"/>
    <w:family w:val="swiss"/>
    <w:pitch w:val="variable"/>
    <w:sig w:usb0="00000003" w:usb1="00000000" w:usb2="00000000" w:usb3="00000000" w:csb0="00000001" w:csb1="00000000"/>
  </w:font>
  <w:font w:name=".VnTime">
    <w:altName w:val="Copperplate"/>
    <w:charset w:val="00"/>
    <w:family w:val="swiss"/>
    <w:pitch w:val="variable"/>
    <w:sig w:usb0="00000003" w:usb1="00000000" w:usb2="00000000" w:usb3="00000000" w:csb0="00000001" w:csb1="00000000"/>
  </w:font>
  <w:font w:name=".VnTimeH">
    <w:charset w:val="00"/>
    <w:family w:val="swiss"/>
    <w:pitch w:val="variable"/>
    <w:sig w:usb0="00000007" w:usb1="00000000" w:usb2="00000000" w:usb3="00000000" w:csb0="00000013" w:csb1="00000000"/>
  </w:font>
  <w:font w:name=".VnAvantH">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1964566"/>
      <w:docPartObj>
        <w:docPartGallery w:val="Page Numbers (Bottom of Page)"/>
        <w:docPartUnique/>
      </w:docPartObj>
    </w:sdtPr>
    <w:sdtEndPr>
      <w:rPr>
        <w:noProof/>
      </w:rPr>
    </w:sdtEndPr>
    <w:sdtContent>
      <w:p w14:paraId="0C13F2C8" w14:textId="28306743" w:rsidR="00A41794" w:rsidRDefault="00565984">
        <w:pPr>
          <w:pStyle w:val="Pieddepage"/>
          <w:jc w:val="right"/>
        </w:pPr>
      </w:p>
    </w:sdtContent>
  </w:sdt>
  <w:p w14:paraId="567BEC22" w14:textId="77777777" w:rsidR="00A41794" w:rsidRPr="0030458B" w:rsidRDefault="00A41794" w:rsidP="0030458B">
    <w:pPr>
      <w:pStyle w:val="Pieddepag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843923"/>
      <w:docPartObj>
        <w:docPartGallery w:val="Page Numbers (Bottom of Page)"/>
        <w:docPartUnique/>
      </w:docPartObj>
    </w:sdtPr>
    <w:sdtEndPr>
      <w:rPr>
        <w:rFonts w:asciiTheme="minorHAnsi" w:hAnsiTheme="minorHAnsi" w:cstheme="minorHAnsi"/>
        <w:noProof/>
      </w:rPr>
    </w:sdtEndPr>
    <w:sdtContent>
      <w:p w14:paraId="1D047A73" w14:textId="77E7909D" w:rsidR="00A41794" w:rsidRDefault="00A41794" w:rsidP="00F962F4">
        <w:pPr>
          <w:pStyle w:val="Pieddepage"/>
        </w:pPr>
        <w:r w:rsidRPr="00F962F4">
          <w:rPr>
            <w:rFonts w:ascii="Andes" w:eastAsiaTheme="minorEastAsia" w:hAnsi="Andes" w:cs="Andes"/>
            <w:sz w:val="18"/>
            <w:szCs w:val="18"/>
          </w:rPr>
          <w:t>Règlement de Passation des Marchés pour les Emprunteurs sollicitant un FPI</w:t>
        </w:r>
        <w:r>
          <w:rPr>
            <w:rFonts w:ascii="Andes" w:eastAsiaTheme="minorEastAsia" w:hAnsi="Andes" w:cs="Andes"/>
            <w:sz w:val="18"/>
            <w:szCs w:val="18"/>
          </w:rPr>
          <w:tab/>
        </w:r>
        <w:r w:rsidRPr="00CA0726">
          <w:rPr>
            <w:rFonts w:asciiTheme="minorHAnsi" w:hAnsiTheme="minorHAnsi" w:cstheme="minorHAnsi"/>
          </w:rPr>
          <w:fldChar w:fldCharType="begin"/>
        </w:r>
        <w:r w:rsidRPr="00CA0726">
          <w:rPr>
            <w:rFonts w:asciiTheme="minorHAnsi" w:hAnsiTheme="minorHAnsi" w:cstheme="minorHAnsi"/>
          </w:rPr>
          <w:instrText xml:space="preserve"> PAGE   \* MERGEFORMAT </w:instrText>
        </w:r>
        <w:r w:rsidRPr="00CA0726">
          <w:rPr>
            <w:rFonts w:asciiTheme="minorHAnsi" w:hAnsiTheme="minorHAnsi" w:cstheme="minorHAnsi"/>
          </w:rPr>
          <w:fldChar w:fldCharType="separate"/>
        </w:r>
        <w:r w:rsidRPr="00CA0726">
          <w:rPr>
            <w:rFonts w:asciiTheme="minorHAnsi" w:hAnsiTheme="minorHAnsi" w:cstheme="minorHAnsi"/>
            <w:noProof/>
          </w:rPr>
          <w:t>2</w:t>
        </w:r>
        <w:r w:rsidRPr="00CA0726">
          <w:rPr>
            <w:rFonts w:asciiTheme="minorHAnsi" w:hAnsiTheme="minorHAnsi" w:cstheme="minorHAnsi"/>
            <w:noProof/>
          </w:rPr>
          <w:fldChar w:fldCharType="end"/>
        </w:r>
      </w:p>
    </w:sdtContent>
  </w:sdt>
  <w:p w14:paraId="2AA21C9C" w14:textId="500CFAF5" w:rsidR="00A41794" w:rsidRPr="00F962F4" w:rsidRDefault="00A41794" w:rsidP="0030458B">
    <w:pPr>
      <w:pStyle w:val="Pieddepag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AF6F0" w14:textId="77777777" w:rsidR="00A41794" w:rsidRPr="00F962F4" w:rsidRDefault="00A41794" w:rsidP="0030458B">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678AA4" w14:textId="77777777" w:rsidR="00A6305C" w:rsidRPr="003B5363" w:rsidRDefault="00A6305C" w:rsidP="003B5363">
      <w:pPr>
        <w:pStyle w:val="Pieddepage"/>
        <w:ind w:left="810" w:hanging="360"/>
      </w:pPr>
    </w:p>
  </w:footnote>
  <w:footnote w:type="continuationSeparator" w:id="0">
    <w:p w14:paraId="7D0FF3FD" w14:textId="77777777" w:rsidR="00A6305C" w:rsidRDefault="00A6305C" w:rsidP="003B5363">
      <w:r>
        <w:continuationSeparator/>
      </w:r>
    </w:p>
  </w:footnote>
  <w:footnote w:type="continuationNotice" w:id="1">
    <w:p w14:paraId="514A0B12" w14:textId="77777777" w:rsidR="00A6305C" w:rsidRDefault="00A6305C">
      <w:pPr>
        <w:spacing w:before="0" w:after="0" w:line="240" w:lineRule="auto"/>
      </w:pPr>
    </w:p>
  </w:footnote>
  <w:footnote w:id="2">
    <w:p w14:paraId="6267B107" w14:textId="4E7DD831" w:rsidR="00A41794" w:rsidRPr="0095122D" w:rsidRDefault="00A41794" w:rsidP="00591DA0">
      <w:pPr>
        <w:pStyle w:val="Notedebasdepage"/>
        <w:jc w:val="both"/>
        <w:rPr>
          <w:szCs w:val="18"/>
          <w:lang w:val="fr-FR"/>
        </w:rPr>
      </w:pPr>
      <w:r>
        <w:rPr>
          <w:rStyle w:val="Appelnotedebasdep"/>
        </w:rPr>
        <w:footnoteRef/>
      </w:r>
      <w:r w:rsidRPr="00EF7732">
        <w:rPr>
          <w:rFonts w:ascii="Andes" w:hAnsi="Andes" w:cs="Arial"/>
          <w:color w:val="000000"/>
          <w:szCs w:val="18"/>
          <w:lang w:val="fr-FR"/>
        </w:rPr>
        <w:t xml:space="preserve"> </w:t>
      </w:r>
      <w:r w:rsidRPr="0095122D">
        <w:rPr>
          <w:rFonts w:ascii="Andes" w:hAnsi="Andes" w:cs="Arial"/>
          <w:color w:val="000000"/>
          <w:szCs w:val="18"/>
          <w:lang w:val="fr-FR"/>
        </w:rPr>
        <w:t xml:space="preserve">Dans ce contexte, les inspections </w:t>
      </w:r>
      <w:r w:rsidR="00882278">
        <w:rPr>
          <w:rFonts w:ascii="Andes" w:hAnsi="Andes" w:cs="Arial"/>
          <w:color w:val="000000"/>
          <w:szCs w:val="18"/>
          <w:lang w:val="fr-FR"/>
        </w:rPr>
        <w:t>re</w:t>
      </w:r>
      <w:r w:rsidR="00882278">
        <w:rPr>
          <w:rFonts w:ascii="Andes" w:hAnsi="Andes" w:cs="Arial"/>
          <w:color w:val="000000"/>
          <w:szCs w:val="18"/>
          <w:lang w:val="fr-FR"/>
        </w:rPr>
        <w:t>v</w:t>
      </w:r>
      <w:r w:rsidR="00565984">
        <w:rPr>
          <w:rFonts w:ascii="Andes" w:hAnsi="Andes" w:cs="Arial"/>
          <w:color w:val="000000"/>
          <w:szCs w:val="18"/>
          <w:lang w:val="fr-FR"/>
        </w:rPr>
        <w:t>êt</w:t>
      </w:r>
      <w:r w:rsidR="00882278">
        <w:rPr>
          <w:rFonts w:ascii="Andes" w:hAnsi="Andes" w:cs="Arial"/>
          <w:color w:val="000000"/>
          <w:szCs w:val="18"/>
          <w:lang w:val="fr-FR"/>
        </w:rPr>
        <w:t>ent</w:t>
      </w:r>
      <w:r w:rsidR="00882278" w:rsidRPr="0095122D">
        <w:rPr>
          <w:rFonts w:ascii="Andes" w:hAnsi="Andes" w:cs="Arial"/>
          <w:color w:val="000000"/>
          <w:szCs w:val="18"/>
          <w:lang w:val="fr-FR"/>
        </w:rPr>
        <w:t xml:space="preserve"> </w:t>
      </w:r>
      <w:r w:rsidRPr="0095122D">
        <w:rPr>
          <w:rFonts w:ascii="Andes" w:hAnsi="Andes" w:cs="Arial"/>
          <w:color w:val="000000"/>
          <w:szCs w:val="18"/>
          <w:lang w:val="fr-FR"/>
        </w:rPr>
        <w:t xml:space="preserve">généralement </w:t>
      </w:r>
      <w:r>
        <w:rPr>
          <w:rFonts w:ascii="Andes" w:hAnsi="Andes" w:cs="Arial"/>
          <w:color w:val="000000"/>
          <w:szCs w:val="18"/>
          <w:lang w:val="fr-FR"/>
        </w:rPr>
        <w:t>le caractère d’</w:t>
      </w:r>
      <w:r w:rsidRPr="0095122D">
        <w:rPr>
          <w:rFonts w:ascii="Andes" w:hAnsi="Andes" w:cs="Arial"/>
          <w:color w:val="000000"/>
          <w:szCs w:val="18"/>
          <w:lang w:val="fr-FR"/>
        </w:rPr>
        <w:t>enquête</w:t>
      </w:r>
      <w:r>
        <w:rPr>
          <w:rFonts w:ascii="Andes" w:hAnsi="Andes" w:cs="Arial"/>
          <w:color w:val="000000"/>
          <w:szCs w:val="18"/>
          <w:lang w:val="fr-FR"/>
        </w:rPr>
        <w:t>s</w:t>
      </w:r>
      <w:r w:rsidRPr="0095122D">
        <w:rPr>
          <w:rFonts w:ascii="Andes" w:hAnsi="Andes" w:cs="Arial"/>
          <w:color w:val="000000"/>
          <w:szCs w:val="18"/>
          <w:lang w:val="fr-FR"/>
        </w:rPr>
        <w:t xml:space="preserve"> (</w:t>
      </w:r>
      <w:r>
        <w:rPr>
          <w:rFonts w:ascii="Andes" w:hAnsi="Andes" w:cs="Arial"/>
          <w:color w:val="000000"/>
          <w:szCs w:val="18"/>
          <w:lang w:val="fr-FR"/>
        </w:rPr>
        <w:t xml:space="preserve">c’est-à-dire de nature </w:t>
      </w:r>
      <w:r w:rsidRPr="0095122D">
        <w:rPr>
          <w:rFonts w:ascii="Andes" w:hAnsi="Andes" w:cs="Arial"/>
          <w:color w:val="000000"/>
          <w:szCs w:val="18"/>
          <w:lang w:val="fr-FR"/>
        </w:rPr>
        <w:t>judiciaire). Elles incluent des activités</w:t>
      </w:r>
      <w:r>
        <w:rPr>
          <w:rFonts w:ascii="Andes" w:hAnsi="Andes" w:cs="Arial"/>
          <w:color w:val="000000"/>
          <w:szCs w:val="18"/>
          <w:lang w:val="fr-FR"/>
        </w:rPr>
        <w:t xml:space="preserve">, conduites </w:t>
      </w:r>
      <w:r w:rsidRPr="0095122D">
        <w:rPr>
          <w:rFonts w:ascii="Andes" w:hAnsi="Andes" w:cs="Arial"/>
          <w:color w:val="000000"/>
          <w:szCs w:val="18"/>
          <w:lang w:val="fr-FR"/>
        </w:rPr>
        <w:t>par la Banque ou des personnes nommées par elle</w:t>
      </w:r>
      <w:r>
        <w:rPr>
          <w:rFonts w:ascii="Andes" w:hAnsi="Andes" w:cs="Arial"/>
          <w:color w:val="000000"/>
          <w:szCs w:val="18"/>
          <w:lang w:val="fr-FR"/>
        </w:rPr>
        <w:t>,</w:t>
      </w:r>
      <w:r w:rsidRPr="0095122D">
        <w:rPr>
          <w:rFonts w:ascii="Andes" w:hAnsi="Andes" w:cs="Arial"/>
          <w:color w:val="000000"/>
          <w:szCs w:val="18"/>
          <w:lang w:val="fr-FR"/>
        </w:rPr>
        <w:t xml:space="preserve"> </w:t>
      </w:r>
      <w:r>
        <w:rPr>
          <w:rFonts w:ascii="Andes" w:hAnsi="Andes" w:cs="Arial"/>
          <w:color w:val="000000"/>
          <w:szCs w:val="18"/>
          <w:lang w:val="fr-FR"/>
        </w:rPr>
        <w:t>propres aux</w:t>
      </w:r>
      <w:r w:rsidRPr="0095122D">
        <w:rPr>
          <w:rFonts w:ascii="Andes" w:hAnsi="Andes" w:cs="Arial"/>
          <w:color w:val="000000"/>
          <w:szCs w:val="18"/>
          <w:lang w:val="fr-FR"/>
        </w:rPr>
        <w:t xml:space="preserve"> enquêtes et audits, telle l’évaluation de la véracité des allégations de fraude et de corruption</w:t>
      </w:r>
      <w:r>
        <w:rPr>
          <w:rFonts w:ascii="Andes" w:hAnsi="Andes" w:cs="Arial"/>
          <w:color w:val="000000"/>
          <w:szCs w:val="18"/>
          <w:lang w:val="fr-FR"/>
        </w:rPr>
        <w:t>,</w:t>
      </w:r>
      <w:r w:rsidRPr="0095122D">
        <w:rPr>
          <w:rFonts w:ascii="Andes" w:hAnsi="Andes" w:cs="Arial"/>
          <w:color w:val="000000"/>
          <w:szCs w:val="18"/>
          <w:lang w:val="fr-FR"/>
        </w:rPr>
        <w:t xml:space="preserve"> visant à établir de</w:t>
      </w:r>
      <w:r>
        <w:rPr>
          <w:rFonts w:ascii="Andes" w:hAnsi="Andes" w:cs="Arial"/>
          <w:color w:val="000000"/>
          <w:szCs w:val="18"/>
          <w:lang w:val="fr-FR"/>
        </w:rPr>
        <w:t xml:space="preserve"> possibles</w:t>
      </w:r>
      <w:r w:rsidRPr="0095122D">
        <w:rPr>
          <w:rFonts w:ascii="Andes" w:hAnsi="Andes" w:cs="Arial"/>
          <w:color w:val="000000"/>
          <w:szCs w:val="18"/>
          <w:lang w:val="fr-FR"/>
        </w:rPr>
        <w:t xml:space="preserve"> faits</w:t>
      </w:r>
      <w:r>
        <w:rPr>
          <w:rFonts w:ascii="Andes" w:hAnsi="Andes" w:cs="Arial"/>
          <w:color w:val="000000"/>
          <w:szCs w:val="18"/>
          <w:lang w:val="fr-FR"/>
        </w:rPr>
        <w:t xml:space="preserve"> de fraude et corruption,</w:t>
      </w:r>
      <w:r w:rsidRPr="0095122D">
        <w:rPr>
          <w:rFonts w:ascii="Andes" w:hAnsi="Andes" w:cs="Arial"/>
          <w:color w:val="000000"/>
          <w:szCs w:val="18"/>
          <w:lang w:val="fr-FR"/>
        </w:rPr>
        <w:t xml:space="preserve"> par des mécanismes appropriés. </w:t>
      </w:r>
      <w:r>
        <w:rPr>
          <w:rFonts w:ascii="Andes" w:hAnsi="Andes" w:cs="Arial"/>
          <w:color w:val="000000"/>
          <w:szCs w:val="18"/>
          <w:lang w:val="fr-FR"/>
        </w:rPr>
        <w:t xml:space="preserve">La liste de ces activités donnée ci-après est </w:t>
      </w:r>
      <w:r w:rsidRPr="0095122D">
        <w:rPr>
          <w:rFonts w:ascii="Andes" w:hAnsi="Andes" w:cs="Arial"/>
          <w:color w:val="000000"/>
          <w:szCs w:val="18"/>
          <w:lang w:val="fr-FR"/>
        </w:rPr>
        <w:t>non exhaustive : accéder aux comptes et aux données financières d’une personne physique ou morale, les examiner et en faire des copies autant que de besoin ; accéder à d’autres documents, données et informations (sous format papier ou électronique) jugés utiles pour l’enquête ou l’audit et en faire des copies autant que de besoin ; interroger les membres du personnel et d’autres personnes concernées ; réaliser des inspections physiques et des visites de sites ; obtenir la vérification des informations par un tiers.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5389D" w14:textId="77777777" w:rsidR="00A41794" w:rsidRDefault="00A41794" w:rsidP="0030458B">
    <w:pPr>
      <w:pStyle w:val="En-tte"/>
      <w:jc w:val="right"/>
      <w:rPr>
        <w:color w:val="4F81BD" w:themeColor="accent1"/>
        <w:sz w:val="28"/>
        <w:szCs w:val="2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6B0F9" w14:textId="0CFE0CCF" w:rsidR="00A41794" w:rsidRPr="002E5975" w:rsidRDefault="00A41794" w:rsidP="008F0584">
    <w:pPr>
      <w:pStyle w:val="En-tte"/>
      <w:pBdr>
        <w:bottom w:val="single" w:sz="4" w:space="1" w:color="auto"/>
      </w:pBdr>
      <w:tabs>
        <w:tab w:val="clear" w:pos="4513"/>
      </w:tabs>
      <w:ind w:left="1080" w:hanging="1080"/>
      <w:rPr>
        <w:rFonts w:ascii="Andes" w:hAnsi="Andes"/>
        <w:sz w:val="22"/>
        <w:szCs w:val="22"/>
      </w:rPr>
    </w:pPr>
    <w:r w:rsidRPr="002E5975">
      <w:rPr>
        <w:rFonts w:ascii="Andes" w:hAnsi="Andes"/>
        <w:sz w:val="22"/>
        <w:szCs w:val="22"/>
      </w:rPr>
      <w:t>Annex</w:t>
    </w:r>
    <w:r w:rsidRPr="00B11DEF">
      <w:rPr>
        <w:rFonts w:ascii="Andes" w:hAnsi="Andes"/>
        <w:sz w:val="22"/>
        <w:szCs w:val="22"/>
      </w:rPr>
      <w:t>e</w:t>
    </w:r>
    <w:r w:rsidRPr="002E5975">
      <w:rPr>
        <w:rFonts w:ascii="Andes" w:hAnsi="Andes"/>
        <w:sz w:val="22"/>
        <w:szCs w:val="22"/>
      </w:rPr>
      <w:t xml:space="preserve"> I.  </w:t>
    </w:r>
    <w:r w:rsidRPr="002E5975">
      <w:rPr>
        <w:rFonts w:ascii="Andes" w:hAnsi="Andes"/>
        <w:sz w:val="22"/>
        <w:szCs w:val="22"/>
      </w:rPr>
      <w:tab/>
    </w:r>
    <w:r w:rsidRPr="00B11DEF">
      <w:rPr>
        <w:rFonts w:ascii="Andes" w:hAnsi="Andes"/>
        <w:sz w:val="22"/>
        <w:szCs w:val="22"/>
      </w:rPr>
      <w:t>Optimisation Des Ressources</w:t>
    </w:r>
    <w:r w:rsidRPr="002E5975">
      <w:rPr>
        <w:rFonts w:ascii="Andes" w:hAnsi="Andes"/>
        <w:sz w:val="22"/>
        <w:szCs w:val="22"/>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CCFA1" w14:textId="093E0EC2" w:rsidR="00A41794" w:rsidRPr="008F0584" w:rsidRDefault="00A41794" w:rsidP="0006257B">
    <w:pPr>
      <w:pStyle w:val="En-tte"/>
      <w:pBdr>
        <w:bottom w:val="single" w:sz="4" w:space="1" w:color="auto"/>
      </w:pBdr>
      <w:tabs>
        <w:tab w:val="clear" w:pos="4513"/>
      </w:tabs>
      <w:ind w:left="1080" w:hanging="1080"/>
      <w:rPr>
        <w:rFonts w:ascii="Andes" w:hAnsi="Andes"/>
        <w:sz w:val="22"/>
        <w:szCs w:val="22"/>
      </w:rPr>
    </w:pPr>
    <w:r>
      <w:rPr>
        <w:rFonts w:ascii="Andes" w:hAnsi="Andes"/>
        <w:sz w:val="22"/>
        <w:szCs w:val="22"/>
      </w:rPr>
      <w:t xml:space="preserve">Annexe II.  </w:t>
    </w:r>
    <w:r>
      <w:rPr>
        <w:rFonts w:ascii="Andes" w:hAnsi="Andes"/>
        <w:sz w:val="22"/>
        <w:szCs w:val="22"/>
      </w:rPr>
      <w:tab/>
      <w:t>Contrôle de la passation des marchés</w:t>
    </w:r>
    <w:r>
      <w:rPr>
        <w:rFonts w:ascii="Andes" w:hAnsi="Andes"/>
        <w:sz w:val="22"/>
        <w:szCs w:val="22"/>
      </w:rPr>
      <w:tab/>
    </w:r>
    <w:r>
      <w:rPr>
        <w:rFonts w:ascii="Andes" w:hAnsi="Andes"/>
        <w:sz w:val="22"/>
        <w:szCs w:val="22"/>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A928F" w14:textId="332ED458" w:rsidR="00A41794" w:rsidRPr="008F0584" w:rsidRDefault="00A41794" w:rsidP="0006257B">
    <w:pPr>
      <w:pStyle w:val="En-tte"/>
      <w:pBdr>
        <w:bottom w:val="single" w:sz="4" w:space="1" w:color="auto"/>
      </w:pBdr>
      <w:tabs>
        <w:tab w:val="clear" w:pos="4513"/>
      </w:tabs>
      <w:ind w:left="1080" w:hanging="1080"/>
      <w:rPr>
        <w:rFonts w:ascii="Andes" w:hAnsi="Andes"/>
        <w:sz w:val="22"/>
        <w:szCs w:val="22"/>
      </w:rPr>
    </w:pPr>
    <w:r>
      <w:rPr>
        <w:rFonts w:ascii="Andes" w:hAnsi="Andes"/>
        <w:sz w:val="22"/>
        <w:szCs w:val="22"/>
      </w:rPr>
      <w:t xml:space="preserve">Annexe III.  </w:t>
    </w:r>
    <w:r>
      <w:rPr>
        <w:rFonts w:ascii="Andes" w:hAnsi="Andes"/>
        <w:sz w:val="22"/>
        <w:szCs w:val="22"/>
      </w:rPr>
      <w:tab/>
      <w:t xml:space="preserve">Plaintes relatives à la passation des marchés </w:t>
    </w:r>
    <w:r>
      <w:rPr>
        <w:rFonts w:ascii="Andes" w:hAnsi="Andes"/>
        <w:sz w:val="22"/>
        <w:szCs w:val="22"/>
      </w:rPr>
      <w:tab/>
    </w:r>
    <w:r>
      <w:rPr>
        <w:rFonts w:ascii="Andes" w:hAnsi="Andes"/>
        <w:sz w:val="22"/>
        <w:szCs w:val="22"/>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509A3" w14:textId="26950AF6" w:rsidR="00A41794" w:rsidRPr="00BC4EE6" w:rsidRDefault="00A41794" w:rsidP="0006257B">
    <w:pPr>
      <w:pStyle w:val="En-tte"/>
      <w:pBdr>
        <w:bottom w:val="single" w:sz="4" w:space="1" w:color="auto"/>
      </w:pBdr>
      <w:tabs>
        <w:tab w:val="clear" w:pos="4513"/>
      </w:tabs>
      <w:ind w:left="1080" w:hanging="1080"/>
      <w:rPr>
        <w:rFonts w:ascii="Andes" w:hAnsi="Andes"/>
        <w:sz w:val="22"/>
        <w:szCs w:val="22"/>
      </w:rPr>
    </w:pPr>
    <w:r w:rsidRPr="00BC4EE6">
      <w:rPr>
        <w:rFonts w:ascii="Andes" w:hAnsi="Andes"/>
        <w:sz w:val="22"/>
        <w:szCs w:val="22"/>
      </w:rPr>
      <w:t>Annex</w:t>
    </w:r>
    <w:r>
      <w:rPr>
        <w:rFonts w:ascii="Andes" w:hAnsi="Andes"/>
        <w:sz w:val="22"/>
        <w:szCs w:val="22"/>
      </w:rPr>
      <w:t>e</w:t>
    </w:r>
    <w:r w:rsidRPr="00BC4EE6">
      <w:rPr>
        <w:rFonts w:ascii="Andes" w:hAnsi="Andes"/>
        <w:sz w:val="22"/>
        <w:szCs w:val="22"/>
      </w:rPr>
      <w:t xml:space="preserve"> IV.  </w:t>
    </w:r>
    <w:r w:rsidRPr="00BC4EE6">
      <w:rPr>
        <w:rFonts w:ascii="Andes" w:hAnsi="Andes"/>
        <w:sz w:val="22"/>
        <w:szCs w:val="22"/>
      </w:rPr>
      <w:tab/>
      <w:t>Fraud</w:t>
    </w:r>
    <w:r w:rsidRPr="00B11DEF">
      <w:rPr>
        <w:rFonts w:ascii="Andes" w:hAnsi="Andes"/>
        <w:sz w:val="22"/>
        <w:szCs w:val="22"/>
      </w:rPr>
      <w:t>e</w:t>
    </w:r>
    <w:r w:rsidRPr="00BC4EE6">
      <w:rPr>
        <w:rFonts w:ascii="Andes" w:hAnsi="Andes"/>
        <w:sz w:val="22"/>
        <w:szCs w:val="22"/>
      </w:rPr>
      <w:t xml:space="preserve"> </w:t>
    </w:r>
    <w:r w:rsidRPr="00B11DEF">
      <w:rPr>
        <w:rFonts w:ascii="Andes" w:hAnsi="Andes"/>
        <w:sz w:val="22"/>
        <w:szCs w:val="22"/>
      </w:rPr>
      <w:t>et</w:t>
    </w:r>
    <w:r w:rsidRPr="00BC4EE6">
      <w:rPr>
        <w:rFonts w:ascii="Andes" w:hAnsi="Andes"/>
        <w:sz w:val="22"/>
        <w:szCs w:val="22"/>
      </w:rPr>
      <w:t xml:space="preserve"> Corruption</w:t>
    </w:r>
    <w:r w:rsidRPr="00BC4EE6">
      <w:rPr>
        <w:rFonts w:ascii="Andes" w:hAnsi="Andes"/>
        <w:sz w:val="22"/>
        <w:szCs w:val="22"/>
      </w:rPr>
      <w:tab/>
    </w:r>
    <w:r w:rsidRPr="00BC4EE6">
      <w:rPr>
        <w:rFonts w:ascii="Andes" w:hAnsi="Andes"/>
        <w:sz w:val="22"/>
        <w:szCs w:val="22"/>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470C0" w14:textId="77777777" w:rsidR="00A41794" w:rsidRPr="008A510A" w:rsidRDefault="00A41794" w:rsidP="008A510A">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60259" w14:textId="222950F1" w:rsidR="00A41794" w:rsidRPr="008F0584" w:rsidRDefault="00A41794" w:rsidP="0006257B">
    <w:pPr>
      <w:pStyle w:val="En-tte"/>
      <w:pBdr>
        <w:bottom w:val="single" w:sz="4" w:space="1" w:color="auto"/>
      </w:pBdr>
      <w:tabs>
        <w:tab w:val="clear" w:pos="4513"/>
      </w:tabs>
      <w:ind w:left="1080" w:hanging="1080"/>
      <w:rPr>
        <w:rFonts w:ascii="Andes" w:hAnsi="Andes"/>
        <w:sz w:val="22"/>
        <w:szCs w:val="22"/>
      </w:rPr>
    </w:pPr>
    <w:r>
      <w:rPr>
        <w:rFonts w:ascii="Andes" w:hAnsi="Andes"/>
        <w:sz w:val="22"/>
        <w:szCs w:val="22"/>
      </w:rPr>
      <w:t xml:space="preserve">Annexe VI.  </w:t>
    </w:r>
    <w:r>
      <w:rPr>
        <w:rFonts w:ascii="Andes" w:hAnsi="Andes"/>
        <w:sz w:val="22"/>
        <w:szCs w:val="22"/>
      </w:rPr>
      <w:tab/>
      <w:t>Préférence Nationale</w:t>
    </w:r>
    <w:r>
      <w:rPr>
        <w:rFonts w:ascii="Andes" w:hAnsi="Andes"/>
        <w:sz w:val="22"/>
        <w:szCs w:val="22"/>
      </w:rPr>
      <w:tab/>
    </w:r>
    <w:r>
      <w:rPr>
        <w:rFonts w:ascii="Andes" w:hAnsi="Andes"/>
        <w:sz w:val="22"/>
        <w:szCs w:val="22"/>
      </w:rP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4F8B3" w14:textId="77777777" w:rsidR="00A41794" w:rsidRPr="008A510A" w:rsidRDefault="00A41794" w:rsidP="008A510A">
    <w:pPr>
      <w:pStyle w:val="En-tt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F9E5A" w14:textId="329FC61A" w:rsidR="00A41794" w:rsidRPr="00D672E8" w:rsidRDefault="00A41794" w:rsidP="0006257B">
    <w:pPr>
      <w:pStyle w:val="En-tte"/>
      <w:pBdr>
        <w:bottom w:val="single" w:sz="4" w:space="1" w:color="auto"/>
      </w:pBdr>
      <w:tabs>
        <w:tab w:val="clear" w:pos="4513"/>
      </w:tabs>
      <w:ind w:left="1080" w:hanging="1080"/>
      <w:rPr>
        <w:rFonts w:ascii="Andes" w:hAnsi="Andes"/>
        <w:sz w:val="22"/>
        <w:szCs w:val="22"/>
      </w:rPr>
    </w:pPr>
    <w:r w:rsidRPr="00D672E8">
      <w:rPr>
        <w:rFonts w:ascii="Andes" w:hAnsi="Andes"/>
        <w:sz w:val="22"/>
        <w:szCs w:val="22"/>
      </w:rPr>
      <w:t>Annex</w:t>
    </w:r>
    <w:r>
      <w:rPr>
        <w:rFonts w:ascii="Andes" w:hAnsi="Andes"/>
        <w:sz w:val="22"/>
        <w:szCs w:val="22"/>
      </w:rPr>
      <w:t>e</w:t>
    </w:r>
    <w:r w:rsidRPr="00D672E8">
      <w:rPr>
        <w:rFonts w:ascii="Andes" w:hAnsi="Andes"/>
        <w:sz w:val="22"/>
        <w:szCs w:val="22"/>
      </w:rPr>
      <w:t xml:space="preserve"> VII.  </w:t>
    </w:r>
    <w:r w:rsidRPr="00D672E8">
      <w:rPr>
        <w:rFonts w:ascii="Andes" w:hAnsi="Andes"/>
        <w:sz w:val="22"/>
        <w:szCs w:val="22"/>
      </w:rPr>
      <w:tab/>
      <w:t xml:space="preserve"> Pratiques durables de passation de marchés</w:t>
    </w:r>
    <w:r w:rsidRPr="00D672E8">
      <w:rPr>
        <w:rFonts w:ascii="Andes" w:hAnsi="Andes"/>
        <w:sz w:val="22"/>
        <w:szCs w:val="22"/>
      </w:rPr>
      <w:tab/>
    </w:r>
    <w:r w:rsidRPr="00D672E8">
      <w:rPr>
        <w:rFonts w:ascii="Andes" w:hAnsi="Andes"/>
        <w:sz w:val="22"/>
        <w:szCs w:val="22"/>
      </w:rP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C08E1" w14:textId="4FF04F89" w:rsidR="00A41794" w:rsidRPr="00D672E8" w:rsidRDefault="00A41794" w:rsidP="0006257B">
    <w:pPr>
      <w:pStyle w:val="En-tte"/>
      <w:pBdr>
        <w:bottom w:val="single" w:sz="4" w:space="1" w:color="auto"/>
      </w:pBdr>
      <w:tabs>
        <w:tab w:val="clear" w:pos="4513"/>
      </w:tabs>
      <w:ind w:left="1080" w:hanging="1080"/>
      <w:rPr>
        <w:rFonts w:ascii="Andes" w:hAnsi="Andes"/>
        <w:sz w:val="22"/>
        <w:szCs w:val="22"/>
      </w:rPr>
    </w:pPr>
    <w:r w:rsidRPr="00D672E8">
      <w:rPr>
        <w:rFonts w:ascii="Andes" w:hAnsi="Andes"/>
        <w:sz w:val="22"/>
        <w:szCs w:val="22"/>
      </w:rPr>
      <w:t>Annex</w:t>
    </w:r>
    <w:r>
      <w:rPr>
        <w:rFonts w:ascii="Andes" w:hAnsi="Andes"/>
        <w:sz w:val="22"/>
        <w:szCs w:val="22"/>
      </w:rPr>
      <w:t>e</w:t>
    </w:r>
    <w:r w:rsidRPr="00D672E8">
      <w:rPr>
        <w:rFonts w:ascii="Andes" w:hAnsi="Andes"/>
        <w:sz w:val="22"/>
        <w:szCs w:val="22"/>
      </w:rPr>
      <w:t xml:space="preserve"> VIII.  Types de contrat</w:t>
    </w:r>
    <w:r w:rsidRPr="00D672E8">
      <w:rPr>
        <w:rFonts w:ascii="Andes" w:hAnsi="Andes"/>
        <w:sz w:val="22"/>
        <w:szCs w:val="22"/>
      </w:rPr>
      <w:tab/>
    </w:r>
    <w:r w:rsidRPr="00D672E8">
      <w:rPr>
        <w:rFonts w:ascii="Andes" w:hAnsi="Andes"/>
        <w:sz w:val="22"/>
        <w:szCs w:val="22"/>
      </w:rPr>
      <w:tab/>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B1AB7" w14:textId="3B79BCDC" w:rsidR="00A41794" w:rsidRPr="00D672E8" w:rsidRDefault="00A41794" w:rsidP="0006257B">
    <w:pPr>
      <w:pStyle w:val="En-tte"/>
      <w:pBdr>
        <w:bottom w:val="single" w:sz="4" w:space="1" w:color="auto"/>
      </w:pBdr>
      <w:tabs>
        <w:tab w:val="clear" w:pos="4513"/>
      </w:tabs>
      <w:ind w:left="1080" w:hanging="1080"/>
      <w:rPr>
        <w:rFonts w:ascii="Andes" w:hAnsi="Andes"/>
        <w:sz w:val="22"/>
        <w:szCs w:val="22"/>
      </w:rPr>
    </w:pPr>
    <w:r w:rsidRPr="00D672E8">
      <w:rPr>
        <w:rFonts w:ascii="Andes" w:hAnsi="Andes"/>
        <w:sz w:val="22"/>
        <w:szCs w:val="22"/>
      </w:rPr>
      <w:t>Annex</w:t>
    </w:r>
    <w:r>
      <w:rPr>
        <w:rFonts w:ascii="Andes" w:hAnsi="Andes"/>
        <w:sz w:val="22"/>
        <w:szCs w:val="22"/>
      </w:rPr>
      <w:t>e</w:t>
    </w:r>
    <w:r w:rsidRPr="00D672E8">
      <w:rPr>
        <w:rFonts w:ascii="Andes" w:hAnsi="Andes"/>
        <w:sz w:val="22"/>
        <w:szCs w:val="22"/>
      </w:rPr>
      <w:t xml:space="preserve"> IX.  </w:t>
    </w:r>
    <w:r w:rsidRPr="00D672E8">
      <w:rPr>
        <w:rFonts w:ascii="Andes" w:hAnsi="Andes"/>
        <w:sz w:val="22"/>
        <w:szCs w:val="22"/>
      </w:rPr>
      <w:tab/>
      <w:t xml:space="preserve"> Clauses et conditions contractuelles pour les marchés faisant appel à la concurrence internationale</w:t>
    </w:r>
    <w:r w:rsidRPr="00D672E8">
      <w:rPr>
        <w:rFonts w:ascii="Andes" w:hAnsi="Andes"/>
        <w:sz w:val="22"/>
        <w:szCs w:val="22"/>
      </w:rPr>
      <w:tab/>
    </w:r>
    <w:r w:rsidRPr="00D672E8">
      <w:rPr>
        <w:rFonts w:ascii="Andes" w:hAnsi="Andes"/>
        <w:sz w:val="22"/>
        <w:szCs w:val="2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62A0A" w14:textId="77777777" w:rsidR="00A41794" w:rsidRDefault="00A41794" w:rsidP="0030458B">
    <w:pPr>
      <w:pStyle w:val="En-tte"/>
      <w:jc w:val="right"/>
      <w:rPr>
        <w:color w:val="4F81BD" w:themeColor="accent1"/>
        <w:sz w:val="28"/>
        <w:szCs w:val="28"/>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2B1B4" w14:textId="77777777" w:rsidR="00A41794" w:rsidRPr="008F0584" w:rsidRDefault="00A41794" w:rsidP="006B7880">
    <w:pPr>
      <w:pStyle w:val="En-tte"/>
      <w:pBdr>
        <w:bottom w:val="single" w:sz="4" w:space="1" w:color="auto"/>
      </w:pBdr>
      <w:tabs>
        <w:tab w:val="clear" w:pos="4513"/>
      </w:tabs>
      <w:ind w:left="1080" w:hanging="1080"/>
      <w:rPr>
        <w:rFonts w:ascii="Andes" w:hAnsi="Andes"/>
        <w:sz w:val="22"/>
        <w:szCs w:val="22"/>
      </w:rPr>
    </w:pPr>
    <w:r>
      <w:rPr>
        <w:rFonts w:ascii="Andes" w:hAnsi="Andes"/>
        <w:sz w:val="22"/>
        <w:szCs w:val="22"/>
      </w:rPr>
      <w:t xml:space="preserve">Annexe X.  </w:t>
    </w:r>
    <w:r>
      <w:rPr>
        <w:rFonts w:ascii="Andes" w:hAnsi="Andes"/>
        <w:sz w:val="22"/>
        <w:szCs w:val="22"/>
      </w:rPr>
      <w:tab/>
      <w:t>Critères d’évaluation</w:t>
    </w:r>
    <w:r>
      <w:rPr>
        <w:rFonts w:ascii="Andes" w:hAnsi="Andes"/>
        <w:sz w:val="22"/>
        <w:szCs w:val="22"/>
      </w:rPr>
      <w:tab/>
    </w:r>
    <w:r>
      <w:rPr>
        <w:rFonts w:ascii="Andes" w:hAnsi="Andes"/>
        <w:sz w:val="22"/>
        <w:szCs w:val="22"/>
      </w:rPr>
      <w:tab/>
    </w:r>
  </w:p>
  <w:p w14:paraId="2027135B" w14:textId="28279EC5" w:rsidR="00A41794" w:rsidRPr="006B7880" w:rsidRDefault="00A41794" w:rsidP="006B7880">
    <w:pPr>
      <w:pStyle w:val="En-tt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C3FE1" w14:textId="0804E35C" w:rsidR="00A41794" w:rsidRPr="006B7880" w:rsidRDefault="00A41794" w:rsidP="006B7880">
    <w:pPr>
      <w:pStyle w:val="En-tte"/>
      <w:pBdr>
        <w:bottom w:val="single" w:sz="4" w:space="1" w:color="auto"/>
      </w:pBdr>
      <w:tabs>
        <w:tab w:val="clear" w:pos="4513"/>
      </w:tabs>
      <w:ind w:left="1080" w:hanging="1080"/>
      <w:rPr>
        <w:rFonts w:ascii="Andes" w:hAnsi="Andes"/>
        <w:sz w:val="22"/>
        <w:szCs w:val="22"/>
      </w:rPr>
    </w:pPr>
    <w:r w:rsidRPr="00D672E8">
      <w:rPr>
        <w:rFonts w:ascii="Andes" w:hAnsi="Andes"/>
        <w:sz w:val="22"/>
        <w:szCs w:val="22"/>
      </w:rPr>
      <w:t>Annex</w:t>
    </w:r>
    <w:r>
      <w:rPr>
        <w:rFonts w:ascii="Andes" w:hAnsi="Andes"/>
        <w:sz w:val="22"/>
        <w:szCs w:val="22"/>
      </w:rPr>
      <w:t>e</w:t>
    </w:r>
    <w:r w:rsidRPr="00D672E8">
      <w:rPr>
        <w:rFonts w:ascii="Andes" w:hAnsi="Andes"/>
        <w:sz w:val="22"/>
        <w:szCs w:val="22"/>
      </w:rPr>
      <w:t xml:space="preserve"> XI. Gestion des marchés et contrats</w:t>
    </w:r>
    <w:r w:rsidRPr="00D672E8">
      <w:rPr>
        <w:rFonts w:ascii="Andes" w:hAnsi="Andes"/>
        <w:sz w:val="22"/>
        <w:szCs w:val="22"/>
      </w:rPr>
      <w:tab/>
    </w:r>
    <w:r w:rsidRPr="00D672E8">
      <w:rPr>
        <w:rFonts w:ascii="Andes" w:hAnsi="Andes"/>
        <w:sz w:val="22"/>
        <w:szCs w:val="22"/>
      </w:rPr>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694DE" w14:textId="77777777" w:rsidR="00A41794" w:rsidRPr="00D672E8" w:rsidRDefault="00A41794" w:rsidP="00832E64">
    <w:pPr>
      <w:pStyle w:val="En-tte"/>
      <w:pBdr>
        <w:bottom w:val="single" w:sz="4" w:space="1" w:color="auto"/>
      </w:pBdr>
      <w:tabs>
        <w:tab w:val="clear" w:pos="4513"/>
      </w:tabs>
      <w:ind w:left="1080" w:hanging="1080"/>
      <w:rPr>
        <w:rFonts w:ascii="Andes" w:hAnsi="Andes"/>
        <w:sz w:val="22"/>
        <w:szCs w:val="22"/>
      </w:rPr>
    </w:pPr>
    <w:r w:rsidRPr="00D672E8">
      <w:rPr>
        <w:rFonts w:ascii="Andes" w:hAnsi="Andes"/>
        <w:sz w:val="22"/>
        <w:szCs w:val="22"/>
      </w:rPr>
      <w:t>Annex</w:t>
    </w:r>
    <w:r>
      <w:rPr>
        <w:rFonts w:ascii="Andes" w:hAnsi="Andes"/>
        <w:sz w:val="22"/>
        <w:szCs w:val="22"/>
      </w:rPr>
      <w:t>e</w:t>
    </w:r>
    <w:r w:rsidRPr="00D672E8">
      <w:rPr>
        <w:rFonts w:ascii="Andes" w:hAnsi="Andes"/>
        <w:sz w:val="22"/>
        <w:szCs w:val="22"/>
      </w:rPr>
      <w:t xml:space="preserve"> XII. Méthodes de Sélection</w:t>
    </w:r>
    <w:r w:rsidRPr="00D672E8">
      <w:rPr>
        <w:rFonts w:ascii="Andes" w:hAnsi="Andes"/>
        <w:sz w:val="22"/>
        <w:szCs w:val="22"/>
      </w:rPr>
      <w:tab/>
    </w:r>
    <w:r w:rsidRPr="00D672E8">
      <w:rPr>
        <w:rFonts w:ascii="Andes" w:hAnsi="Andes"/>
        <w:sz w:val="22"/>
        <w:szCs w:val="22"/>
      </w:rPr>
      <w:tab/>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283A5" w14:textId="77777777" w:rsidR="00A41794" w:rsidRPr="00F441AC" w:rsidRDefault="00A41794" w:rsidP="00F6766C">
    <w:pPr>
      <w:pStyle w:val="En-tte"/>
      <w:pBdr>
        <w:bottom w:val="single" w:sz="4" w:space="1" w:color="auto"/>
      </w:pBdr>
      <w:tabs>
        <w:tab w:val="clear" w:pos="4513"/>
      </w:tabs>
      <w:ind w:left="1080" w:hanging="1080"/>
      <w:rPr>
        <w:rFonts w:ascii="Andes" w:hAnsi="Andes"/>
        <w:sz w:val="22"/>
        <w:szCs w:val="22"/>
      </w:rPr>
    </w:pPr>
    <w:r w:rsidRPr="00F441AC">
      <w:rPr>
        <w:rFonts w:ascii="Andes" w:hAnsi="Andes"/>
        <w:sz w:val="22"/>
        <w:szCs w:val="22"/>
      </w:rPr>
      <w:t xml:space="preserve">Annexe XIII.  </w:t>
    </w:r>
    <w:proofErr w:type="gramStart"/>
    <w:r w:rsidRPr="00F441AC">
      <w:rPr>
        <w:rFonts w:ascii="Andes" w:hAnsi="Andes"/>
        <w:sz w:val="22"/>
        <w:szCs w:val="22"/>
      </w:rPr>
      <w:t xml:space="preserve">Dialogue </w:t>
    </w:r>
    <w:r>
      <w:rPr>
        <w:rFonts w:ascii="Andes" w:hAnsi="Andes"/>
        <w:sz w:val="22"/>
        <w:szCs w:val="22"/>
      </w:rPr>
      <w:t xml:space="preserve"> compétitif</w:t>
    </w:r>
    <w:proofErr w:type="gramEnd"/>
    <w:r w:rsidRPr="00F441AC">
      <w:rPr>
        <w:rFonts w:ascii="Andes" w:hAnsi="Andes"/>
        <w:sz w:val="22"/>
        <w:szCs w:val="22"/>
      </w:rPr>
      <w:tab/>
    </w:r>
    <w:r w:rsidRPr="00F441AC">
      <w:rPr>
        <w:rFonts w:ascii="Andes" w:hAnsi="Andes"/>
        <w:sz w:val="22"/>
        <w:szCs w:val="22"/>
      </w:rPr>
      <w:tab/>
    </w:r>
  </w:p>
  <w:p w14:paraId="606AB6DA" w14:textId="4ADA68C7" w:rsidR="00A41794" w:rsidRPr="00F6766C" w:rsidRDefault="00A41794" w:rsidP="00F6766C">
    <w:pPr>
      <w:pStyle w:val="En-tt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24876" w14:textId="77777777" w:rsidR="00A41794" w:rsidRPr="00D672E8" w:rsidRDefault="00A41794" w:rsidP="008A4406">
    <w:pPr>
      <w:pStyle w:val="En-tte"/>
      <w:pBdr>
        <w:bottom w:val="single" w:sz="4" w:space="1" w:color="auto"/>
      </w:pBdr>
      <w:tabs>
        <w:tab w:val="clear" w:pos="4513"/>
      </w:tabs>
      <w:ind w:left="1080" w:hanging="1080"/>
      <w:rPr>
        <w:rFonts w:ascii="Andes" w:hAnsi="Andes"/>
        <w:sz w:val="22"/>
        <w:szCs w:val="22"/>
      </w:rPr>
    </w:pPr>
    <w:r w:rsidRPr="00D672E8">
      <w:rPr>
        <w:rFonts w:ascii="Andes" w:hAnsi="Andes"/>
        <w:sz w:val="22"/>
        <w:szCs w:val="22"/>
      </w:rPr>
      <w:t>Annex XIV.   Partenariats Public-Privé</w:t>
    </w:r>
    <w:r w:rsidRPr="00D672E8">
      <w:rPr>
        <w:rFonts w:ascii="Andes" w:hAnsi="Andes"/>
        <w:sz w:val="22"/>
        <w:szCs w:val="22"/>
      </w:rPr>
      <w:tab/>
    </w:r>
  </w:p>
  <w:p w14:paraId="23D9655C" w14:textId="6BC5B8E0" w:rsidR="00A41794" w:rsidRPr="008A4406" w:rsidRDefault="00A41794" w:rsidP="008A4406">
    <w:pPr>
      <w:pStyle w:val="En-tt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CCC2" w14:textId="77777777" w:rsidR="00A41794" w:rsidRDefault="00A41794">
    <w:r>
      <w: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75299" w14:textId="77777777" w:rsidR="00A41794" w:rsidRPr="0080755B" w:rsidRDefault="00A41794" w:rsidP="008A4406">
    <w:pPr>
      <w:pStyle w:val="En-tte"/>
      <w:pBdr>
        <w:bottom w:val="single" w:sz="4" w:space="1" w:color="auto"/>
      </w:pBdr>
      <w:tabs>
        <w:tab w:val="clear" w:pos="4513"/>
      </w:tabs>
      <w:ind w:left="1260" w:hanging="1260"/>
      <w:rPr>
        <w:rFonts w:ascii="Andes" w:hAnsi="Andes"/>
        <w:sz w:val="22"/>
        <w:szCs w:val="22"/>
      </w:rPr>
    </w:pPr>
    <w:bookmarkStart w:id="3601" w:name="_Hlk5183882"/>
    <w:r w:rsidRPr="0080755B">
      <w:rPr>
        <w:rFonts w:ascii="Andes" w:hAnsi="Andes"/>
        <w:sz w:val="22"/>
        <w:szCs w:val="22"/>
      </w:rPr>
      <w:t>A</w:t>
    </w:r>
    <w:r>
      <w:rPr>
        <w:rFonts w:ascii="Andes" w:hAnsi="Andes"/>
        <w:sz w:val="22"/>
        <w:szCs w:val="22"/>
      </w:rPr>
      <w:t xml:space="preserve">nnexe XV.  </w:t>
    </w:r>
    <w:r>
      <w:rPr>
        <w:rFonts w:ascii="Andes" w:hAnsi="Andes"/>
        <w:sz w:val="22"/>
        <w:szCs w:val="22"/>
      </w:rPr>
      <w:tab/>
      <w:t>Accords-</w:t>
    </w:r>
    <w:r w:rsidRPr="0080755B">
      <w:rPr>
        <w:rFonts w:ascii="Andes" w:hAnsi="Andes"/>
        <w:sz w:val="22"/>
        <w:szCs w:val="22"/>
      </w:rPr>
      <w:t>Cadres</w:t>
    </w:r>
    <w:r w:rsidRPr="0080755B">
      <w:rPr>
        <w:rFonts w:ascii="Andes" w:hAnsi="Andes"/>
        <w:sz w:val="22"/>
        <w:szCs w:val="22"/>
      </w:rPr>
      <w:tab/>
    </w:r>
    <w:bookmarkEnd w:id="3601"/>
    <w:r w:rsidRPr="0080755B">
      <w:rPr>
        <w:rFonts w:ascii="Andes" w:hAnsi="Andes"/>
        <w:sz w:val="22"/>
        <w:szCs w:val="22"/>
      </w:rPr>
      <w:tab/>
    </w:r>
  </w:p>
  <w:p w14:paraId="4088BD67" w14:textId="08BDF7C7" w:rsidR="00A41794" w:rsidRPr="008A4406" w:rsidRDefault="00A41794" w:rsidP="008A4406">
    <w:pPr>
      <w:pStyle w:val="En-tt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20C82" w14:textId="7BEA0E8B" w:rsidR="00A41794" w:rsidRPr="008A4406" w:rsidRDefault="00A41794" w:rsidP="008A440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F0D6E" w14:textId="77777777" w:rsidR="00A41794" w:rsidRPr="0076515F" w:rsidRDefault="00A41794" w:rsidP="0076515F">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E8004" w14:textId="77777777" w:rsidR="00A41794" w:rsidRPr="00336526" w:rsidRDefault="00A41794" w:rsidP="00336526">
    <w:pPr>
      <w:pStyle w:val="En-tte"/>
      <w:pBdr>
        <w:bottom w:val="single" w:sz="4" w:space="1" w:color="auto"/>
      </w:pBdr>
      <w:rPr>
        <w:rFonts w:ascii="Andes" w:hAnsi="Andes"/>
        <w:sz w:val="22"/>
        <w:szCs w:val="22"/>
      </w:rPr>
    </w:pPr>
    <w:r>
      <w:rPr>
        <w:rFonts w:ascii="Andes" w:hAnsi="Andes"/>
        <w:sz w:val="22"/>
      </w:rPr>
      <w:t>Section II.  Considérations générales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4C753" w14:textId="0D8C941A" w:rsidR="00A41794" w:rsidRPr="00A23131" w:rsidRDefault="00A41794" w:rsidP="00336526">
    <w:pPr>
      <w:pStyle w:val="En-tte"/>
      <w:pBdr>
        <w:bottom w:val="single" w:sz="4" w:space="1" w:color="auto"/>
      </w:pBdr>
      <w:rPr>
        <w:rFonts w:ascii="Andes" w:hAnsi="Andes"/>
        <w:sz w:val="22"/>
        <w:szCs w:val="22"/>
      </w:rPr>
    </w:pPr>
    <w:r w:rsidRPr="00A23131">
      <w:rPr>
        <w:rFonts w:ascii="Andes" w:hAnsi="Andes"/>
        <w:sz w:val="22"/>
        <w:szCs w:val="22"/>
      </w:rPr>
      <w:t>Section III. Gouvernance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DF281" w14:textId="77777777" w:rsidR="00A41794" w:rsidRPr="0076515F" w:rsidRDefault="00A41794" w:rsidP="0076515F">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21C9A" w14:textId="2D357F68" w:rsidR="00A41794" w:rsidRPr="00A23131" w:rsidRDefault="00A41794" w:rsidP="00336526">
    <w:pPr>
      <w:pStyle w:val="En-tte"/>
      <w:pBdr>
        <w:bottom w:val="single" w:sz="4" w:space="1" w:color="auto"/>
      </w:pBdr>
      <w:rPr>
        <w:rFonts w:ascii="Andes" w:hAnsi="Andes"/>
        <w:sz w:val="22"/>
        <w:szCs w:val="22"/>
      </w:rPr>
    </w:pPr>
    <w:r w:rsidRPr="00A23131">
      <w:rPr>
        <w:rFonts w:ascii="Andes" w:hAnsi="Andes"/>
        <w:sz w:val="22"/>
        <w:szCs w:val="22"/>
      </w:rPr>
      <w:t>Section V. Dispositions relatives à la passation des march</w:t>
    </w:r>
    <w:r>
      <w:rPr>
        <w:rFonts w:ascii="Andes" w:hAnsi="Andes"/>
        <w:sz w:val="22"/>
        <w:szCs w:val="22"/>
      </w:rPr>
      <w:t>és et contrats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2D8EF" w14:textId="77777777" w:rsidR="00A41794" w:rsidRPr="00754CDA" w:rsidRDefault="00A41794" w:rsidP="006D600B">
    <w:pPr>
      <w:pStyle w:val="En-tte"/>
      <w:pBdr>
        <w:bottom w:val="single" w:sz="4" w:space="0" w:color="auto"/>
      </w:pBdr>
      <w:rPr>
        <w:rFonts w:ascii="Andes" w:hAnsi="Andes"/>
        <w:sz w:val="22"/>
        <w:szCs w:val="22"/>
      </w:rPr>
    </w:pPr>
    <w:r w:rsidRPr="00754CDA">
      <w:rPr>
        <w:rFonts w:ascii="Andes" w:hAnsi="Andes"/>
        <w:sz w:val="22"/>
        <w:szCs w:val="22"/>
      </w:rPr>
      <w:t>Section VI.  Méthodes de sé</w:t>
    </w:r>
    <w:r>
      <w:rPr>
        <w:rFonts w:ascii="Andes" w:hAnsi="Andes"/>
        <w:sz w:val="22"/>
        <w:szCs w:val="22"/>
      </w:rPr>
      <w:t>lection agréées : marchés de Fournitures, de Travaux et de Services autres que des</w:t>
    </w:r>
    <w:r w:rsidRPr="00754CDA">
      <w:rPr>
        <w:rFonts w:ascii="Andes" w:hAnsi="Andes"/>
        <w:sz w:val="22"/>
        <w:szCs w:val="22"/>
      </w:rPr>
      <w:t xml:space="preserve"> Services</w:t>
    </w:r>
    <w:r>
      <w:rPr>
        <w:rFonts w:ascii="Andes" w:hAnsi="Andes"/>
        <w:sz w:val="22"/>
        <w:szCs w:val="22"/>
      </w:rPr>
      <w:t xml:space="preserve"> de Consultants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01D45" w14:textId="6F1CEDA8" w:rsidR="00A41794" w:rsidRPr="00C445F2" w:rsidRDefault="00A41794" w:rsidP="00421614">
    <w:pPr>
      <w:pStyle w:val="En-tte"/>
      <w:pBdr>
        <w:bottom w:val="single" w:sz="4" w:space="1" w:color="auto"/>
      </w:pBdr>
      <w:rPr>
        <w:rFonts w:ascii="Andes" w:hAnsi="Andes"/>
        <w:sz w:val="22"/>
        <w:szCs w:val="22"/>
      </w:rPr>
    </w:pPr>
    <w:r w:rsidRPr="0058002B">
      <w:rPr>
        <w:rFonts w:ascii="Andes" w:hAnsi="Andes"/>
        <w:sz w:val="22"/>
        <w:szCs w:val="22"/>
      </w:rPr>
      <w:t xml:space="preserve"> </w:t>
    </w:r>
    <w:r w:rsidRPr="00332FCD">
      <w:rPr>
        <w:rFonts w:ascii="Andes" w:hAnsi="Andes"/>
        <w:sz w:val="22"/>
        <w:szCs w:val="22"/>
      </w:rPr>
      <w:t xml:space="preserve">Section VII.  </w:t>
    </w:r>
    <w:r w:rsidRPr="00B11DEF">
      <w:rPr>
        <w:rFonts w:ascii="Andes" w:hAnsi="Andes"/>
        <w:sz w:val="22"/>
        <w:szCs w:val="22"/>
      </w:rPr>
      <w:t xml:space="preserve">Méthodes de </w:t>
    </w:r>
    <w:r w:rsidRPr="00C445F2">
      <w:rPr>
        <w:rFonts w:ascii="Andes" w:hAnsi="Andes"/>
        <w:sz w:val="22"/>
        <w:szCs w:val="22"/>
      </w:rPr>
      <w:t>s</w:t>
    </w:r>
    <w:r>
      <w:rPr>
        <w:rFonts w:ascii="Andes" w:hAnsi="Andes"/>
        <w:sz w:val="22"/>
        <w:szCs w:val="22"/>
      </w:rPr>
      <w:t>é</w:t>
    </w:r>
    <w:r w:rsidRPr="00B11DEF">
      <w:rPr>
        <w:rFonts w:ascii="Andes" w:hAnsi="Andes"/>
        <w:sz w:val="22"/>
        <w:szCs w:val="22"/>
      </w:rPr>
      <w:t>lection agr</w:t>
    </w:r>
    <w:r>
      <w:rPr>
        <w:rFonts w:ascii="Andes" w:hAnsi="Andes"/>
        <w:sz w:val="22"/>
        <w:szCs w:val="22"/>
      </w:rPr>
      <w:t>éée</w:t>
    </w:r>
    <w:r w:rsidRPr="00B11DEF">
      <w:rPr>
        <w:rFonts w:ascii="Andes" w:hAnsi="Andes"/>
        <w:sz w:val="22"/>
        <w:szCs w:val="22"/>
      </w:rPr>
      <w:t>s pour les Ser</w:t>
    </w:r>
    <w:r>
      <w:rPr>
        <w:rFonts w:ascii="Andes" w:hAnsi="Andes"/>
        <w:sz w:val="22"/>
        <w:szCs w:val="22"/>
      </w:rPr>
      <w:t>v</w:t>
    </w:r>
    <w:r w:rsidRPr="00B11DEF">
      <w:rPr>
        <w:rFonts w:ascii="Andes" w:hAnsi="Andes"/>
        <w:sz w:val="22"/>
        <w:szCs w:val="22"/>
      </w:rPr>
      <w:t>ices d</w:t>
    </w:r>
    <w:r>
      <w:rPr>
        <w:rFonts w:ascii="Andes" w:hAnsi="Andes"/>
        <w:sz w:val="22"/>
        <w:szCs w:val="22"/>
      </w:rPr>
      <w:t>e Consultants</w:t>
    </w:r>
  </w:p>
  <w:p w14:paraId="1E1FBEB4" w14:textId="77777777" w:rsidR="00A41794" w:rsidRPr="00E74B91" w:rsidRDefault="00A41794" w:rsidP="00620A42">
    <w:pPr>
      <w:pStyle w:val="En-tte"/>
      <w:ind w:left="90"/>
      <w:jc w:val="center"/>
      <w:rPr>
        <w:rFonts w:ascii="Arial" w:hAnsi="Arial" w:cs="Arial"/>
        <w:b/>
        <w:color w:val="4F81BD" w:themeColor="accent1"/>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51547026"/>
    <w:lvl w:ilvl="0">
      <w:start w:val="1"/>
      <w:numFmt w:val="bullet"/>
      <w:pStyle w:val="Listepuces3"/>
      <w:lvlText w:val=""/>
      <w:lvlJc w:val="left"/>
      <w:pPr>
        <w:tabs>
          <w:tab w:val="num" w:pos="1895"/>
        </w:tabs>
        <w:ind w:left="1818" w:hanging="283"/>
      </w:pPr>
      <w:rPr>
        <w:rFonts w:ascii="Symbol" w:hAnsi="Symbol" w:hint="default"/>
      </w:rPr>
    </w:lvl>
  </w:abstractNum>
  <w:abstractNum w:abstractNumId="1" w15:restartNumberingAfterBreak="0">
    <w:nsid w:val="FFFFFF83"/>
    <w:multiLevelType w:val="singleLevel"/>
    <w:tmpl w:val="FE1890B4"/>
    <w:lvl w:ilvl="0">
      <w:start w:val="1"/>
      <w:numFmt w:val="bullet"/>
      <w:pStyle w:val="Listepuces2"/>
      <w:lvlText w:val=""/>
      <w:lvlJc w:val="left"/>
      <w:pPr>
        <w:tabs>
          <w:tab w:val="num" w:pos="1494"/>
        </w:tabs>
        <w:ind w:left="1418" w:hanging="284"/>
      </w:pPr>
      <w:rPr>
        <w:rFonts w:ascii="Symbol" w:hAnsi="Symbol" w:hint="default"/>
      </w:rPr>
    </w:lvl>
  </w:abstractNum>
  <w:abstractNum w:abstractNumId="2" w15:restartNumberingAfterBreak="0">
    <w:nsid w:val="001D7D49"/>
    <w:multiLevelType w:val="hybridMultilevel"/>
    <w:tmpl w:val="7144CC5A"/>
    <w:lvl w:ilvl="0" w:tplc="9D4879A6">
      <w:start w:val="1"/>
      <w:numFmt w:val="decimal"/>
      <w:lvlText w:val="6.%1"/>
      <w:lvlJc w:val="right"/>
      <w:pPr>
        <w:ind w:left="720" w:hanging="360"/>
      </w:pPr>
      <w:rPr>
        <w:rFonts w:hint="default"/>
        <w:b w:val="0"/>
        <w:i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653FDE"/>
    <w:multiLevelType w:val="hybridMultilevel"/>
    <w:tmpl w:val="B3008816"/>
    <w:lvl w:ilvl="0" w:tplc="3BAA6D54">
      <w:start w:val="1"/>
      <w:numFmt w:val="bullet"/>
      <w:pStyle w:val="bulletlevel2"/>
      <w:lvlText w:val="–"/>
      <w:lvlJc w:val="left"/>
      <w:pPr>
        <w:tabs>
          <w:tab w:val="num" w:pos="1440"/>
        </w:tabs>
        <w:ind w:left="1440" w:hanging="360"/>
      </w:pPr>
      <w:rPr>
        <w:rFonts w:ascii="Arial" w:hAnsi="Arial" w:hint="default"/>
      </w:rPr>
    </w:lvl>
    <w:lvl w:ilvl="1" w:tplc="C6FAF6A4">
      <w:start w:val="1"/>
      <w:numFmt w:val="bullet"/>
      <w:lvlText w:val="o"/>
      <w:lvlJc w:val="left"/>
      <w:pPr>
        <w:tabs>
          <w:tab w:val="num" w:pos="2160"/>
        </w:tabs>
        <w:ind w:left="2160" w:hanging="360"/>
      </w:pPr>
      <w:rPr>
        <w:rFonts w:ascii="Courier New" w:hAnsi="Courier New" w:hint="default"/>
      </w:rPr>
    </w:lvl>
    <w:lvl w:ilvl="2" w:tplc="883AA5EE">
      <w:start w:val="1"/>
      <w:numFmt w:val="bullet"/>
      <w:lvlText w:val=""/>
      <w:lvlJc w:val="left"/>
      <w:pPr>
        <w:tabs>
          <w:tab w:val="num" w:pos="2880"/>
        </w:tabs>
        <w:ind w:left="2880" w:hanging="360"/>
      </w:pPr>
      <w:rPr>
        <w:rFonts w:ascii="Wingdings" w:hAnsi="Wingdings" w:hint="default"/>
      </w:rPr>
    </w:lvl>
    <w:lvl w:ilvl="3" w:tplc="0FCEB0F4">
      <w:start w:val="1"/>
      <w:numFmt w:val="bullet"/>
      <w:lvlText w:val=""/>
      <w:lvlJc w:val="left"/>
      <w:pPr>
        <w:tabs>
          <w:tab w:val="num" w:pos="3600"/>
        </w:tabs>
        <w:ind w:left="3600" w:hanging="360"/>
      </w:pPr>
      <w:rPr>
        <w:rFonts w:ascii="Symbol" w:hAnsi="Symbol" w:hint="default"/>
      </w:rPr>
    </w:lvl>
    <w:lvl w:ilvl="4" w:tplc="F4EA36F8">
      <w:start w:val="1"/>
      <w:numFmt w:val="bullet"/>
      <w:lvlText w:val="o"/>
      <w:lvlJc w:val="left"/>
      <w:pPr>
        <w:tabs>
          <w:tab w:val="num" w:pos="4320"/>
        </w:tabs>
        <w:ind w:left="4320" w:hanging="360"/>
      </w:pPr>
      <w:rPr>
        <w:rFonts w:ascii="Courier New" w:hAnsi="Courier New" w:hint="default"/>
      </w:rPr>
    </w:lvl>
    <w:lvl w:ilvl="5" w:tplc="16064D1C">
      <w:start w:val="1"/>
      <w:numFmt w:val="bullet"/>
      <w:lvlText w:val=""/>
      <w:lvlJc w:val="left"/>
      <w:pPr>
        <w:tabs>
          <w:tab w:val="num" w:pos="5040"/>
        </w:tabs>
        <w:ind w:left="5040" w:hanging="360"/>
      </w:pPr>
      <w:rPr>
        <w:rFonts w:ascii="Wingdings" w:hAnsi="Wingdings" w:hint="default"/>
      </w:rPr>
    </w:lvl>
    <w:lvl w:ilvl="6" w:tplc="95B8487E" w:tentative="1">
      <w:start w:val="1"/>
      <w:numFmt w:val="bullet"/>
      <w:lvlText w:val=""/>
      <w:lvlJc w:val="left"/>
      <w:pPr>
        <w:tabs>
          <w:tab w:val="num" w:pos="5760"/>
        </w:tabs>
        <w:ind w:left="5760" w:hanging="360"/>
      </w:pPr>
      <w:rPr>
        <w:rFonts w:ascii="Symbol" w:hAnsi="Symbol" w:hint="default"/>
      </w:rPr>
    </w:lvl>
    <w:lvl w:ilvl="7" w:tplc="9682A5BE" w:tentative="1">
      <w:start w:val="1"/>
      <w:numFmt w:val="bullet"/>
      <w:lvlText w:val="o"/>
      <w:lvlJc w:val="left"/>
      <w:pPr>
        <w:tabs>
          <w:tab w:val="num" w:pos="6480"/>
        </w:tabs>
        <w:ind w:left="6480" w:hanging="360"/>
      </w:pPr>
      <w:rPr>
        <w:rFonts w:ascii="Courier New" w:hAnsi="Courier New" w:hint="default"/>
      </w:rPr>
    </w:lvl>
    <w:lvl w:ilvl="8" w:tplc="0A863462"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17E6A09"/>
    <w:multiLevelType w:val="multilevel"/>
    <w:tmpl w:val="3A867808"/>
    <w:lvl w:ilvl="0">
      <w:start w:val="1"/>
      <w:numFmt w:val="decimal"/>
      <w:lvlText w:val="%1."/>
      <w:lvlJc w:val="left"/>
      <w:pPr>
        <w:ind w:left="2040" w:hanging="629"/>
      </w:pPr>
      <w:rPr>
        <w:rFonts w:ascii="Calibri" w:hAnsi="Calibri" w:hint="default"/>
        <w:b/>
        <w:bCs/>
        <w:i w:val="0"/>
        <w:iCs w:val="0"/>
        <w:color w:val="C45811"/>
        <w:spacing w:val="-2"/>
        <w:w w:val="99"/>
        <w:sz w:val="32"/>
        <w:szCs w:val="32"/>
        <w:lang w:val="en-US" w:eastAsia="en-US" w:bidi="ar-SA"/>
      </w:rPr>
    </w:lvl>
    <w:lvl w:ilvl="1">
      <w:start w:val="1"/>
      <w:numFmt w:val="decimal"/>
      <w:lvlText w:val="%1.%2"/>
      <w:lvlJc w:val="left"/>
      <w:pPr>
        <w:ind w:left="2045" w:hanging="639"/>
      </w:pPr>
      <w:rPr>
        <w:rFonts w:ascii="Calibri" w:hAnsi="Calibri" w:hint="default"/>
        <w:b w:val="0"/>
        <w:bCs w:val="0"/>
        <w:i w:val="0"/>
        <w:iCs w:val="0"/>
        <w:spacing w:val="0"/>
        <w:w w:val="100"/>
        <w:sz w:val="22"/>
        <w:szCs w:val="22"/>
        <w:lang w:val="en-US" w:eastAsia="en-US" w:bidi="ar-SA"/>
      </w:rPr>
    </w:lvl>
    <w:lvl w:ilvl="2">
      <w:start w:val="1"/>
      <w:numFmt w:val="lowerLetter"/>
      <w:lvlText w:val="%3."/>
      <w:lvlJc w:val="left"/>
      <w:pPr>
        <w:ind w:left="2767" w:hanging="248"/>
      </w:pPr>
      <w:rPr>
        <w:rFonts w:ascii="Calibri" w:hAnsi="Calibri" w:hint="default"/>
        <w:b w:val="0"/>
        <w:bCs w:val="0"/>
        <w:i w:val="0"/>
        <w:iCs w:val="0"/>
        <w:spacing w:val="-1"/>
        <w:w w:val="100"/>
        <w:sz w:val="22"/>
        <w:szCs w:val="22"/>
        <w:lang w:val="en-US" w:eastAsia="en-US" w:bidi="ar-SA"/>
      </w:rPr>
    </w:lvl>
    <w:lvl w:ilvl="3">
      <w:numFmt w:val="bullet"/>
      <w:lvlText w:val="•"/>
      <w:lvlJc w:val="left"/>
      <w:pPr>
        <w:ind w:left="4866" w:hanging="248"/>
      </w:pPr>
      <w:rPr>
        <w:lang w:val="en-US" w:eastAsia="en-US" w:bidi="ar-SA"/>
      </w:rPr>
    </w:lvl>
    <w:lvl w:ilvl="4">
      <w:numFmt w:val="bullet"/>
      <w:lvlText w:val="•"/>
      <w:lvlJc w:val="left"/>
      <w:pPr>
        <w:ind w:left="5920" w:hanging="248"/>
      </w:pPr>
      <w:rPr>
        <w:lang w:val="en-US" w:eastAsia="en-US" w:bidi="ar-SA"/>
      </w:rPr>
    </w:lvl>
    <w:lvl w:ilvl="5">
      <w:numFmt w:val="bullet"/>
      <w:lvlText w:val="•"/>
      <w:lvlJc w:val="left"/>
      <w:pPr>
        <w:ind w:left="6973" w:hanging="248"/>
      </w:pPr>
      <w:rPr>
        <w:lang w:val="en-US" w:eastAsia="en-US" w:bidi="ar-SA"/>
      </w:rPr>
    </w:lvl>
    <w:lvl w:ilvl="6">
      <w:numFmt w:val="bullet"/>
      <w:lvlText w:val="•"/>
      <w:lvlJc w:val="left"/>
      <w:pPr>
        <w:ind w:left="8026" w:hanging="248"/>
      </w:pPr>
      <w:rPr>
        <w:lang w:val="en-US" w:eastAsia="en-US" w:bidi="ar-SA"/>
      </w:rPr>
    </w:lvl>
    <w:lvl w:ilvl="7">
      <w:numFmt w:val="bullet"/>
      <w:lvlText w:val="•"/>
      <w:lvlJc w:val="left"/>
      <w:pPr>
        <w:ind w:left="9080" w:hanging="248"/>
      </w:pPr>
      <w:rPr>
        <w:lang w:val="en-US" w:eastAsia="en-US" w:bidi="ar-SA"/>
      </w:rPr>
    </w:lvl>
    <w:lvl w:ilvl="8">
      <w:numFmt w:val="bullet"/>
      <w:lvlText w:val="•"/>
      <w:lvlJc w:val="left"/>
      <w:pPr>
        <w:ind w:left="10133" w:hanging="248"/>
      </w:pPr>
      <w:rPr>
        <w:lang w:val="en-US" w:eastAsia="en-US" w:bidi="ar-SA"/>
      </w:rPr>
    </w:lvl>
  </w:abstractNum>
  <w:abstractNum w:abstractNumId="5" w15:restartNumberingAfterBreak="0">
    <w:nsid w:val="018C0711"/>
    <w:multiLevelType w:val="hybridMultilevel"/>
    <w:tmpl w:val="E514DABE"/>
    <w:lvl w:ilvl="0" w:tplc="04090019">
      <w:start w:val="1"/>
      <w:numFmt w:val="lowerLetter"/>
      <w:lvlText w:val="%1."/>
      <w:lvlJc w:val="left"/>
      <w:pPr>
        <w:ind w:left="1267"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B232D7"/>
    <w:multiLevelType w:val="hybridMultilevel"/>
    <w:tmpl w:val="31D6680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1F54261"/>
    <w:multiLevelType w:val="multilevel"/>
    <w:tmpl w:val="419C629E"/>
    <w:lvl w:ilvl="0">
      <w:start w:val="1"/>
      <w:numFmt w:val="decimal"/>
      <w:pStyle w:val="ITBClauseHeader"/>
      <w:isLgl/>
      <w:lvlText w:val="%1."/>
      <w:lvlJc w:val="left"/>
      <w:pPr>
        <w:tabs>
          <w:tab w:val="num" w:pos="432"/>
        </w:tabs>
        <w:ind w:left="432" w:hanging="432"/>
      </w:pPr>
      <w:rPr>
        <w:b/>
        <w:i w:val="0"/>
        <w:sz w:val="24"/>
      </w:rPr>
    </w:lvl>
    <w:lvl w:ilvl="1">
      <w:start w:val="1"/>
      <w:numFmt w:val="decimal"/>
      <w:pStyle w:val="ITBSub-Clause"/>
      <w:isLgl/>
      <w:lvlText w:val="%1.%2"/>
      <w:lvlJc w:val="left"/>
      <w:pPr>
        <w:tabs>
          <w:tab w:val="num" w:pos="504"/>
        </w:tabs>
        <w:ind w:left="504" w:hanging="504"/>
      </w:pPr>
      <w:rPr>
        <w:rFonts w:ascii="Times New Roman" w:hAnsi="Times New Roman" w:hint="default"/>
        <w:b w:val="0"/>
        <w:i w:val="0"/>
        <w:sz w:val="24"/>
      </w:rPr>
    </w:lvl>
    <w:lvl w:ilvl="2">
      <w:start w:val="1"/>
      <w:numFmt w:val="lowerLetter"/>
      <w:pStyle w:val="ITBSub-ClauseaList"/>
      <w:lvlText w:val="(%3)"/>
      <w:lvlJc w:val="left"/>
      <w:pPr>
        <w:tabs>
          <w:tab w:val="num" w:pos="936"/>
        </w:tabs>
        <w:ind w:left="936" w:hanging="432"/>
      </w:pPr>
      <w:rPr>
        <w:rFonts w:ascii="Times New Roman" w:hAnsi="Times New Roman" w:hint="default"/>
        <w:b w:val="0"/>
        <w:i w:val="0"/>
        <w:sz w:val="24"/>
      </w:rPr>
    </w:lvl>
    <w:lvl w:ilvl="3">
      <w:start w:val="1"/>
      <w:numFmt w:val="lowerRoman"/>
      <w:pStyle w:val="ITBSub-ClauseiListinITBGCC"/>
      <w:lvlText w:val="(%4)"/>
      <w:lvlJc w:val="left"/>
      <w:pPr>
        <w:tabs>
          <w:tab w:val="num" w:pos="1656"/>
        </w:tabs>
        <w:ind w:left="1440"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213327D"/>
    <w:multiLevelType w:val="hybridMultilevel"/>
    <w:tmpl w:val="488C889A"/>
    <w:styleLink w:val="1111113"/>
    <w:lvl w:ilvl="0" w:tplc="99827F7C">
      <w:start w:val="6"/>
      <w:numFmt w:val="bullet"/>
      <w:lvlText w:val="-"/>
      <w:lvlJc w:val="left"/>
      <w:pPr>
        <w:tabs>
          <w:tab w:val="num" w:pos="760"/>
        </w:tabs>
        <w:ind w:left="760" w:hanging="360"/>
      </w:pPr>
      <w:rPr>
        <w:rFonts w:ascii="Batang" w:eastAsia="Batang" w:hAnsi="Batang" w:cs="Times New Roman" w:hint="eastAsia"/>
      </w:rPr>
    </w:lvl>
    <w:lvl w:ilvl="1" w:tplc="4F82843C">
      <w:start w:val="1"/>
      <w:numFmt w:val="decimal"/>
      <w:lvlText w:val="%2."/>
      <w:lvlJc w:val="left"/>
      <w:pPr>
        <w:tabs>
          <w:tab w:val="num" w:pos="1440"/>
        </w:tabs>
        <w:ind w:left="1440" w:hanging="360"/>
      </w:pPr>
    </w:lvl>
    <w:lvl w:ilvl="2" w:tplc="77CA0158">
      <w:start w:val="1"/>
      <w:numFmt w:val="decimal"/>
      <w:lvlText w:val="%3."/>
      <w:lvlJc w:val="left"/>
      <w:pPr>
        <w:tabs>
          <w:tab w:val="num" w:pos="2160"/>
        </w:tabs>
        <w:ind w:left="2160" w:hanging="360"/>
      </w:pPr>
    </w:lvl>
    <w:lvl w:ilvl="3" w:tplc="CEA08BC4">
      <w:start w:val="1"/>
      <w:numFmt w:val="decimal"/>
      <w:lvlText w:val="%4."/>
      <w:lvlJc w:val="left"/>
      <w:pPr>
        <w:tabs>
          <w:tab w:val="num" w:pos="2880"/>
        </w:tabs>
        <w:ind w:left="2880" w:hanging="360"/>
      </w:pPr>
    </w:lvl>
    <w:lvl w:ilvl="4" w:tplc="566A7208">
      <w:start w:val="1"/>
      <w:numFmt w:val="decimal"/>
      <w:lvlText w:val="%5."/>
      <w:lvlJc w:val="left"/>
      <w:pPr>
        <w:tabs>
          <w:tab w:val="num" w:pos="3600"/>
        </w:tabs>
        <w:ind w:left="3600" w:hanging="360"/>
      </w:pPr>
    </w:lvl>
    <w:lvl w:ilvl="5" w:tplc="32CAEF7A">
      <w:start w:val="1"/>
      <w:numFmt w:val="decimal"/>
      <w:lvlText w:val="%6."/>
      <w:lvlJc w:val="left"/>
      <w:pPr>
        <w:tabs>
          <w:tab w:val="num" w:pos="4320"/>
        </w:tabs>
        <w:ind w:left="4320" w:hanging="360"/>
      </w:pPr>
    </w:lvl>
    <w:lvl w:ilvl="6" w:tplc="CDC0E158">
      <w:start w:val="1"/>
      <w:numFmt w:val="decimal"/>
      <w:lvlText w:val="%7."/>
      <w:lvlJc w:val="left"/>
      <w:pPr>
        <w:tabs>
          <w:tab w:val="num" w:pos="5040"/>
        </w:tabs>
        <w:ind w:left="5040" w:hanging="360"/>
      </w:pPr>
    </w:lvl>
    <w:lvl w:ilvl="7" w:tplc="ADCACEDC">
      <w:start w:val="1"/>
      <w:numFmt w:val="decimal"/>
      <w:lvlText w:val="%8."/>
      <w:lvlJc w:val="left"/>
      <w:pPr>
        <w:tabs>
          <w:tab w:val="num" w:pos="5760"/>
        </w:tabs>
        <w:ind w:left="5760" w:hanging="360"/>
      </w:pPr>
    </w:lvl>
    <w:lvl w:ilvl="8" w:tplc="87683062">
      <w:start w:val="1"/>
      <w:numFmt w:val="decimal"/>
      <w:lvlText w:val="%9."/>
      <w:lvlJc w:val="left"/>
      <w:pPr>
        <w:tabs>
          <w:tab w:val="num" w:pos="6480"/>
        </w:tabs>
        <w:ind w:left="6480" w:hanging="360"/>
      </w:pPr>
    </w:lvl>
  </w:abstractNum>
  <w:abstractNum w:abstractNumId="9" w15:restartNumberingAfterBreak="0">
    <w:nsid w:val="026D386C"/>
    <w:multiLevelType w:val="hybridMultilevel"/>
    <w:tmpl w:val="1562BCA2"/>
    <w:lvl w:ilvl="0" w:tplc="562EB494">
      <w:start w:val="1"/>
      <w:numFmt w:val="decimal"/>
      <w:lvlText w:val="1.%1"/>
      <w:lvlJc w:val="left"/>
      <w:pPr>
        <w:ind w:left="450" w:hanging="360"/>
      </w:pPr>
      <w:rPr>
        <w:rFonts w:ascii="Andes" w:hAnsi="Andes" w:hint="default"/>
        <w:b w:val="0"/>
        <w:i w:val="0"/>
        <w:strike w:val="0"/>
        <w:sz w:val="22"/>
        <w:szCs w:val="22"/>
      </w:rPr>
    </w:lvl>
    <w:lvl w:ilvl="1" w:tplc="14090003">
      <w:start w:val="1"/>
      <w:numFmt w:val="lowerLetter"/>
      <w:lvlText w:val="%2)"/>
      <w:lvlJc w:val="left"/>
      <w:pPr>
        <w:ind w:left="3420" w:hanging="360"/>
      </w:pPr>
    </w:lvl>
    <w:lvl w:ilvl="2" w:tplc="EBDCF4C8">
      <w:start w:val="1"/>
      <w:numFmt w:val="lowerRoman"/>
      <w:lvlText w:val="(%3)"/>
      <w:lvlJc w:val="left"/>
      <w:pPr>
        <w:ind w:left="4680" w:hanging="720"/>
      </w:pPr>
      <w:rPr>
        <w:rFonts w:hint="default"/>
      </w:rPr>
    </w:lvl>
    <w:lvl w:ilvl="3" w:tplc="14090001" w:tentative="1">
      <w:start w:val="1"/>
      <w:numFmt w:val="decimal"/>
      <w:lvlText w:val="%4."/>
      <w:lvlJc w:val="left"/>
      <w:pPr>
        <w:ind w:left="4860" w:hanging="360"/>
      </w:pPr>
    </w:lvl>
    <w:lvl w:ilvl="4" w:tplc="14090003" w:tentative="1">
      <w:start w:val="1"/>
      <w:numFmt w:val="lowerLetter"/>
      <w:lvlText w:val="%5."/>
      <w:lvlJc w:val="left"/>
      <w:pPr>
        <w:ind w:left="5580" w:hanging="360"/>
      </w:pPr>
    </w:lvl>
    <w:lvl w:ilvl="5" w:tplc="14090005" w:tentative="1">
      <w:start w:val="1"/>
      <w:numFmt w:val="lowerRoman"/>
      <w:lvlText w:val="%6."/>
      <w:lvlJc w:val="right"/>
      <w:pPr>
        <w:ind w:left="6300" w:hanging="180"/>
      </w:pPr>
    </w:lvl>
    <w:lvl w:ilvl="6" w:tplc="14090001" w:tentative="1">
      <w:start w:val="1"/>
      <w:numFmt w:val="decimal"/>
      <w:lvlText w:val="%7."/>
      <w:lvlJc w:val="left"/>
      <w:pPr>
        <w:ind w:left="7020" w:hanging="360"/>
      </w:pPr>
    </w:lvl>
    <w:lvl w:ilvl="7" w:tplc="14090003" w:tentative="1">
      <w:start w:val="1"/>
      <w:numFmt w:val="lowerLetter"/>
      <w:lvlText w:val="%8."/>
      <w:lvlJc w:val="left"/>
      <w:pPr>
        <w:ind w:left="7740" w:hanging="360"/>
      </w:pPr>
    </w:lvl>
    <w:lvl w:ilvl="8" w:tplc="14090005" w:tentative="1">
      <w:start w:val="1"/>
      <w:numFmt w:val="lowerRoman"/>
      <w:lvlText w:val="%9."/>
      <w:lvlJc w:val="right"/>
      <w:pPr>
        <w:ind w:left="8460" w:hanging="180"/>
      </w:pPr>
    </w:lvl>
  </w:abstractNum>
  <w:abstractNum w:abstractNumId="10" w15:restartNumberingAfterBreak="0">
    <w:nsid w:val="02936F0E"/>
    <w:multiLevelType w:val="hybridMultilevel"/>
    <w:tmpl w:val="5B206866"/>
    <w:lvl w:ilvl="0" w:tplc="562EB494">
      <w:start w:val="1"/>
      <w:numFmt w:val="decimal"/>
      <w:lvlText w:val="1.%1"/>
      <w:lvlJc w:val="left"/>
      <w:pPr>
        <w:ind w:left="450" w:hanging="360"/>
      </w:pPr>
      <w:rPr>
        <w:rFonts w:ascii="Andes" w:hAnsi="Andes" w:hint="default"/>
        <w:b w:val="0"/>
        <w:i w:val="0"/>
        <w:strike w:val="0"/>
        <w:sz w:val="22"/>
        <w:szCs w:val="22"/>
      </w:rPr>
    </w:lvl>
    <w:lvl w:ilvl="1" w:tplc="14090003">
      <w:start w:val="1"/>
      <w:numFmt w:val="lowerLetter"/>
      <w:lvlText w:val="%2)"/>
      <w:lvlJc w:val="left"/>
      <w:pPr>
        <w:ind w:left="3420" w:hanging="360"/>
      </w:pPr>
    </w:lvl>
    <w:lvl w:ilvl="2" w:tplc="EBDCF4C8">
      <w:start w:val="1"/>
      <w:numFmt w:val="lowerRoman"/>
      <w:lvlText w:val="(%3)"/>
      <w:lvlJc w:val="left"/>
      <w:pPr>
        <w:ind w:left="4680" w:hanging="720"/>
      </w:pPr>
      <w:rPr>
        <w:rFonts w:hint="default"/>
      </w:rPr>
    </w:lvl>
    <w:lvl w:ilvl="3" w:tplc="14090001" w:tentative="1">
      <w:start w:val="1"/>
      <w:numFmt w:val="decimal"/>
      <w:lvlText w:val="%4."/>
      <w:lvlJc w:val="left"/>
      <w:pPr>
        <w:ind w:left="4860" w:hanging="360"/>
      </w:pPr>
    </w:lvl>
    <w:lvl w:ilvl="4" w:tplc="14090003" w:tentative="1">
      <w:start w:val="1"/>
      <w:numFmt w:val="lowerLetter"/>
      <w:lvlText w:val="%5."/>
      <w:lvlJc w:val="left"/>
      <w:pPr>
        <w:ind w:left="5580" w:hanging="360"/>
      </w:pPr>
    </w:lvl>
    <w:lvl w:ilvl="5" w:tplc="14090005" w:tentative="1">
      <w:start w:val="1"/>
      <w:numFmt w:val="lowerRoman"/>
      <w:lvlText w:val="%6."/>
      <w:lvlJc w:val="right"/>
      <w:pPr>
        <w:ind w:left="6300" w:hanging="180"/>
      </w:pPr>
    </w:lvl>
    <w:lvl w:ilvl="6" w:tplc="14090001" w:tentative="1">
      <w:start w:val="1"/>
      <w:numFmt w:val="decimal"/>
      <w:lvlText w:val="%7."/>
      <w:lvlJc w:val="left"/>
      <w:pPr>
        <w:ind w:left="7020" w:hanging="360"/>
      </w:pPr>
    </w:lvl>
    <w:lvl w:ilvl="7" w:tplc="14090003" w:tentative="1">
      <w:start w:val="1"/>
      <w:numFmt w:val="lowerLetter"/>
      <w:lvlText w:val="%8."/>
      <w:lvlJc w:val="left"/>
      <w:pPr>
        <w:ind w:left="7740" w:hanging="360"/>
      </w:pPr>
    </w:lvl>
    <w:lvl w:ilvl="8" w:tplc="14090005" w:tentative="1">
      <w:start w:val="1"/>
      <w:numFmt w:val="lowerRoman"/>
      <w:lvlText w:val="%9."/>
      <w:lvlJc w:val="right"/>
      <w:pPr>
        <w:ind w:left="8460" w:hanging="180"/>
      </w:pPr>
    </w:lvl>
  </w:abstractNum>
  <w:abstractNum w:abstractNumId="11" w15:restartNumberingAfterBreak="0">
    <w:nsid w:val="02F35033"/>
    <w:multiLevelType w:val="hybridMultilevel"/>
    <w:tmpl w:val="311C7E18"/>
    <w:lvl w:ilvl="0" w:tplc="324C113C">
      <w:start w:val="1"/>
      <w:numFmt w:val="bullet"/>
      <w:pStyle w:val="a"/>
      <w:lvlText w:val=""/>
      <w:lvlJc w:val="left"/>
      <w:pPr>
        <w:ind w:left="1133" w:hanging="400"/>
      </w:pPr>
      <w:rPr>
        <w:rFonts w:ascii="Wingdings" w:hAnsi="Wingdings" w:hint="default"/>
      </w:rPr>
    </w:lvl>
    <w:lvl w:ilvl="1" w:tplc="04090003">
      <w:start w:val="1"/>
      <w:numFmt w:val="bullet"/>
      <w:lvlText w:val=""/>
      <w:lvlJc w:val="left"/>
      <w:pPr>
        <w:ind w:left="1533" w:hanging="400"/>
      </w:pPr>
      <w:rPr>
        <w:rFonts w:ascii="Wingdings" w:hAnsi="Wingdings" w:hint="default"/>
      </w:rPr>
    </w:lvl>
    <w:lvl w:ilvl="2" w:tplc="04090005">
      <w:start w:val="1"/>
      <w:numFmt w:val="bullet"/>
      <w:lvlText w:val=""/>
      <w:lvlJc w:val="left"/>
      <w:pPr>
        <w:ind w:left="1933" w:hanging="400"/>
      </w:pPr>
      <w:rPr>
        <w:rFonts w:ascii="Wingdings" w:hAnsi="Wingdings" w:hint="default"/>
      </w:rPr>
    </w:lvl>
    <w:lvl w:ilvl="3" w:tplc="04090001">
      <w:start w:val="1"/>
      <w:numFmt w:val="bullet"/>
      <w:lvlText w:val=""/>
      <w:lvlJc w:val="left"/>
      <w:pPr>
        <w:ind w:left="2333" w:hanging="400"/>
      </w:pPr>
      <w:rPr>
        <w:rFonts w:ascii="Wingdings" w:hAnsi="Wingdings" w:hint="default"/>
      </w:rPr>
    </w:lvl>
    <w:lvl w:ilvl="4" w:tplc="04090003" w:tentative="1">
      <w:start w:val="1"/>
      <w:numFmt w:val="bullet"/>
      <w:lvlText w:val=""/>
      <w:lvlJc w:val="left"/>
      <w:pPr>
        <w:ind w:left="2733" w:hanging="400"/>
      </w:pPr>
      <w:rPr>
        <w:rFonts w:ascii="Wingdings" w:hAnsi="Wingdings" w:hint="default"/>
      </w:rPr>
    </w:lvl>
    <w:lvl w:ilvl="5" w:tplc="04090005" w:tentative="1">
      <w:start w:val="1"/>
      <w:numFmt w:val="bullet"/>
      <w:lvlText w:val=""/>
      <w:lvlJc w:val="left"/>
      <w:pPr>
        <w:ind w:left="3133" w:hanging="400"/>
      </w:pPr>
      <w:rPr>
        <w:rFonts w:ascii="Wingdings" w:hAnsi="Wingdings" w:hint="default"/>
      </w:rPr>
    </w:lvl>
    <w:lvl w:ilvl="6" w:tplc="04090001" w:tentative="1">
      <w:start w:val="1"/>
      <w:numFmt w:val="bullet"/>
      <w:lvlText w:val=""/>
      <w:lvlJc w:val="left"/>
      <w:pPr>
        <w:ind w:left="3533" w:hanging="400"/>
      </w:pPr>
      <w:rPr>
        <w:rFonts w:ascii="Wingdings" w:hAnsi="Wingdings" w:hint="default"/>
      </w:rPr>
    </w:lvl>
    <w:lvl w:ilvl="7" w:tplc="04090003" w:tentative="1">
      <w:start w:val="1"/>
      <w:numFmt w:val="bullet"/>
      <w:lvlText w:val=""/>
      <w:lvlJc w:val="left"/>
      <w:pPr>
        <w:ind w:left="3933" w:hanging="400"/>
      </w:pPr>
      <w:rPr>
        <w:rFonts w:ascii="Wingdings" w:hAnsi="Wingdings" w:hint="default"/>
      </w:rPr>
    </w:lvl>
    <w:lvl w:ilvl="8" w:tplc="04090005" w:tentative="1">
      <w:start w:val="1"/>
      <w:numFmt w:val="bullet"/>
      <w:lvlText w:val=""/>
      <w:lvlJc w:val="left"/>
      <w:pPr>
        <w:ind w:left="4333" w:hanging="400"/>
      </w:pPr>
      <w:rPr>
        <w:rFonts w:ascii="Wingdings" w:hAnsi="Wingdings" w:hint="default"/>
      </w:rPr>
    </w:lvl>
  </w:abstractNum>
  <w:abstractNum w:abstractNumId="12" w15:restartNumberingAfterBreak="0">
    <w:nsid w:val="041D74CE"/>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47E0E9D"/>
    <w:multiLevelType w:val="hybridMultilevel"/>
    <w:tmpl w:val="C1929206"/>
    <w:lvl w:ilvl="0" w:tplc="D0B8D912">
      <w:start w:val="1"/>
      <w:numFmt w:val="decimal"/>
      <w:pStyle w:val="Style3"/>
      <w:lvlText w:val="(%1)"/>
      <w:lvlJc w:val="left"/>
      <w:pPr>
        <w:tabs>
          <w:tab w:val="num" w:pos="848"/>
        </w:tabs>
        <w:ind w:left="848" w:hanging="491"/>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 w15:restartNumberingAfterBreak="0">
    <w:nsid w:val="04D17738"/>
    <w:multiLevelType w:val="hybridMultilevel"/>
    <w:tmpl w:val="1FBA6746"/>
    <w:lvl w:ilvl="0" w:tplc="6D667916">
      <w:start w:val="1"/>
      <w:numFmt w:val="lowerLetter"/>
      <w:pStyle w:val="abc"/>
      <w:lvlText w:val="%1)"/>
      <w:lvlJc w:val="left"/>
      <w:pPr>
        <w:ind w:left="360" w:hanging="360"/>
      </w:pPr>
      <w:rPr>
        <w:b/>
      </w:rPr>
    </w:lvl>
    <w:lvl w:ilvl="1" w:tplc="AEDA5568">
      <w:start w:val="1"/>
      <w:numFmt w:val="lowerLetter"/>
      <w:lvlText w:val="%2."/>
      <w:lvlJc w:val="left"/>
      <w:pPr>
        <w:ind w:left="1436" w:hanging="360"/>
      </w:pPr>
    </w:lvl>
    <w:lvl w:ilvl="2" w:tplc="E9421C6E">
      <w:start w:val="1"/>
      <w:numFmt w:val="decimal"/>
      <w:lvlText w:val="%3)"/>
      <w:lvlJc w:val="left"/>
      <w:pPr>
        <w:ind w:left="2336" w:hanging="360"/>
      </w:pPr>
      <w:rPr>
        <w:rFonts w:hint="default"/>
      </w:rPr>
    </w:lvl>
    <w:lvl w:ilvl="3" w:tplc="19369B6C">
      <w:start w:val="1"/>
      <w:numFmt w:val="decimalEnclosedCircle"/>
      <w:pStyle w:val="51111"/>
      <w:lvlText w:val="%4"/>
      <w:lvlJc w:val="left"/>
      <w:pPr>
        <w:ind w:left="502" w:hanging="360"/>
      </w:pPr>
      <w:rPr>
        <w:rFonts w:hint="default"/>
        <w:lang w:val="en-GB"/>
      </w:rPr>
    </w:lvl>
    <w:lvl w:ilvl="4" w:tplc="1A1E345E" w:tentative="1">
      <w:start w:val="1"/>
      <w:numFmt w:val="lowerLetter"/>
      <w:lvlText w:val="%5."/>
      <w:lvlJc w:val="left"/>
      <w:pPr>
        <w:ind w:left="3596" w:hanging="360"/>
      </w:pPr>
    </w:lvl>
    <w:lvl w:ilvl="5" w:tplc="46E40C58" w:tentative="1">
      <w:start w:val="1"/>
      <w:numFmt w:val="lowerRoman"/>
      <w:lvlText w:val="%6."/>
      <w:lvlJc w:val="right"/>
      <w:pPr>
        <w:ind w:left="4316" w:hanging="180"/>
      </w:pPr>
    </w:lvl>
    <w:lvl w:ilvl="6" w:tplc="D8D64074" w:tentative="1">
      <w:start w:val="1"/>
      <w:numFmt w:val="decimal"/>
      <w:lvlText w:val="%7."/>
      <w:lvlJc w:val="left"/>
      <w:pPr>
        <w:ind w:left="5036" w:hanging="360"/>
      </w:pPr>
    </w:lvl>
    <w:lvl w:ilvl="7" w:tplc="1EC4CD1C" w:tentative="1">
      <w:start w:val="1"/>
      <w:numFmt w:val="lowerLetter"/>
      <w:lvlText w:val="%8."/>
      <w:lvlJc w:val="left"/>
      <w:pPr>
        <w:ind w:left="5756" w:hanging="360"/>
      </w:pPr>
    </w:lvl>
    <w:lvl w:ilvl="8" w:tplc="64AC947A" w:tentative="1">
      <w:start w:val="1"/>
      <w:numFmt w:val="lowerRoman"/>
      <w:lvlText w:val="%9."/>
      <w:lvlJc w:val="right"/>
      <w:pPr>
        <w:ind w:left="6476" w:hanging="180"/>
      </w:pPr>
    </w:lvl>
  </w:abstractNum>
  <w:abstractNum w:abstractNumId="15" w15:restartNumberingAfterBreak="0">
    <w:nsid w:val="05AF337E"/>
    <w:multiLevelType w:val="hybridMultilevel"/>
    <w:tmpl w:val="D274558A"/>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6260971"/>
    <w:multiLevelType w:val="hybridMultilevel"/>
    <w:tmpl w:val="BDC6E97A"/>
    <w:lvl w:ilvl="0" w:tplc="C42A008C">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6A220E6"/>
    <w:multiLevelType w:val="multilevel"/>
    <w:tmpl w:val="0518AF7E"/>
    <w:lvl w:ilvl="0">
      <w:start w:val="1"/>
      <w:numFmt w:val="decimal"/>
      <w:lvlText w:val="%1."/>
      <w:lvlJc w:val="left"/>
      <w:pPr>
        <w:ind w:left="2880" w:hanging="360"/>
      </w:pPr>
      <w:rPr>
        <w:rFonts w:hint="default"/>
      </w:rPr>
    </w:lvl>
    <w:lvl w:ilvl="1">
      <w:start w:val="1"/>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18" w15:restartNumberingAfterBreak="0">
    <w:nsid w:val="06BB6F11"/>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7A03C06"/>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96E5F4C"/>
    <w:multiLevelType w:val="hybridMultilevel"/>
    <w:tmpl w:val="BDC6E97A"/>
    <w:lvl w:ilvl="0" w:tplc="C42A008C">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A092B08"/>
    <w:multiLevelType w:val="multilevel"/>
    <w:tmpl w:val="31362A14"/>
    <w:styleLink w:val="a0"/>
    <w:lvl w:ilvl="0">
      <w:start w:val="1"/>
      <w:numFmt w:val="bullet"/>
      <w:lvlText w:val=""/>
      <w:lvlJc w:val="left"/>
      <w:pPr>
        <w:tabs>
          <w:tab w:val="num" w:pos="1602"/>
        </w:tabs>
        <w:ind w:left="1602" w:hanging="400"/>
      </w:pPr>
      <w:rPr>
        <w:rFonts w:ascii="Wingdings" w:eastAsia="GulimChe" w:hAnsi="Wingdings" w:hint="default"/>
        <w:kern w:val="2"/>
        <w:sz w:val="24"/>
      </w:rPr>
    </w:lvl>
    <w:lvl w:ilvl="1">
      <w:start w:val="1"/>
      <w:numFmt w:val="bullet"/>
      <w:lvlText w:val=""/>
      <w:lvlJc w:val="left"/>
      <w:pPr>
        <w:tabs>
          <w:tab w:val="num" w:pos="4414"/>
        </w:tabs>
        <w:ind w:left="4414" w:hanging="400"/>
      </w:pPr>
      <w:rPr>
        <w:rFonts w:ascii="Wingdings" w:hAnsi="Wingdings" w:hint="default"/>
      </w:rPr>
    </w:lvl>
    <w:lvl w:ilvl="2">
      <w:start w:val="1"/>
      <w:numFmt w:val="bullet"/>
      <w:lvlText w:val=""/>
      <w:lvlJc w:val="left"/>
      <w:pPr>
        <w:tabs>
          <w:tab w:val="num" w:pos="4814"/>
        </w:tabs>
        <w:ind w:left="4814" w:hanging="400"/>
      </w:pPr>
      <w:rPr>
        <w:rFonts w:ascii="Wingdings" w:hAnsi="Wingdings" w:hint="default"/>
      </w:rPr>
    </w:lvl>
    <w:lvl w:ilvl="3">
      <w:start w:val="1"/>
      <w:numFmt w:val="bullet"/>
      <w:lvlText w:val=""/>
      <w:lvlJc w:val="left"/>
      <w:pPr>
        <w:tabs>
          <w:tab w:val="num" w:pos="5214"/>
        </w:tabs>
        <w:ind w:left="5214" w:hanging="400"/>
      </w:pPr>
      <w:rPr>
        <w:rFonts w:ascii="Wingdings" w:hAnsi="Wingdings" w:hint="default"/>
      </w:rPr>
    </w:lvl>
    <w:lvl w:ilvl="4">
      <w:start w:val="1"/>
      <w:numFmt w:val="bullet"/>
      <w:lvlText w:val=""/>
      <w:lvlJc w:val="left"/>
      <w:pPr>
        <w:tabs>
          <w:tab w:val="num" w:pos="5614"/>
        </w:tabs>
        <w:ind w:left="5614" w:hanging="400"/>
      </w:pPr>
      <w:rPr>
        <w:rFonts w:ascii="Wingdings" w:hAnsi="Wingdings" w:hint="default"/>
      </w:rPr>
    </w:lvl>
    <w:lvl w:ilvl="5">
      <w:start w:val="1"/>
      <w:numFmt w:val="bullet"/>
      <w:lvlText w:val=""/>
      <w:lvlJc w:val="left"/>
      <w:pPr>
        <w:tabs>
          <w:tab w:val="num" w:pos="6014"/>
        </w:tabs>
        <w:ind w:left="6014" w:hanging="400"/>
      </w:pPr>
      <w:rPr>
        <w:rFonts w:ascii="Wingdings" w:hAnsi="Wingdings" w:hint="default"/>
      </w:rPr>
    </w:lvl>
    <w:lvl w:ilvl="6">
      <w:start w:val="1"/>
      <w:numFmt w:val="bullet"/>
      <w:lvlText w:val=""/>
      <w:lvlJc w:val="left"/>
      <w:pPr>
        <w:tabs>
          <w:tab w:val="num" w:pos="6414"/>
        </w:tabs>
        <w:ind w:left="6414" w:hanging="400"/>
      </w:pPr>
      <w:rPr>
        <w:rFonts w:ascii="Wingdings" w:hAnsi="Wingdings" w:hint="default"/>
      </w:rPr>
    </w:lvl>
    <w:lvl w:ilvl="7">
      <w:start w:val="1"/>
      <w:numFmt w:val="bullet"/>
      <w:lvlText w:val=""/>
      <w:lvlJc w:val="left"/>
      <w:pPr>
        <w:tabs>
          <w:tab w:val="num" w:pos="6814"/>
        </w:tabs>
        <w:ind w:left="6814" w:hanging="400"/>
      </w:pPr>
      <w:rPr>
        <w:rFonts w:ascii="Wingdings" w:hAnsi="Wingdings" w:hint="default"/>
      </w:rPr>
    </w:lvl>
    <w:lvl w:ilvl="8">
      <w:start w:val="1"/>
      <w:numFmt w:val="bullet"/>
      <w:lvlText w:val=""/>
      <w:lvlJc w:val="left"/>
      <w:pPr>
        <w:tabs>
          <w:tab w:val="num" w:pos="7214"/>
        </w:tabs>
        <w:ind w:left="7214" w:hanging="400"/>
      </w:pPr>
      <w:rPr>
        <w:rFonts w:ascii="Wingdings" w:hAnsi="Wingdings" w:hint="default"/>
      </w:rPr>
    </w:lvl>
  </w:abstractNum>
  <w:abstractNum w:abstractNumId="22" w15:restartNumberingAfterBreak="0">
    <w:nsid w:val="0A382C0B"/>
    <w:multiLevelType w:val="multilevel"/>
    <w:tmpl w:val="E5F0CC6E"/>
    <w:lvl w:ilvl="0">
      <w:start w:val="1"/>
      <w:numFmt w:val="decimal"/>
      <w:lvlText w:val="%1."/>
      <w:lvlJc w:val="left"/>
      <w:pPr>
        <w:ind w:left="2880" w:hanging="360"/>
      </w:pPr>
      <w:rPr>
        <w:rFonts w:hint="default"/>
      </w:rPr>
    </w:lvl>
    <w:lvl w:ilvl="1">
      <w:start w:val="1"/>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23" w15:restartNumberingAfterBreak="0">
    <w:nsid w:val="0AAC2889"/>
    <w:multiLevelType w:val="hybridMultilevel"/>
    <w:tmpl w:val="F92475C4"/>
    <w:lvl w:ilvl="0" w:tplc="FFFFFFFF">
      <w:start w:val="1"/>
      <w:numFmt w:val="lowerLetter"/>
      <w:lvlText w:val="%1."/>
      <w:lvlJc w:val="left"/>
      <w:pPr>
        <w:ind w:left="3077" w:hanging="360"/>
      </w:pPr>
      <w:rPr>
        <w:rFonts w:ascii="Calibri" w:eastAsia="Times New Roman" w:hAnsi="Calibri" w:cs="Calibri"/>
      </w:rPr>
    </w:lvl>
    <w:lvl w:ilvl="1" w:tplc="FFFFFFFF" w:tentative="1">
      <w:start w:val="1"/>
      <w:numFmt w:val="lowerLetter"/>
      <w:lvlText w:val="%2."/>
      <w:lvlJc w:val="left"/>
      <w:pPr>
        <w:ind w:left="3797" w:hanging="360"/>
      </w:pPr>
    </w:lvl>
    <w:lvl w:ilvl="2" w:tplc="FFFFFFFF" w:tentative="1">
      <w:start w:val="1"/>
      <w:numFmt w:val="lowerRoman"/>
      <w:lvlText w:val="%3."/>
      <w:lvlJc w:val="right"/>
      <w:pPr>
        <w:ind w:left="4517" w:hanging="180"/>
      </w:pPr>
    </w:lvl>
    <w:lvl w:ilvl="3" w:tplc="FFFFFFFF" w:tentative="1">
      <w:start w:val="1"/>
      <w:numFmt w:val="decimal"/>
      <w:lvlText w:val="%4."/>
      <w:lvlJc w:val="left"/>
      <w:pPr>
        <w:ind w:left="5237" w:hanging="360"/>
      </w:pPr>
    </w:lvl>
    <w:lvl w:ilvl="4" w:tplc="FFFFFFFF" w:tentative="1">
      <w:start w:val="1"/>
      <w:numFmt w:val="lowerLetter"/>
      <w:lvlText w:val="%5."/>
      <w:lvlJc w:val="left"/>
      <w:pPr>
        <w:ind w:left="5957" w:hanging="360"/>
      </w:pPr>
    </w:lvl>
    <w:lvl w:ilvl="5" w:tplc="FFFFFFFF" w:tentative="1">
      <w:start w:val="1"/>
      <w:numFmt w:val="lowerRoman"/>
      <w:lvlText w:val="%6."/>
      <w:lvlJc w:val="right"/>
      <w:pPr>
        <w:ind w:left="6677" w:hanging="180"/>
      </w:pPr>
    </w:lvl>
    <w:lvl w:ilvl="6" w:tplc="FFFFFFFF" w:tentative="1">
      <w:start w:val="1"/>
      <w:numFmt w:val="decimal"/>
      <w:lvlText w:val="%7."/>
      <w:lvlJc w:val="left"/>
      <w:pPr>
        <w:ind w:left="7397" w:hanging="360"/>
      </w:pPr>
    </w:lvl>
    <w:lvl w:ilvl="7" w:tplc="FFFFFFFF" w:tentative="1">
      <w:start w:val="1"/>
      <w:numFmt w:val="lowerLetter"/>
      <w:lvlText w:val="%8."/>
      <w:lvlJc w:val="left"/>
      <w:pPr>
        <w:ind w:left="8117" w:hanging="360"/>
      </w:pPr>
    </w:lvl>
    <w:lvl w:ilvl="8" w:tplc="FFFFFFFF" w:tentative="1">
      <w:start w:val="1"/>
      <w:numFmt w:val="lowerRoman"/>
      <w:lvlText w:val="%9."/>
      <w:lvlJc w:val="right"/>
      <w:pPr>
        <w:ind w:left="8837" w:hanging="180"/>
      </w:pPr>
    </w:lvl>
  </w:abstractNum>
  <w:abstractNum w:abstractNumId="24" w15:restartNumberingAfterBreak="0">
    <w:nsid w:val="0BA209D6"/>
    <w:multiLevelType w:val="hybridMultilevel"/>
    <w:tmpl w:val="36DC19D2"/>
    <w:lvl w:ilvl="0" w:tplc="90D02522">
      <w:start w:val="2"/>
      <w:numFmt w:val="bullet"/>
      <w:pStyle w:val="-"/>
      <w:lvlText w:val="-"/>
      <w:lvlJc w:val="left"/>
      <w:pPr>
        <w:ind w:left="720" w:hanging="360"/>
      </w:pPr>
      <w:rPr>
        <w:rFonts w:ascii="Times New Roman" w:eastAsia="BatangChe" w:hAnsi="Times New Roman" w:cs="Times New Roman" w:hint="default"/>
      </w:rPr>
    </w:lvl>
    <w:lvl w:ilvl="1" w:tplc="04090003">
      <w:start w:val="1"/>
      <w:numFmt w:val="upperLetter"/>
      <w:lvlText w:val="%2."/>
      <w:lvlJc w:val="left"/>
      <w:pPr>
        <w:ind w:left="1160" w:hanging="400"/>
      </w:pPr>
    </w:lvl>
    <w:lvl w:ilvl="2" w:tplc="04090005" w:tentative="1">
      <w:start w:val="1"/>
      <w:numFmt w:val="lowerRoman"/>
      <w:lvlText w:val="%3."/>
      <w:lvlJc w:val="right"/>
      <w:pPr>
        <w:ind w:left="1560" w:hanging="400"/>
      </w:pPr>
    </w:lvl>
    <w:lvl w:ilvl="3" w:tplc="04090001" w:tentative="1">
      <w:start w:val="1"/>
      <w:numFmt w:val="decimal"/>
      <w:lvlText w:val="%4."/>
      <w:lvlJc w:val="left"/>
      <w:pPr>
        <w:ind w:left="1960" w:hanging="400"/>
      </w:pPr>
    </w:lvl>
    <w:lvl w:ilvl="4" w:tplc="04090003" w:tentative="1">
      <w:start w:val="1"/>
      <w:numFmt w:val="upperLetter"/>
      <w:lvlText w:val="%5."/>
      <w:lvlJc w:val="left"/>
      <w:pPr>
        <w:ind w:left="2360" w:hanging="400"/>
      </w:pPr>
    </w:lvl>
    <w:lvl w:ilvl="5" w:tplc="04090005" w:tentative="1">
      <w:start w:val="1"/>
      <w:numFmt w:val="lowerRoman"/>
      <w:lvlText w:val="%6."/>
      <w:lvlJc w:val="right"/>
      <w:pPr>
        <w:ind w:left="2760" w:hanging="400"/>
      </w:pPr>
    </w:lvl>
    <w:lvl w:ilvl="6" w:tplc="04090001" w:tentative="1">
      <w:start w:val="1"/>
      <w:numFmt w:val="decimal"/>
      <w:lvlText w:val="%7."/>
      <w:lvlJc w:val="left"/>
      <w:pPr>
        <w:ind w:left="3160" w:hanging="400"/>
      </w:pPr>
    </w:lvl>
    <w:lvl w:ilvl="7" w:tplc="04090003" w:tentative="1">
      <w:start w:val="1"/>
      <w:numFmt w:val="upperLetter"/>
      <w:lvlText w:val="%8."/>
      <w:lvlJc w:val="left"/>
      <w:pPr>
        <w:ind w:left="3560" w:hanging="400"/>
      </w:pPr>
    </w:lvl>
    <w:lvl w:ilvl="8" w:tplc="04090005" w:tentative="1">
      <w:start w:val="1"/>
      <w:numFmt w:val="lowerRoman"/>
      <w:lvlText w:val="%9."/>
      <w:lvlJc w:val="right"/>
      <w:pPr>
        <w:ind w:left="3960" w:hanging="400"/>
      </w:pPr>
    </w:lvl>
  </w:abstractNum>
  <w:abstractNum w:abstractNumId="25" w15:restartNumberingAfterBreak="0">
    <w:nsid w:val="0C095830"/>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C57122C"/>
    <w:multiLevelType w:val="hybridMultilevel"/>
    <w:tmpl w:val="D274558A"/>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CE25C5A"/>
    <w:multiLevelType w:val="hybridMultilevel"/>
    <w:tmpl w:val="5F58179C"/>
    <w:lvl w:ilvl="0" w:tplc="37C04638">
      <w:start w:val="1"/>
      <w:numFmt w:val="decimal"/>
      <w:lvlText w:val="3.%1"/>
      <w:lvlJc w:val="righ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D133C61"/>
    <w:multiLevelType w:val="hybridMultilevel"/>
    <w:tmpl w:val="EEDE4B04"/>
    <w:lvl w:ilvl="0" w:tplc="27204C38">
      <w:start w:val="1"/>
      <w:numFmt w:val="decimal"/>
      <w:lvlText w:val="4.%1"/>
      <w:lvlJc w:val="left"/>
      <w:pPr>
        <w:ind w:left="450" w:hanging="360"/>
      </w:pPr>
      <w:rPr>
        <w:rFonts w:ascii="Andes" w:hAnsi="Andes" w:hint="default"/>
        <w:b w:val="0"/>
        <w:i w:val="0"/>
        <w:strike w:val="0"/>
        <w:sz w:val="22"/>
        <w:szCs w:val="22"/>
      </w:rPr>
    </w:lvl>
    <w:lvl w:ilvl="1" w:tplc="14090003">
      <w:start w:val="1"/>
      <w:numFmt w:val="lowerLetter"/>
      <w:lvlText w:val="%2)"/>
      <w:lvlJc w:val="left"/>
      <w:pPr>
        <w:ind w:left="3420" w:hanging="360"/>
      </w:pPr>
    </w:lvl>
    <w:lvl w:ilvl="2" w:tplc="EBDCF4C8">
      <w:start w:val="1"/>
      <w:numFmt w:val="lowerRoman"/>
      <w:lvlText w:val="(%3)"/>
      <w:lvlJc w:val="left"/>
      <w:pPr>
        <w:ind w:left="4680" w:hanging="720"/>
      </w:pPr>
      <w:rPr>
        <w:rFonts w:hint="default"/>
      </w:rPr>
    </w:lvl>
    <w:lvl w:ilvl="3" w:tplc="14090001" w:tentative="1">
      <w:start w:val="1"/>
      <w:numFmt w:val="decimal"/>
      <w:lvlText w:val="%4."/>
      <w:lvlJc w:val="left"/>
      <w:pPr>
        <w:ind w:left="4860" w:hanging="360"/>
      </w:pPr>
    </w:lvl>
    <w:lvl w:ilvl="4" w:tplc="14090003" w:tentative="1">
      <w:start w:val="1"/>
      <w:numFmt w:val="lowerLetter"/>
      <w:lvlText w:val="%5."/>
      <w:lvlJc w:val="left"/>
      <w:pPr>
        <w:ind w:left="5580" w:hanging="360"/>
      </w:pPr>
    </w:lvl>
    <w:lvl w:ilvl="5" w:tplc="14090005" w:tentative="1">
      <w:start w:val="1"/>
      <w:numFmt w:val="lowerRoman"/>
      <w:lvlText w:val="%6."/>
      <w:lvlJc w:val="right"/>
      <w:pPr>
        <w:ind w:left="6300" w:hanging="180"/>
      </w:pPr>
    </w:lvl>
    <w:lvl w:ilvl="6" w:tplc="14090001" w:tentative="1">
      <w:start w:val="1"/>
      <w:numFmt w:val="decimal"/>
      <w:lvlText w:val="%7."/>
      <w:lvlJc w:val="left"/>
      <w:pPr>
        <w:ind w:left="7020" w:hanging="360"/>
      </w:pPr>
    </w:lvl>
    <w:lvl w:ilvl="7" w:tplc="14090003" w:tentative="1">
      <w:start w:val="1"/>
      <w:numFmt w:val="lowerLetter"/>
      <w:lvlText w:val="%8."/>
      <w:lvlJc w:val="left"/>
      <w:pPr>
        <w:ind w:left="7740" w:hanging="360"/>
      </w:pPr>
    </w:lvl>
    <w:lvl w:ilvl="8" w:tplc="14090005" w:tentative="1">
      <w:start w:val="1"/>
      <w:numFmt w:val="lowerRoman"/>
      <w:lvlText w:val="%9."/>
      <w:lvlJc w:val="right"/>
      <w:pPr>
        <w:ind w:left="8460" w:hanging="180"/>
      </w:pPr>
    </w:lvl>
  </w:abstractNum>
  <w:abstractNum w:abstractNumId="29" w15:restartNumberingAfterBreak="0">
    <w:nsid w:val="0D216DEB"/>
    <w:multiLevelType w:val="hybridMultilevel"/>
    <w:tmpl w:val="5F605016"/>
    <w:lvl w:ilvl="0" w:tplc="D1765BF2">
      <w:start w:val="1"/>
      <w:numFmt w:val="decimal"/>
      <w:lvlText w:val="1.%1"/>
      <w:lvlJc w:val="left"/>
      <w:pPr>
        <w:ind w:left="720" w:hanging="360"/>
      </w:pPr>
      <w:rPr>
        <w:rFonts w:ascii="Andes" w:hAnsi="Andes" w:hint="default"/>
        <w:b w:val="0"/>
        <w:i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D227A83"/>
    <w:multiLevelType w:val="multilevel"/>
    <w:tmpl w:val="763EC83A"/>
    <w:lvl w:ilvl="0">
      <w:start w:val="1"/>
      <w:numFmt w:val="lowerLetter"/>
      <w:pStyle w:val="RecsL1"/>
      <w:lvlText w:val="%1"/>
      <w:lvlJc w:val="left"/>
      <w:pPr>
        <w:tabs>
          <w:tab w:val="num" w:pos="0"/>
        </w:tabs>
        <w:ind w:left="720" w:hanging="720"/>
      </w:pPr>
      <w:rPr>
        <w:rFonts w:hint="default"/>
      </w:rPr>
    </w:lvl>
    <w:lvl w:ilvl="1">
      <w:start w:val="1"/>
      <w:numFmt w:val="lowerRoman"/>
      <w:pStyle w:val="RecsL2"/>
      <w:lvlText w:val="%2"/>
      <w:lvlJc w:val="left"/>
      <w:pPr>
        <w:tabs>
          <w:tab w:val="num" w:pos="720"/>
        </w:tabs>
        <w:ind w:left="1440" w:hanging="720"/>
      </w:pPr>
      <w:rPr>
        <w:rFonts w:hint="default"/>
      </w:rPr>
    </w:lvl>
    <w:lvl w:ilvl="2">
      <w:start w:val="1"/>
      <w:numFmt w:val="lowerLetter"/>
      <w:pStyle w:val="RecsL3"/>
      <w:lvlText w:val="(%3)"/>
      <w:lvlJc w:val="left"/>
      <w:pPr>
        <w:tabs>
          <w:tab w:val="num" w:pos="0"/>
        </w:tabs>
        <w:ind w:left="1440" w:firstLine="0"/>
      </w:pPr>
      <w:rPr>
        <w:rFonts w:hint="default"/>
      </w:rPr>
    </w:lvl>
    <w:lvl w:ilvl="3">
      <w:start w:val="1"/>
      <w:numFmt w:val="bullet"/>
      <w:pStyle w:val="RecsL4"/>
      <w:lvlText w:val=""/>
      <w:lvlJc w:val="left"/>
      <w:pPr>
        <w:tabs>
          <w:tab w:val="num" w:pos="0"/>
        </w:tabs>
        <w:ind w:left="2160" w:firstLine="0"/>
      </w:pPr>
      <w:rPr>
        <w:rFonts w:ascii="Symbol" w:hAnsi="Symbol" w:hint="default"/>
        <w:color w:val="auto"/>
      </w:rPr>
    </w:lvl>
    <w:lvl w:ilvl="4">
      <w:start w:val="1"/>
      <w:numFmt w:val="none"/>
      <w:lvlText w:val=""/>
      <w:lvlJc w:val="left"/>
      <w:pPr>
        <w:tabs>
          <w:tab w:val="num" w:pos="0"/>
        </w:tabs>
        <w:ind w:left="2517" w:firstLine="0"/>
      </w:pPr>
      <w:rPr>
        <w:rFonts w:ascii="Symbol" w:hAnsi="Symbol" w:hint="default"/>
      </w:rPr>
    </w:lvl>
    <w:lvl w:ilvl="5">
      <w:start w:val="1"/>
      <w:numFmt w:val="none"/>
      <w:lvlText w:val=""/>
      <w:lvlJc w:val="left"/>
      <w:pPr>
        <w:tabs>
          <w:tab w:val="num" w:pos="0"/>
        </w:tabs>
        <w:ind w:left="0" w:firstLine="0"/>
      </w:pPr>
      <w:rPr>
        <w:rFonts w:ascii="Symbol" w:hAnsi="Symbol" w:hint="default"/>
      </w:rPr>
    </w:lvl>
    <w:lvl w:ilvl="6">
      <w:start w:val="1"/>
      <w:numFmt w:val="decimal"/>
      <w:lvlText w:val=".%7"/>
      <w:lvlJc w:val="left"/>
      <w:pPr>
        <w:tabs>
          <w:tab w:val="num" w:pos="0"/>
        </w:tabs>
        <w:ind w:left="0" w:firstLine="0"/>
      </w:pPr>
      <w:rPr>
        <w:rFonts w:hint="default"/>
      </w:rPr>
    </w:lvl>
    <w:lvl w:ilvl="7">
      <w:start w:val="1"/>
      <w:numFmt w:val="decimal"/>
      <w:lvlText w:val=".%7.%8"/>
      <w:lvlJc w:val="left"/>
      <w:pPr>
        <w:tabs>
          <w:tab w:val="num" w:pos="0"/>
        </w:tabs>
        <w:ind w:left="0" w:firstLine="0"/>
      </w:pPr>
      <w:rPr>
        <w:rFonts w:hint="default"/>
      </w:rPr>
    </w:lvl>
    <w:lvl w:ilvl="8">
      <w:start w:val="1"/>
      <w:numFmt w:val="decimal"/>
      <w:lvlText w:val=".%7.%8.%9"/>
      <w:lvlJc w:val="left"/>
      <w:pPr>
        <w:tabs>
          <w:tab w:val="num" w:pos="0"/>
        </w:tabs>
        <w:ind w:left="0" w:firstLine="0"/>
      </w:pPr>
      <w:rPr>
        <w:rFonts w:hint="default"/>
      </w:rPr>
    </w:lvl>
  </w:abstractNum>
  <w:abstractNum w:abstractNumId="3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cs="Times New Roman" w:hint="default"/>
        <w:b w:val="0"/>
        <w:i w:val="0"/>
        <w:caps w:val="0"/>
        <w:strike w:val="0"/>
        <w:dstrike w:val="0"/>
        <w:vanish w:val="0"/>
        <w:color w:val="000000"/>
        <w:sz w:val="22"/>
        <w:vertAlign w:val="baseline"/>
      </w:rPr>
    </w:lvl>
    <w:lvl w:ilvl="1">
      <w:start w:val="1"/>
      <w:numFmt w:val="lowerLetter"/>
      <w:lvlText w:val="(%2)"/>
      <w:lvlJc w:val="left"/>
      <w:pPr>
        <w:tabs>
          <w:tab w:val="num" w:pos="919"/>
        </w:tabs>
        <w:ind w:left="919" w:hanging="459"/>
      </w:pPr>
      <w:rPr>
        <w:rFonts w:ascii="Times New Roman" w:hAnsi="Times New Roman" w:cs="Times New Roman" w:hint="default"/>
        <w:b w:val="0"/>
        <w:i w:val="0"/>
        <w:caps w:val="0"/>
        <w:strike w:val="0"/>
        <w:dstrike w:val="0"/>
        <w:vanish w:val="0"/>
        <w:color w:val="000000"/>
        <w:sz w:val="22"/>
        <w:vertAlign w:val="baseline"/>
      </w:rPr>
    </w:lvl>
    <w:lvl w:ilvl="2">
      <w:start w:val="1"/>
      <w:numFmt w:val="bullet"/>
      <w:lvlText w:val="-"/>
      <w:lvlJc w:val="left"/>
      <w:pPr>
        <w:tabs>
          <w:tab w:val="num" w:pos="1378"/>
        </w:tabs>
        <w:ind w:left="1378" w:hanging="459"/>
      </w:pPr>
      <w:rPr>
        <w:rFonts w:ascii="Times New Roman" w:hint="default"/>
        <w:b w:val="0"/>
        <w:i w:val="0"/>
        <w:caps w:val="0"/>
        <w:strike w:val="0"/>
        <w:dstrike w:val="0"/>
        <w:vanish w:val="0"/>
        <w:color w:val="000000"/>
        <w:sz w:val="24"/>
        <w:vertAlign w:val="baseline"/>
      </w:rPr>
    </w:lvl>
    <w:lvl w:ilvl="3">
      <w:start w:val="1"/>
      <w:numFmt w:val="decimal"/>
      <w:lvlText w:val="(%4)"/>
      <w:lvlJc w:val="left"/>
      <w:pPr>
        <w:tabs>
          <w:tab w:val="num" w:pos="811"/>
        </w:tabs>
        <w:ind w:left="811" w:hanging="360"/>
      </w:pPr>
      <w:rPr>
        <w:rFonts w:cs="Times New Roman" w:hint="default"/>
      </w:rPr>
    </w:lvl>
    <w:lvl w:ilvl="4">
      <w:start w:val="1"/>
      <w:numFmt w:val="lowerLetter"/>
      <w:lvlText w:val="(%5)"/>
      <w:lvlJc w:val="left"/>
      <w:pPr>
        <w:tabs>
          <w:tab w:val="num" w:pos="1171"/>
        </w:tabs>
        <w:ind w:left="1171" w:hanging="360"/>
      </w:pPr>
      <w:rPr>
        <w:rFonts w:cs="Times New Roman" w:hint="default"/>
      </w:rPr>
    </w:lvl>
    <w:lvl w:ilvl="5">
      <w:start w:val="1"/>
      <w:numFmt w:val="lowerRoman"/>
      <w:lvlText w:val="(%6)"/>
      <w:lvlJc w:val="left"/>
      <w:pPr>
        <w:tabs>
          <w:tab w:val="num" w:pos="1531"/>
        </w:tabs>
        <w:ind w:left="1531" w:hanging="360"/>
      </w:pPr>
      <w:rPr>
        <w:rFonts w:cs="Times New Roman" w:hint="default"/>
      </w:rPr>
    </w:lvl>
    <w:lvl w:ilvl="6">
      <w:start w:val="1"/>
      <w:numFmt w:val="decimal"/>
      <w:lvlText w:val="%7."/>
      <w:lvlJc w:val="left"/>
      <w:pPr>
        <w:tabs>
          <w:tab w:val="num" w:pos="1891"/>
        </w:tabs>
        <w:ind w:left="1891" w:hanging="360"/>
      </w:pPr>
      <w:rPr>
        <w:rFonts w:cs="Times New Roman" w:hint="default"/>
      </w:rPr>
    </w:lvl>
    <w:lvl w:ilvl="7">
      <w:start w:val="1"/>
      <w:numFmt w:val="lowerLetter"/>
      <w:lvlText w:val="%8."/>
      <w:lvlJc w:val="left"/>
      <w:pPr>
        <w:tabs>
          <w:tab w:val="num" w:pos="2251"/>
        </w:tabs>
        <w:ind w:left="2251" w:hanging="360"/>
      </w:pPr>
      <w:rPr>
        <w:rFonts w:cs="Times New Roman" w:hint="default"/>
      </w:rPr>
    </w:lvl>
    <w:lvl w:ilvl="8">
      <w:start w:val="1"/>
      <w:numFmt w:val="lowerRoman"/>
      <w:lvlText w:val="%9."/>
      <w:lvlJc w:val="left"/>
      <w:pPr>
        <w:tabs>
          <w:tab w:val="num" w:pos="2611"/>
        </w:tabs>
        <w:ind w:left="2611" w:hanging="360"/>
      </w:pPr>
      <w:rPr>
        <w:rFonts w:cs="Times New Roman" w:hint="default"/>
      </w:rPr>
    </w:lvl>
  </w:abstractNum>
  <w:abstractNum w:abstractNumId="32" w15:restartNumberingAfterBreak="0">
    <w:nsid w:val="0DB345F5"/>
    <w:multiLevelType w:val="hybridMultilevel"/>
    <w:tmpl w:val="C0D6481E"/>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3" w15:restartNumberingAfterBreak="0">
    <w:nsid w:val="0DCB450C"/>
    <w:multiLevelType w:val="hybridMultilevel"/>
    <w:tmpl w:val="4516E0E6"/>
    <w:lvl w:ilvl="0" w:tplc="9D648D4A">
      <w:start w:val="1"/>
      <w:numFmt w:val="decimal"/>
      <w:lvlText w:val="5.%1"/>
      <w:lvlJc w:val="right"/>
      <w:pPr>
        <w:ind w:left="720" w:hanging="360"/>
      </w:pPr>
      <w:rPr>
        <w:rFonts w:hint="default"/>
        <w:b w:val="0"/>
        <w:i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DFF2471"/>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E2E2C4D"/>
    <w:multiLevelType w:val="multilevel"/>
    <w:tmpl w:val="9326A406"/>
    <w:lvl w:ilvl="0">
      <w:start w:val="1"/>
      <w:numFmt w:val="decimal"/>
      <w:lvlText w:val="%1"/>
      <w:lvlJc w:val="left"/>
      <w:pPr>
        <w:tabs>
          <w:tab w:val="num" w:pos="340"/>
        </w:tabs>
        <w:ind w:left="340" w:hanging="340"/>
      </w:pPr>
      <w:rPr>
        <w:rFonts w:ascii="Times New Roman Bold" w:hAnsi="Times New Roman Bold" w:cs="Times New Roman" w:hint="default"/>
        <w:b/>
        <w:i w:val="0"/>
        <w:caps w:val="0"/>
        <w:strike w:val="0"/>
        <w:dstrike w:val="0"/>
        <w:vanish w:val="0"/>
        <w:sz w:val="24"/>
        <w:szCs w:val="24"/>
        <w:vertAlign w:val="baseline"/>
      </w:rPr>
    </w:lvl>
    <w:lvl w:ilvl="1">
      <w:start w:val="1"/>
      <w:numFmt w:val="decimal"/>
      <w:pStyle w:val="Outlinednumberedregular"/>
      <w:lvlText w:val="%1.%2"/>
      <w:lvlJc w:val="left"/>
      <w:pPr>
        <w:tabs>
          <w:tab w:val="num" w:pos="907"/>
        </w:tabs>
        <w:ind w:left="907" w:hanging="567"/>
      </w:pPr>
      <w:rPr>
        <w:rFonts w:ascii="Arial" w:hAnsi="Arial" w:cs="Times New Roman" w:hint="default"/>
        <w:b w:val="0"/>
        <w:i w:val="0"/>
        <w:caps w:val="0"/>
        <w:strike w:val="0"/>
        <w:dstrike w:val="0"/>
        <w:vanish w:val="0"/>
        <w:sz w:val="22"/>
        <w:szCs w:val="22"/>
        <w:vertAlign w:val="baseline"/>
      </w:rPr>
    </w:lvl>
    <w:lvl w:ilvl="2">
      <w:start w:val="1"/>
      <w:numFmt w:val="lowerLetter"/>
      <w:lvlText w:val="%3)"/>
      <w:lvlJc w:val="left"/>
      <w:pPr>
        <w:tabs>
          <w:tab w:val="num" w:pos="1474"/>
        </w:tabs>
        <w:ind w:left="1474" w:hanging="567"/>
      </w:pPr>
      <w:rPr>
        <w:rFonts w:ascii="Arial" w:hAnsi="Arial" w:cs="Times New Roman" w:hint="default"/>
        <w:b w:val="0"/>
        <w:i w:val="0"/>
        <w:caps w:val="0"/>
        <w:strike w:val="0"/>
        <w:dstrike w:val="0"/>
        <w:vanish w:val="0"/>
        <w:sz w:val="22"/>
        <w:szCs w:val="22"/>
        <w:vertAlign w:val="baseline"/>
      </w:rPr>
    </w:lvl>
    <w:lvl w:ilvl="3">
      <w:start w:val="1"/>
      <w:numFmt w:val="lowerRoman"/>
      <w:lvlText w:val="(%4)"/>
      <w:lvlJc w:val="left"/>
      <w:pPr>
        <w:tabs>
          <w:tab w:val="num" w:pos="164"/>
        </w:tabs>
        <w:ind w:left="164" w:hanging="360"/>
      </w:pPr>
      <w:rPr>
        <w:rFonts w:cs="Times New Roman" w:hint="default"/>
      </w:rPr>
    </w:lvl>
    <w:lvl w:ilvl="4">
      <w:start w:val="1"/>
      <w:numFmt w:val="decimal"/>
      <w:lvlText w:val="%1.%2.%3.%4.%5"/>
      <w:lvlJc w:val="left"/>
      <w:pPr>
        <w:tabs>
          <w:tab w:val="num" w:pos="668"/>
        </w:tabs>
        <w:ind w:left="668" w:hanging="1008"/>
      </w:pPr>
      <w:rPr>
        <w:rFonts w:cs="Times New Roman" w:hint="default"/>
      </w:rPr>
    </w:lvl>
    <w:lvl w:ilvl="5">
      <w:start w:val="1"/>
      <w:numFmt w:val="decimal"/>
      <w:lvlText w:val="%1.%2.%3.%4.%5.%6"/>
      <w:lvlJc w:val="left"/>
      <w:pPr>
        <w:tabs>
          <w:tab w:val="num" w:pos="812"/>
        </w:tabs>
        <w:ind w:left="812" w:hanging="1152"/>
      </w:pPr>
      <w:rPr>
        <w:rFonts w:cs="Times New Roman" w:hint="default"/>
      </w:rPr>
    </w:lvl>
    <w:lvl w:ilvl="6">
      <w:start w:val="1"/>
      <w:numFmt w:val="decimal"/>
      <w:lvlText w:val="%1.%2.%3.%4.%5.%6.%7"/>
      <w:lvlJc w:val="left"/>
      <w:pPr>
        <w:tabs>
          <w:tab w:val="num" w:pos="956"/>
        </w:tabs>
        <w:ind w:left="956" w:hanging="1296"/>
      </w:pPr>
      <w:rPr>
        <w:rFonts w:cs="Times New Roman" w:hint="default"/>
      </w:rPr>
    </w:lvl>
    <w:lvl w:ilvl="7">
      <w:start w:val="1"/>
      <w:numFmt w:val="decimal"/>
      <w:lvlText w:val="%1.%2.%3.%4.%5.%6.%7.%8"/>
      <w:lvlJc w:val="left"/>
      <w:pPr>
        <w:tabs>
          <w:tab w:val="num" w:pos="1100"/>
        </w:tabs>
        <w:ind w:left="1100" w:hanging="1440"/>
      </w:pPr>
      <w:rPr>
        <w:rFonts w:cs="Times New Roman" w:hint="default"/>
      </w:rPr>
    </w:lvl>
    <w:lvl w:ilvl="8">
      <w:start w:val="1"/>
      <w:numFmt w:val="decimal"/>
      <w:lvlText w:val="%1.%2.%3.%4.%5.%6.%7.%8.%9"/>
      <w:lvlJc w:val="left"/>
      <w:pPr>
        <w:tabs>
          <w:tab w:val="num" w:pos="1244"/>
        </w:tabs>
        <w:ind w:left="1244" w:hanging="1584"/>
      </w:pPr>
      <w:rPr>
        <w:rFonts w:cs="Times New Roman" w:hint="default"/>
      </w:rPr>
    </w:lvl>
  </w:abstractNum>
  <w:abstractNum w:abstractNumId="36" w15:restartNumberingAfterBreak="0">
    <w:nsid w:val="0E742310"/>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2."/>
      <w:lvlJc w:val="left"/>
      <w:pPr>
        <w:tabs>
          <w:tab w:val="num" w:pos="792"/>
        </w:tabs>
        <w:ind w:left="792" w:hanging="432"/>
      </w:pPr>
      <w:rPr>
        <w:rFonts w:ascii="Arial" w:eastAsia="Times New Roman" w:hAnsi="Arial" w:cs="Arial"/>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7" w15:restartNumberingAfterBreak="0">
    <w:nsid w:val="0F363440"/>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F6428AF"/>
    <w:multiLevelType w:val="hybridMultilevel"/>
    <w:tmpl w:val="DE840C50"/>
    <w:lvl w:ilvl="0" w:tplc="AF747EEA">
      <w:start w:val="1"/>
      <w:numFmt w:val="decimal"/>
      <w:pStyle w:val="Style49"/>
      <w:lvlText w:val="A.%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0F7C2D81"/>
    <w:multiLevelType w:val="hybridMultilevel"/>
    <w:tmpl w:val="7B5AAFFE"/>
    <w:lvl w:ilvl="0" w:tplc="316AFE26">
      <w:start w:val="1"/>
      <w:numFmt w:val="lowerRoman"/>
      <w:lvlText w:val="%1."/>
      <w:lvlJc w:val="right"/>
      <w:pPr>
        <w:ind w:left="1800" w:hanging="144"/>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0" w15:restartNumberingAfterBreak="0">
    <w:nsid w:val="0F8A4BD5"/>
    <w:multiLevelType w:val="hybridMultilevel"/>
    <w:tmpl w:val="CA9EBF92"/>
    <w:lvl w:ilvl="0" w:tplc="0409001B">
      <w:start w:val="1"/>
      <w:numFmt w:val="lowerRoman"/>
      <w:lvlText w:val="%1."/>
      <w:lvlJc w:val="right"/>
      <w:pPr>
        <w:ind w:left="1350" w:hanging="360"/>
      </w:pPr>
      <w:rPr>
        <w:b w:val="0"/>
        <w:lang w:val="en-AU"/>
      </w:rPr>
    </w:lvl>
    <w:lvl w:ilvl="1" w:tplc="04090019" w:tentative="1">
      <w:start w:val="1"/>
      <w:numFmt w:val="lowerLetter"/>
      <w:lvlText w:val="%2."/>
      <w:lvlJc w:val="left"/>
      <w:pPr>
        <w:ind w:left="2070" w:hanging="360"/>
      </w:pPr>
    </w:lvl>
    <w:lvl w:ilvl="2" w:tplc="0409001B">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1" w15:restartNumberingAfterBreak="0">
    <w:nsid w:val="0FE16A12"/>
    <w:multiLevelType w:val="hybridMultilevel"/>
    <w:tmpl w:val="E1785778"/>
    <w:lvl w:ilvl="0" w:tplc="AC667380">
      <w:start w:val="1"/>
      <w:numFmt w:val="decimal"/>
      <w:pStyle w:val="ProcessDescriptionNumbered"/>
      <w:lvlText w:val="%1:"/>
      <w:lvlJc w:val="left"/>
      <w:pPr>
        <w:tabs>
          <w:tab w:val="num" w:pos="360"/>
        </w:tabs>
        <w:ind w:left="360" w:hanging="360"/>
      </w:pPr>
      <w:rPr>
        <w:rFonts w:ascii="Times New Roman" w:hAnsi="Times New Roman" w:cs="Times New Roman" w:hint="default"/>
        <w:b/>
        <w:i w:val="0"/>
      </w:rPr>
    </w:lvl>
    <w:lvl w:ilvl="1" w:tplc="6366B956">
      <w:start w:val="1"/>
      <w:numFmt w:val="lowerLetter"/>
      <w:lvlText w:val="%2."/>
      <w:lvlJc w:val="left"/>
      <w:pPr>
        <w:tabs>
          <w:tab w:val="num" w:pos="1080"/>
        </w:tabs>
        <w:ind w:left="1080" w:hanging="360"/>
      </w:pPr>
    </w:lvl>
    <w:lvl w:ilvl="2" w:tplc="BB20308E" w:tentative="1">
      <w:start w:val="1"/>
      <w:numFmt w:val="lowerRoman"/>
      <w:lvlText w:val="%3."/>
      <w:lvlJc w:val="right"/>
      <w:pPr>
        <w:tabs>
          <w:tab w:val="num" w:pos="1800"/>
        </w:tabs>
        <w:ind w:left="1800" w:hanging="180"/>
      </w:pPr>
    </w:lvl>
    <w:lvl w:ilvl="3" w:tplc="175C843A" w:tentative="1">
      <w:start w:val="1"/>
      <w:numFmt w:val="decimal"/>
      <w:lvlText w:val="%4."/>
      <w:lvlJc w:val="left"/>
      <w:pPr>
        <w:tabs>
          <w:tab w:val="num" w:pos="2520"/>
        </w:tabs>
        <w:ind w:left="2520" w:hanging="360"/>
      </w:pPr>
    </w:lvl>
    <w:lvl w:ilvl="4" w:tplc="2ED866C4" w:tentative="1">
      <w:start w:val="1"/>
      <w:numFmt w:val="lowerLetter"/>
      <w:lvlText w:val="%5."/>
      <w:lvlJc w:val="left"/>
      <w:pPr>
        <w:tabs>
          <w:tab w:val="num" w:pos="3240"/>
        </w:tabs>
        <w:ind w:left="3240" w:hanging="360"/>
      </w:pPr>
    </w:lvl>
    <w:lvl w:ilvl="5" w:tplc="FEE06872" w:tentative="1">
      <w:start w:val="1"/>
      <w:numFmt w:val="lowerRoman"/>
      <w:lvlText w:val="%6."/>
      <w:lvlJc w:val="right"/>
      <w:pPr>
        <w:tabs>
          <w:tab w:val="num" w:pos="3960"/>
        </w:tabs>
        <w:ind w:left="3960" w:hanging="180"/>
      </w:pPr>
    </w:lvl>
    <w:lvl w:ilvl="6" w:tplc="3DBCBF18" w:tentative="1">
      <w:start w:val="1"/>
      <w:numFmt w:val="decimal"/>
      <w:lvlText w:val="%7."/>
      <w:lvlJc w:val="left"/>
      <w:pPr>
        <w:tabs>
          <w:tab w:val="num" w:pos="4680"/>
        </w:tabs>
        <w:ind w:left="4680" w:hanging="360"/>
      </w:pPr>
    </w:lvl>
    <w:lvl w:ilvl="7" w:tplc="8BAA9306" w:tentative="1">
      <w:start w:val="1"/>
      <w:numFmt w:val="lowerLetter"/>
      <w:lvlText w:val="%8."/>
      <w:lvlJc w:val="left"/>
      <w:pPr>
        <w:tabs>
          <w:tab w:val="num" w:pos="5400"/>
        </w:tabs>
        <w:ind w:left="5400" w:hanging="360"/>
      </w:pPr>
    </w:lvl>
    <w:lvl w:ilvl="8" w:tplc="DC88CFC4" w:tentative="1">
      <w:start w:val="1"/>
      <w:numFmt w:val="lowerRoman"/>
      <w:lvlText w:val="%9."/>
      <w:lvlJc w:val="right"/>
      <w:pPr>
        <w:tabs>
          <w:tab w:val="num" w:pos="6120"/>
        </w:tabs>
        <w:ind w:left="6120" w:hanging="180"/>
      </w:pPr>
    </w:lvl>
  </w:abstractNum>
  <w:abstractNum w:abstractNumId="42" w15:restartNumberingAfterBreak="0">
    <w:nsid w:val="0FEA330C"/>
    <w:multiLevelType w:val="multilevel"/>
    <w:tmpl w:val="8178532E"/>
    <w:lvl w:ilvl="0">
      <w:start w:val="1"/>
      <w:numFmt w:val="decimal"/>
      <w:lvlText w:val="%1."/>
      <w:lvlJc w:val="left"/>
      <w:pPr>
        <w:ind w:left="360" w:hanging="360"/>
      </w:pPr>
      <w:rPr>
        <w:b w:val="0"/>
        <w:lang w:val="en-AU"/>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15:restartNumberingAfterBreak="0">
    <w:nsid w:val="103D33CE"/>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12F591A"/>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17F5A26"/>
    <w:multiLevelType w:val="hybridMultilevel"/>
    <w:tmpl w:val="7B5AAFFE"/>
    <w:lvl w:ilvl="0" w:tplc="316AFE26">
      <w:start w:val="1"/>
      <w:numFmt w:val="lowerRoman"/>
      <w:lvlText w:val="%1."/>
      <w:lvlJc w:val="right"/>
      <w:pPr>
        <w:ind w:left="1800" w:hanging="144"/>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6" w15:restartNumberingAfterBreak="0">
    <w:nsid w:val="11E6515B"/>
    <w:multiLevelType w:val="hybridMultilevel"/>
    <w:tmpl w:val="C0D6481E"/>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7" w15:restartNumberingAfterBreak="0">
    <w:nsid w:val="11FE6686"/>
    <w:multiLevelType w:val="hybridMultilevel"/>
    <w:tmpl w:val="E514DABE"/>
    <w:lvl w:ilvl="0" w:tplc="04090019">
      <w:start w:val="1"/>
      <w:numFmt w:val="lowerLetter"/>
      <w:lvlText w:val="%1."/>
      <w:lvlJc w:val="left"/>
      <w:pPr>
        <w:ind w:left="1267"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2630931"/>
    <w:multiLevelType w:val="hybridMultilevel"/>
    <w:tmpl w:val="2126FD38"/>
    <w:lvl w:ilvl="0" w:tplc="04090019">
      <w:start w:val="1"/>
      <w:numFmt w:val="lowerLetter"/>
      <w:lvlText w:val="%1."/>
      <w:lvlJc w:val="left"/>
      <w:pPr>
        <w:ind w:left="1350" w:hanging="360"/>
      </w:pPr>
      <w:rPr>
        <w:b w:val="0"/>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9" w15:restartNumberingAfterBreak="0">
    <w:nsid w:val="126F592F"/>
    <w:multiLevelType w:val="hybridMultilevel"/>
    <w:tmpl w:val="6A4A2188"/>
    <w:lvl w:ilvl="0" w:tplc="DAF46508">
      <w:start w:val="1"/>
      <w:numFmt w:val="upperLetter"/>
      <w:pStyle w:val="Style48"/>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277147E"/>
    <w:multiLevelType w:val="multilevel"/>
    <w:tmpl w:val="8F00827A"/>
    <w:lvl w:ilvl="0">
      <w:numFmt w:val="decimal"/>
      <w:pStyle w:val="Notetex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291093D"/>
    <w:multiLevelType w:val="hybridMultilevel"/>
    <w:tmpl w:val="216ED72E"/>
    <w:lvl w:ilvl="0" w:tplc="A5AE8836">
      <w:start w:val="1"/>
      <w:numFmt w:val="decimal"/>
      <w:lvlText w:val="3.%1"/>
      <w:lvlJc w:val="right"/>
      <w:pPr>
        <w:ind w:left="450" w:hanging="360"/>
      </w:pPr>
      <w:rPr>
        <w:rFonts w:hint="default"/>
        <w:strike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29342AC"/>
    <w:multiLevelType w:val="hybridMultilevel"/>
    <w:tmpl w:val="D274558A"/>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2BB514B"/>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3CD4774"/>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3E606B2"/>
    <w:multiLevelType w:val="hybridMultilevel"/>
    <w:tmpl w:val="D274558A"/>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3E7452C"/>
    <w:multiLevelType w:val="hybridMultilevel"/>
    <w:tmpl w:val="BB8A2A3E"/>
    <w:lvl w:ilvl="0" w:tplc="0FD81822">
      <w:start w:val="1"/>
      <w:numFmt w:val="decimal"/>
      <w:lvlText w:val="1.%1"/>
      <w:lvlJc w:val="righ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40A08FE"/>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43C6442"/>
    <w:multiLevelType w:val="multilevel"/>
    <w:tmpl w:val="0BA06E6A"/>
    <w:lvl w:ilvl="0">
      <w:start w:val="1"/>
      <w:numFmt w:val="decimal"/>
      <w:lvlText w:val="%1."/>
      <w:lvlJc w:val="left"/>
      <w:pPr>
        <w:ind w:left="2880" w:hanging="360"/>
      </w:pPr>
      <w:rPr>
        <w:rFonts w:hint="default"/>
      </w:rPr>
    </w:lvl>
    <w:lvl w:ilvl="1">
      <w:start w:val="1"/>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59" w15:restartNumberingAfterBreak="0">
    <w:nsid w:val="14430263"/>
    <w:multiLevelType w:val="hybridMultilevel"/>
    <w:tmpl w:val="E45A0BDA"/>
    <w:lvl w:ilvl="0" w:tplc="04090019">
      <w:start w:val="1"/>
      <w:numFmt w:val="lowerLetter"/>
      <w:lvlText w:val="%1."/>
      <w:lvlJc w:val="left"/>
      <w:pPr>
        <w:ind w:left="1350" w:hanging="360"/>
      </w:pPr>
      <w:rPr>
        <w:b w:val="0"/>
        <w:color w:val="auto"/>
        <w:sz w:val="22"/>
        <w:szCs w:val="22"/>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0" w15:restartNumberingAfterBreak="0">
    <w:nsid w:val="14BC31E6"/>
    <w:multiLevelType w:val="multilevel"/>
    <w:tmpl w:val="BD0AC232"/>
    <w:lvl w:ilvl="0">
      <w:start w:val="1"/>
      <w:numFmt w:val="decimal"/>
      <w:lvlText w:val="%1."/>
      <w:lvlJc w:val="left"/>
      <w:pPr>
        <w:ind w:left="2880" w:hanging="360"/>
      </w:pPr>
      <w:rPr>
        <w:rFonts w:hint="default"/>
      </w:rPr>
    </w:lvl>
    <w:lvl w:ilvl="1">
      <w:start w:val="1"/>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61" w15:restartNumberingAfterBreak="0">
    <w:nsid w:val="14E717F6"/>
    <w:multiLevelType w:val="hybridMultilevel"/>
    <w:tmpl w:val="7B5AAFFE"/>
    <w:lvl w:ilvl="0" w:tplc="316AFE26">
      <w:start w:val="1"/>
      <w:numFmt w:val="lowerRoman"/>
      <w:lvlText w:val="%1."/>
      <w:lvlJc w:val="right"/>
      <w:pPr>
        <w:ind w:left="1800" w:hanging="144"/>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2" w15:restartNumberingAfterBreak="0">
    <w:nsid w:val="15410255"/>
    <w:multiLevelType w:val="hybridMultilevel"/>
    <w:tmpl w:val="8A125994"/>
    <w:lvl w:ilvl="0" w:tplc="04090019">
      <w:start w:val="1"/>
      <w:numFmt w:val="lowerLetter"/>
      <w:lvlText w:val="%1."/>
      <w:lvlJc w:val="left"/>
      <w:pPr>
        <w:ind w:left="1350" w:hanging="360"/>
      </w:pPr>
      <w:rPr>
        <w:lang w:val="en-AU"/>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3" w15:restartNumberingAfterBreak="0">
    <w:nsid w:val="154E1480"/>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5773C83"/>
    <w:multiLevelType w:val="multilevel"/>
    <w:tmpl w:val="6052B2E6"/>
    <w:styleLink w:val="1"/>
    <w:lvl w:ilvl="0">
      <w:start w:val="1"/>
      <w:numFmt w:val="upperRoman"/>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5" w15:restartNumberingAfterBreak="0">
    <w:nsid w:val="15854922"/>
    <w:multiLevelType w:val="multilevel"/>
    <w:tmpl w:val="E9BA320A"/>
    <w:lvl w:ilvl="0">
      <w:start w:val="5"/>
      <w:numFmt w:val="decimal"/>
      <w:lvlText w:val="%1"/>
      <w:lvlJc w:val="left"/>
      <w:pPr>
        <w:ind w:left="390" w:hanging="390"/>
      </w:pPr>
      <w:rPr>
        <w:rFonts w:hint="default"/>
      </w:rPr>
    </w:lvl>
    <w:lvl w:ilvl="1">
      <w:start w:val="52"/>
      <w:numFmt w:val="decimal"/>
      <w:lvlText w:val="%1.%2"/>
      <w:lvlJc w:val="left"/>
      <w:pPr>
        <w:ind w:left="390" w:hanging="390"/>
      </w:pPr>
      <w:rPr>
        <w:rFonts w:hint="default"/>
      </w:rPr>
    </w:lvl>
    <w:lvl w:ilvl="2">
      <w:start w:val="1"/>
      <w:numFmt w:val="lowerLetter"/>
      <w:lvlText w:val="%3."/>
      <w:lvlJc w:val="left"/>
      <w:pPr>
        <w:ind w:left="720" w:hanging="720"/>
      </w:pPr>
      <w:rPr>
        <w:rFonts w:ascii="Calibri" w:eastAsia="Calibri" w:hAnsi="Calibri" w:cs="Calibri"/>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15:restartNumberingAfterBreak="0">
    <w:nsid w:val="15CA20FB"/>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6155F18"/>
    <w:multiLevelType w:val="hybridMultilevel"/>
    <w:tmpl w:val="0546A728"/>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8" w15:restartNumberingAfterBreak="0">
    <w:nsid w:val="166678D5"/>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6834D31"/>
    <w:multiLevelType w:val="multilevel"/>
    <w:tmpl w:val="9878995C"/>
    <w:styleLink w:val="Style54"/>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187C7F1D"/>
    <w:multiLevelType w:val="multilevel"/>
    <w:tmpl w:val="7596709A"/>
    <w:lvl w:ilvl="0">
      <w:start w:val="1"/>
      <w:numFmt w:val="decimal"/>
      <w:pStyle w:val="StyleBodyTextBold"/>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1" w15:restartNumberingAfterBreak="0">
    <w:nsid w:val="18CD18C7"/>
    <w:multiLevelType w:val="hybridMultilevel"/>
    <w:tmpl w:val="E514DABE"/>
    <w:lvl w:ilvl="0" w:tplc="04090019">
      <w:start w:val="1"/>
      <w:numFmt w:val="lowerLetter"/>
      <w:lvlText w:val="%1."/>
      <w:lvlJc w:val="left"/>
      <w:pPr>
        <w:ind w:left="1267"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9AA3EFD"/>
    <w:multiLevelType w:val="hybridMultilevel"/>
    <w:tmpl w:val="71EA7FFA"/>
    <w:lvl w:ilvl="0" w:tplc="8EC83A68">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1B1E0525"/>
    <w:multiLevelType w:val="hybridMultilevel"/>
    <w:tmpl w:val="D274558A"/>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B634C2C"/>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B94412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6" w15:restartNumberingAfterBreak="0">
    <w:nsid w:val="1BFA7BC4"/>
    <w:multiLevelType w:val="hybridMultilevel"/>
    <w:tmpl w:val="E0245728"/>
    <w:lvl w:ilvl="0" w:tplc="04090001">
      <w:start w:val="1"/>
      <w:numFmt w:val="lowerLetter"/>
      <w:lvlText w:val="(%1)"/>
      <w:lvlJc w:val="left"/>
      <w:pPr>
        <w:ind w:left="720" w:hanging="360"/>
      </w:pPr>
      <w:rPr>
        <w:rFonts w:hint="default"/>
      </w:rPr>
    </w:lvl>
    <w:lvl w:ilvl="1" w:tplc="04090003">
      <w:start w:val="1"/>
      <w:numFmt w:val="lowerLetter"/>
      <w:pStyle w:val="3BookAntiqua9pt"/>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7" w15:restartNumberingAfterBreak="0">
    <w:nsid w:val="1C7B4306"/>
    <w:multiLevelType w:val="hybridMultilevel"/>
    <w:tmpl w:val="E45A0BDA"/>
    <w:lvl w:ilvl="0" w:tplc="04090019">
      <w:start w:val="1"/>
      <w:numFmt w:val="lowerLetter"/>
      <w:lvlText w:val="%1."/>
      <w:lvlJc w:val="left"/>
      <w:pPr>
        <w:ind w:left="1350" w:hanging="360"/>
      </w:pPr>
      <w:rPr>
        <w:b w:val="0"/>
        <w:color w:val="auto"/>
        <w:sz w:val="22"/>
        <w:szCs w:val="22"/>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8" w15:restartNumberingAfterBreak="0">
    <w:nsid w:val="1D674133"/>
    <w:multiLevelType w:val="multilevel"/>
    <w:tmpl w:val="AF503088"/>
    <w:lvl w:ilvl="0">
      <w:start w:val="5"/>
      <w:numFmt w:val="decimal"/>
      <w:lvlText w:val="%1"/>
      <w:lvlJc w:val="left"/>
      <w:pPr>
        <w:ind w:left="360" w:hanging="360"/>
      </w:pPr>
      <w:rPr>
        <w:rFonts w:hint="default"/>
      </w:rPr>
    </w:lvl>
    <w:lvl w:ilvl="1">
      <w:start w:val="22"/>
      <w:numFmt w:val="decimal"/>
      <w:lvlText w:val="%1.%2"/>
      <w:lvlJc w:val="left"/>
      <w:pPr>
        <w:ind w:left="360" w:hanging="360"/>
      </w:pPr>
      <w:rPr>
        <w:rFonts w:hint="default"/>
      </w:rPr>
    </w:lvl>
    <w:lvl w:ilvl="2">
      <w:start w:val="1"/>
      <w:numFmt w:val="lowerLetter"/>
      <w:lvlText w:val="%3."/>
      <w:lvlJc w:val="left"/>
      <w:pPr>
        <w:ind w:left="720" w:hanging="720"/>
      </w:pPr>
      <w:rPr>
        <w:rFonts w:ascii="Calibri" w:eastAsia="Calibri" w:hAnsi="Calibri" w:cs="Calibri"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9" w15:restartNumberingAfterBreak="0">
    <w:nsid w:val="1DBC59AC"/>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E7D474F"/>
    <w:multiLevelType w:val="hybridMultilevel"/>
    <w:tmpl w:val="CD889768"/>
    <w:lvl w:ilvl="0" w:tplc="04090019">
      <w:start w:val="1"/>
      <w:numFmt w:val="lowerLetter"/>
      <w:lvlText w:val="%1."/>
      <w:lvlJc w:val="left"/>
      <w:pPr>
        <w:ind w:left="1350" w:hanging="360"/>
      </w:pPr>
      <w:rPr>
        <w:b w:val="0"/>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1" w15:restartNumberingAfterBreak="0">
    <w:nsid w:val="1EB961E9"/>
    <w:multiLevelType w:val="hybridMultilevel"/>
    <w:tmpl w:val="CAE8DD4E"/>
    <w:lvl w:ilvl="0" w:tplc="A4EA3E58">
      <w:start w:val="1"/>
      <w:numFmt w:val="bullet"/>
      <w:pStyle w:val="a1"/>
      <w:lvlText w:val="•"/>
      <w:lvlJc w:val="left"/>
      <w:pPr>
        <w:ind w:left="790" w:hanging="400"/>
      </w:pPr>
      <w:rPr>
        <w:rFonts w:ascii="Arial" w:hAnsi="Arial" w:hint="default"/>
      </w:rPr>
    </w:lvl>
    <w:lvl w:ilvl="1" w:tplc="040C000F" w:tentative="1">
      <w:start w:val="1"/>
      <w:numFmt w:val="bullet"/>
      <w:lvlText w:val=""/>
      <w:lvlJc w:val="left"/>
      <w:pPr>
        <w:ind w:left="1190" w:hanging="400"/>
      </w:pPr>
      <w:rPr>
        <w:rFonts w:ascii="Wingdings" w:hAnsi="Wingdings" w:hint="default"/>
      </w:rPr>
    </w:lvl>
    <w:lvl w:ilvl="2" w:tplc="040C0005" w:tentative="1">
      <w:start w:val="1"/>
      <w:numFmt w:val="bullet"/>
      <w:lvlText w:val=""/>
      <w:lvlJc w:val="left"/>
      <w:pPr>
        <w:ind w:left="1590" w:hanging="400"/>
      </w:pPr>
      <w:rPr>
        <w:rFonts w:ascii="Wingdings" w:hAnsi="Wingdings" w:hint="default"/>
      </w:rPr>
    </w:lvl>
    <w:lvl w:ilvl="3" w:tplc="040C0001" w:tentative="1">
      <w:start w:val="1"/>
      <w:numFmt w:val="bullet"/>
      <w:lvlText w:val=""/>
      <w:lvlJc w:val="left"/>
      <w:pPr>
        <w:ind w:left="1990" w:hanging="400"/>
      </w:pPr>
      <w:rPr>
        <w:rFonts w:ascii="Wingdings" w:hAnsi="Wingdings" w:hint="default"/>
      </w:rPr>
    </w:lvl>
    <w:lvl w:ilvl="4" w:tplc="040C0003" w:tentative="1">
      <w:start w:val="1"/>
      <w:numFmt w:val="bullet"/>
      <w:lvlText w:val=""/>
      <w:lvlJc w:val="left"/>
      <w:pPr>
        <w:ind w:left="2390" w:hanging="400"/>
      </w:pPr>
      <w:rPr>
        <w:rFonts w:ascii="Wingdings" w:hAnsi="Wingdings" w:hint="default"/>
      </w:rPr>
    </w:lvl>
    <w:lvl w:ilvl="5" w:tplc="040C0005" w:tentative="1">
      <w:start w:val="1"/>
      <w:numFmt w:val="bullet"/>
      <w:lvlText w:val=""/>
      <w:lvlJc w:val="left"/>
      <w:pPr>
        <w:ind w:left="2790" w:hanging="400"/>
      </w:pPr>
      <w:rPr>
        <w:rFonts w:ascii="Wingdings" w:hAnsi="Wingdings" w:hint="default"/>
      </w:rPr>
    </w:lvl>
    <w:lvl w:ilvl="6" w:tplc="040C0001" w:tentative="1">
      <w:start w:val="1"/>
      <w:numFmt w:val="bullet"/>
      <w:lvlText w:val=""/>
      <w:lvlJc w:val="left"/>
      <w:pPr>
        <w:ind w:left="3190" w:hanging="400"/>
      </w:pPr>
      <w:rPr>
        <w:rFonts w:ascii="Wingdings" w:hAnsi="Wingdings" w:hint="default"/>
      </w:rPr>
    </w:lvl>
    <w:lvl w:ilvl="7" w:tplc="040C0003" w:tentative="1">
      <w:start w:val="1"/>
      <w:numFmt w:val="bullet"/>
      <w:lvlText w:val=""/>
      <w:lvlJc w:val="left"/>
      <w:pPr>
        <w:ind w:left="3590" w:hanging="400"/>
      </w:pPr>
      <w:rPr>
        <w:rFonts w:ascii="Wingdings" w:hAnsi="Wingdings" w:hint="default"/>
      </w:rPr>
    </w:lvl>
    <w:lvl w:ilvl="8" w:tplc="040C0005" w:tentative="1">
      <w:start w:val="1"/>
      <w:numFmt w:val="bullet"/>
      <w:lvlText w:val=""/>
      <w:lvlJc w:val="left"/>
      <w:pPr>
        <w:ind w:left="3990" w:hanging="400"/>
      </w:pPr>
      <w:rPr>
        <w:rFonts w:ascii="Wingdings" w:hAnsi="Wingdings" w:hint="default"/>
      </w:rPr>
    </w:lvl>
  </w:abstractNum>
  <w:abstractNum w:abstractNumId="82" w15:restartNumberingAfterBreak="0">
    <w:nsid w:val="1EE90857"/>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1F583872"/>
    <w:multiLevelType w:val="hybridMultilevel"/>
    <w:tmpl w:val="3170DCCE"/>
    <w:lvl w:ilvl="0" w:tplc="08C49754">
      <w:start w:val="1"/>
      <w:numFmt w:val="bullet"/>
      <w:pStyle w:val="BodyTextSummary"/>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1F634198"/>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104514A"/>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1671AEF"/>
    <w:multiLevelType w:val="multilevel"/>
    <w:tmpl w:val="2586CCAC"/>
    <w:lvl w:ilvl="0">
      <w:start w:val="2"/>
      <w:numFmt w:val="decimal"/>
      <w:lvlText w:val="%1"/>
      <w:lvlJc w:val="left"/>
      <w:pPr>
        <w:ind w:left="360" w:hanging="360"/>
      </w:pPr>
      <w:rPr>
        <w:rFonts w:hint="default"/>
      </w:rPr>
    </w:lvl>
    <w:lvl w:ilvl="1">
      <w:start w:val="1"/>
      <w:numFmt w:val="decimal"/>
      <w:lvlText w:val="3.%2"/>
      <w:lvlJc w:val="left"/>
      <w:pPr>
        <w:ind w:left="360" w:hanging="360"/>
      </w:pPr>
      <w:rPr>
        <w:rFonts w:ascii="Andes" w:hAnsi="Andes" w:hint="default"/>
        <w:b w:val="0"/>
        <w:i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21933C80"/>
    <w:multiLevelType w:val="hybridMultilevel"/>
    <w:tmpl w:val="D274558A"/>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221070E"/>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2FE13BB"/>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3F92E66"/>
    <w:multiLevelType w:val="hybridMultilevel"/>
    <w:tmpl w:val="E45A0BDA"/>
    <w:lvl w:ilvl="0" w:tplc="04090019">
      <w:start w:val="1"/>
      <w:numFmt w:val="lowerLetter"/>
      <w:lvlText w:val="%1."/>
      <w:lvlJc w:val="left"/>
      <w:pPr>
        <w:ind w:left="1350" w:hanging="360"/>
      </w:pPr>
      <w:rPr>
        <w:b w:val="0"/>
        <w:color w:val="auto"/>
        <w:sz w:val="22"/>
        <w:szCs w:val="22"/>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1" w15:restartNumberingAfterBreak="0">
    <w:nsid w:val="242B4D9F"/>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5A0148C"/>
    <w:multiLevelType w:val="hybridMultilevel"/>
    <w:tmpl w:val="A4B08B3C"/>
    <w:lvl w:ilvl="0" w:tplc="04090017">
      <w:start w:val="1"/>
      <w:numFmt w:val="bullet"/>
      <w:pStyle w:val="a2"/>
      <w:lvlText w:val="•"/>
      <w:lvlJc w:val="left"/>
      <w:pPr>
        <w:tabs>
          <w:tab w:val="num" w:pos="360"/>
        </w:tabs>
        <w:ind w:left="360" w:hanging="360"/>
      </w:pPr>
      <w:rPr>
        <w:rFonts w:ascii="Arial" w:hAnsi="Arial" w:cs="Times New Roman" w:hint="default"/>
      </w:rPr>
    </w:lvl>
    <w:lvl w:ilvl="1" w:tplc="04090019">
      <w:start w:val="1"/>
      <w:numFmt w:val="bullet"/>
      <w:lvlText w:val="•"/>
      <w:lvlJc w:val="left"/>
      <w:pPr>
        <w:tabs>
          <w:tab w:val="num" w:pos="590"/>
        </w:tabs>
        <w:ind w:left="590" w:hanging="360"/>
      </w:pPr>
      <w:rPr>
        <w:rFonts w:ascii="Arial" w:hAnsi="Arial" w:cs="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3" w15:restartNumberingAfterBreak="0">
    <w:nsid w:val="25CE1564"/>
    <w:multiLevelType w:val="hybridMultilevel"/>
    <w:tmpl w:val="80D033E0"/>
    <w:lvl w:ilvl="0" w:tplc="04090019">
      <w:start w:val="1"/>
      <w:numFmt w:val="lowerLetter"/>
      <w:lvlText w:val="%1."/>
      <w:lvlJc w:val="left"/>
      <w:pPr>
        <w:ind w:left="135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4" w15:restartNumberingAfterBreak="0">
    <w:nsid w:val="25D50F42"/>
    <w:multiLevelType w:val="hybridMultilevel"/>
    <w:tmpl w:val="D274558A"/>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62A466B"/>
    <w:multiLevelType w:val="hybridMultilevel"/>
    <w:tmpl w:val="E514DABE"/>
    <w:lvl w:ilvl="0" w:tplc="04090019">
      <w:start w:val="1"/>
      <w:numFmt w:val="lowerLetter"/>
      <w:lvlText w:val="%1."/>
      <w:lvlJc w:val="left"/>
      <w:pPr>
        <w:ind w:left="1267"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26C45F84"/>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80744E1"/>
    <w:multiLevelType w:val="multilevel"/>
    <w:tmpl w:val="590E0182"/>
    <w:lvl w:ilvl="0">
      <w:start w:val="2"/>
      <w:numFmt w:val="decimal"/>
      <w:lvlText w:val="%1"/>
      <w:lvlJc w:val="left"/>
      <w:pPr>
        <w:ind w:left="360" w:hanging="360"/>
      </w:pPr>
      <w:rPr>
        <w:rFonts w:hint="default"/>
      </w:rPr>
    </w:lvl>
    <w:lvl w:ilvl="1">
      <w:start w:val="1"/>
      <w:numFmt w:val="decimal"/>
      <w:lvlText w:val="%1.%2"/>
      <w:lvlJc w:val="left"/>
      <w:pPr>
        <w:ind w:left="270" w:hanging="360"/>
      </w:pPr>
      <w:rPr>
        <w:rFonts w:hint="default"/>
      </w:rPr>
    </w:lvl>
    <w:lvl w:ilvl="2">
      <w:start w:val="1"/>
      <w:numFmt w:val="decimal"/>
      <w:lvlText w:val="%1.%2.%3"/>
      <w:lvlJc w:val="left"/>
      <w:pPr>
        <w:ind w:left="540" w:hanging="720"/>
      </w:pPr>
      <w:rPr>
        <w:rFonts w:hint="default"/>
      </w:rPr>
    </w:lvl>
    <w:lvl w:ilvl="3">
      <w:start w:val="1"/>
      <w:numFmt w:val="decimal"/>
      <w:lvlText w:val="%1.%2.%3.%4"/>
      <w:lvlJc w:val="left"/>
      <w:pPr>
        <w:ind w:left="450" w:hanging="720"/>
      </w:pPr>
      <w:rPr>
        <w:rFonts w:hint="default"/>
      </w:rPr>
    </w:lvl>
    <w:lvl w:ilvl="4">
      <w:start w:val="1"/>
      <w:numFmt w:val="decimal"/>
      <w:lvlText w:val="%1.%2.%3.%4.%5"/>
      <w:lvlJc w:val="left"/>
      <w:pPr>
        <w:ind w:left="720" w:hanging="1080"/>
      </w:pPr>
      <w:rPr>
        <w:rFonts w:hint="default"/>
      </w:rPr>
    </w:lvl>
    <w:lvl w:ilvl="5">
      <w:start w:val="1"/>
      <w:numFmt w:val="decimal"/>
      <w:lvlText w:val="%1.%2.%3.%4.%5.%6"/>
      <w:lvlJc w:val="left"/>
      <w:pPr>
        <w:ind w:left="630" w:hanging="1080"/>
      </w:pPr>
      <w:rPr>
        <w:rFonts w:hint="default"/>
      </w:rPr>
    </w:lvl>
    <w:lvl w:ilvl="6">
      <w:start w:val="1"/>
      <w:numFmt w:val="decimal"/>
      <w:lvlText w:val="%1.%2.%3.%4.%5.%6.%7"/>
      <w:lvlJc w:val="left"/>
      <w:pPr>
        <w:ind w:left="900" w:hanging="1440"/>
      </w:pPr>
      <w:rPr>
        <w:rFonts w:hint="default"/>
      </w:rPr>
    </w:lvl>
    <w:lvl w:ilvl="7">
      <w:start w:val="1"/>
      <w:numFmt w:val="decimal"/>
      <w:lvlText w:val="%1.%2.%3.%4.%5.%6.%7.%8"/>
      <w:lvlJc w:val="left"/>
      <w:pPr>
        <w:ind w:left="810" w:hanging="1440"/>
      </w:pPr>
      <w:rPr>
        <w:rFonts w:hint="default"/>
      </w:rPr>
    </w:lvl>
    <w:lvl w:ilvl="8">
      <w:start w:val="1"/>
      <w:numFmt w:val="decimal"/>
      <w:lvlText w:val="%1.%2.%3.%4.%5.%6.%7.%8.%9"/>
      <w:lvlJc w:val="left"/>
      <w:pPr>
        <w:ind w:left="1080" w:hanging="1800"/>
      </w:pPr>
      <w:rPr>
        <w:rFonts w:hint="default"/>
      </w:rPr>
    </w:lvl>
  </w:abstractNum>
  <w:abstractNum w:abstractNumId="98" w15:restartNumberingAfterBreak="0">
    <w:nsid w:val="28161154"/>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84A5F6A"/>
    <w:multiLevelType w:val="hybridMultilevel"/>
    <w:tmpl w:val="3AD677B6"/>
    <w:lvl w:ilvl="0" w:tplc="97028B4E">
      <w:start w:val="50"/>
      <w:numFmt w:val="decimal"/>
      <w:lvlText w:val="5.%1"/>
      <w:lvlJc w:val="left"/>
      <w:pPr>
        <w:ind w:left="1170" w:hanging="360"/>
      </w:pPr>
      <w:rPr>
        <w:rFonts w:ascii="Andes" w:hAnsi="Andes" w:hint="default"/>
        <w:b w:val="0"/>
        <w:i w:val="0"/>
        <w:strike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86F5714"/>
    <w:multiLevelType w:val="hybridMultilevel"/>
    <w:tmpl w:val="C0D6481E"/>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1" w15:restartNumberingAfterBreak="0">
    <w:nsid w:val="28A9158F"/>
    <w:multiLevelType w:val="hybridMultilevel"/>
    <w:tmpl w:val="6366A352"/>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2" w15:restartNumberingAfterBreak="0">
    <w:nsid w:val="28D93486"/>
    <w:multiLevelType w:val="hybridMultilevel"/>
    <w:tmpl w:val="2BEA2D56"/>
    <w:lvl w:ilvl="0" w:tplc="C804C70C">
      <w:start w:val="1"/>
      <w:numFmt w:val="decimal"/>
      <w:lvlText w:val="4.%1"/>
      <w:lvlJc w:val="righ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8FD2590"/>
    <w:multiLevelType w:val="hybridMultilevel"/>
    <w:tmpl w:val="8C92469E"/>
    <w:lvl w:ilvl="0" w:tplc="0409001B">
      <w:start w:val="1"/>
      <w:numFmt w:val="lowerRoman"/>
      <w:lvlText w:val="%1."/>
      <w:lvlJc w:val="right"/>
      <w:pPr>
        <w:ind w:left="1987" w:hanging="360"/>
      </w:pPr>
    </w:lvl>
    <w:lvl w:ilvl="1" w:tplc="04090019" w:tentative="1">
      <w:start w:val="1"/>
      <w:numFmt w:val="lowerLetter"/>
      <w:lvlText w:val="%2."/>
      <w:lvlJc w:val="lef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104" w15:restartNumberingAfterBreak="0">
    <w:nsid w:val="294A38A1"/>
    <w:multiLevelType w:val="hybridMultilevel"/>
    <w:tmpl w:val="06C4CAA6"/>
    <w:lvl w:ilvl="0" w:tplc="0409001B">
      <w:start w:val="1"/>
      <w:numFmt w:val="lowerRoman"/>
      <w:lvlText w:val="%1."/>
      <w:lvlJc w:val="right"/>
      <w:pPr>
        <w:ind w:left="1350" w:hanging="360"/>
      </w:pPr>
      <w:rPr>
        <w:b w:val="0"/>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5" w15:restartNumberingAfterBreak="0">
    <w:nsid w:val="2B267A90"/>
    <w:multiLevelType w:val="hybridMultilevel"/>
    <w:tmpl w:val="0546A728"/>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6" w15:restartNumberingAfterBreak="0">
    <w:nsid w:val="2B545E5E"/>
    <w:multiLevelType w:val="hybridMultilevel"/>
    <w:tmpl w:val="93EAFEFC"/>
    <w:lvl w:ilvl="0" w:tplc="1194AA16">
      <w:start w:val="1"/>
      <w:numFmt w:val="upperRoman"/>
      <w:pStyle w:val="Style52"/>
      <w:lvlText w:val="Section %1."/>
      <w:lvlJc w:val="left"/>
      <w:pPr>
        <w:ind w:left="5130" w:hanging="720"/>
      </w:pPr>
      <w:rPr>
        <w:rFonts w:hint="default"/>
      </w:rPr>
    </w:lvl>
    <w:lvl w:ilvl="1" w:tplc="04090019">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107" w15:restartNumberingAfterBreak="0">
    <w:nsid w:val="2BD54404"/>
    <w:multiLevelType w:val="hybridMultilevel"/>
    <w:tmpl w:val="1D3E55EC"/>
    <w:lvl w:ilvl="0" w:tplc="FD8A5F32">
      <w:start w:val="4"/>
      <w:numFmt w:val="bullet"/>
      <w:pStyle w:val="-0"/>
      <w:lvlText w:val="-"/>
      <w:lvlJc w:val="left"/>
      <w:pPr>
        <w:tabs>
          <w:tab w:val="num" w:pos="720"/>
        </w:tabs>
        <w:ind w:left="720" w:hanging="360"/>
      </w:pPr>
      <w:rPr>
        <w:rFonts w:ascii="Malgun Gothic" w:eastAsia="Malgun Gothic" w:hAnsi="Malgun Gothic" w:cs="Times New Roman" w:hint="eastAsia"/>
      </w:rPr>
    </w:lvl>
    <w:lvl w:ilvl="1" w:tplc="55B80702" w:tentative="1">
      <w:start w:val="1"/>
      <w:numFmt w:val="bullet"/>
      <w:lvlText w:val=""/>
      <w:lvlJc w:val="left"/>
      <w:pPr>
        <w:tabs>
          <w:tab w:val="num" w:pos="1440"/>
        </w:tabs>
        <w:ind w:left="1440" w:hanging="360"/>
      </w:pPr>
      <w:rPr>
        <w:rFonts w:ascii="Wingdings" w:hAnsi="Wingdings" w:hint="default"/>
      </w:rPr>
    </w:lvl>
    <w:lvl w:ilvl="2" w:tplc="4DA29270" w:tentative="1">
      <w:start w:val="1"/>
      <w:numFmt w:val="bullet"/>
      <w:lvlText w:val=""/>
      <w:lvlJc w:val="left"/>
      <w:pPr>
        <w:tabs>
          <w:tab w:val="num" w:pos="2160"/>
        </w:tabs>
        <w:ind w:left="2160" w:hanging="360"/>
      </w:pPr>
      <w:rPr>
        <w:rFonts w:ascii="Wingdings" w:hAnsi="Wingdings" w:hint="default"/>
      </w:rPr>
    </w:lvl>
    <w:lvl w:ilvl="3" w:tplc="3A24D55A" w:tentative="1">
      <w:start w:val="1"/>
      <w:numFmt w:val="bullet"/>
      <w:lvlText w:val=""/>
      <w:lvlJc w:val="left"/>
      <w:pPr>
        <w:tabs>
          <w:tab w:val="num" w:pos="2880"/>
        </w:tabs>
        <w:ind w:left="2880" w:hanging="360"/>
      </w:pPr>
      <w:rPr>
        <w:rFonts w:ascii="Wingdings" w:hAnsi="Wingdings" w:hint="default"/>
      </w:rPr>
    </w:lvl>
    <w:lvl w:ilvl="4" w:tplc="71846616" w:tentative="1">
      <w:start w:val="1"/>
      <w:numFmt w:val="bullet"/>
      <w:lvlText w:val=""/>
      <w:lvlJc w:val="left"/>
      <w:pPr>
        <w:tabs>
          <w:tab w:val="num" w:pos="3600"/>
        </w:tabs>
        <w:ind w:left="3600" w:hanging="360"/>
      </w:pPr>
      <w:rPr>
        <w:rFonts w:ascii="Wingdings" w:hAnsi="Wingdings" w:hint="default"/>
      </w:rPr>
    </w:lvl>
    <w:lvl w:ilvl="5" w:tplc="D526A9B6" w:tentative="1">
      <w:start w:val="1"/>
      <w:numFmt w:val="bullet"/>
      <w:lvlText w:val=""/>
      <w:lvlJc w:val="left"/>
      <w:pPr>
        <w:tabs>
          <w:tab w:val="num" w:pos="4320"/>
        </w:tabs>
        <w:ind w:left="4320" w:hanging="360"/>
      </w:pPr>
      <w:rPr>
        <w:rFonts w:ascii="Wingdings" w:hAnsi="Wingdings" w:hint="default"/>
      </w:rPr>
    </w:lvl>
    <w:lvl w:ilvl="6" w:tplc="535665C2" w:tentative="1">
      <w:start w:val="1"/>
      <w:numFmt w:val="bullet"/>
      <w:lvlText w:val=""/>
      <w:lvlJc w:val="left"/>
      <w:pPr>
        <w:tabs>
          <w:tab w:val="num" w:pos="5040"/>
        </w:tabs>
        <w:ind w:left="5040" w:hanging="360"/>
      </w:pPr>
      <w:rPr>
        <w:rFonts w:ascii="Wingdings" w:hAnsi="Wingdings" w:hint="default"/>
      </w:rPr>
    </w:lvl>
    <w:lvl w:ilvl="7" w:tplc="48CAF336" w:tentative="1">
      <w:start w:val="1"/>
      <w:numFmt w:val="bullet"/>
      <w:lvlText w:val=""/>
      <w:lvlJc w:val="left"/>
      <w:pPr>
        <w:tabs>
          <w:tab w:val="num" w:pos="5760"/>
        </w:tabs>
        <w:ind w:left="5760" w:hanging="360"/>
      </w:pPr>
      <w:rPr>
        <w:rFonts w:ascii="Wingdings" w:hAnsi="Wingdings" w:hint="default"/>
      </w:rPr>
    </w:lvl>
    <w:lvl w:ilvl="8" w:tplc="0DC24362"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2BDF4804"/>
    <w:multiLevelType w:val="hybridMultilevel"/>
    <w:tmpl w:val="49C68C7E"/>
    <w:lvl w:ilvl="0" w:tplc="40160EE0">
      <w:start w:val="1"/>
      <w:numFmt w:val="decimal"/>
      <w:lvlText w:val="2.%1"/>
      <w:lvlJc w:val="righ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2C697442"/>
    <w:multiLevelType w:val="hybridMultilevel"/>
    <w:tmpl w:val="B1F6AE2A"/>
    <w:lvl w:ilvl="0" w:tplc="FFFFFFFF">
      <w:start w:val="1"/>
      <w:numFmt w:val="lowerLetter"/>
      <w:lvlText w:val="%1."/>
      <w:lvlJc w:val="left"/>
      <w:pPr>
        <w:ind w:left="126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2CCB3645"/>
    <w:multiLevelType w:val="hybridMultilevel"/>
    <w:tmpl w:val="E330433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FEC0A7AC">
      <w:start w:val="1"/>
      <w:numFmt w:val="bullet"/>
      <w:lvlText w:val=""/>
      <w:lvlJc w:val="left"/>
      <w:pPr>
        <w:ind w:left="450" w:hanging="360"/>
      </w:pPr>
      <w:rPr>
        <w:rFonts w:ascii="Symbol" w:eastAsia="Times New Roman" w:hAnsi="Symbol" w:cs="Arial" w:hint="default"/>
        <w:vertAlign w:val="superscript"/>
      </w:rPr>
    </w:lvl>
    <w:lvl w:ilvl="3" w:tplc="C42A008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D11261E"/>
    <w:multiLevelType w:val="hybridMultilevel"/>
    <w:tmpl w:val="F03E17B0"/>
    <w:lvl w:ilvl="0" w:tplc="B95C8152">
      <w:start w:val="1"/>
      <w:numFmt w:val="bullet"/>
      <w:pStyle w:val="-1"/>
      <w:lvlText w:val="•"/>
      <w:lvlJc w:val="left"/>
      <w:pPr>
        <w:ind w:left="400" w:hanging="400"/>
      </w:pPr>
      <w:rPr>
        <w:rFonts w:ascii="Arial" w:hAnsi="Arial" w:hint="default"/>
      </w:rPr>
    </w:lvl>
    <w:lvl w:ilvl="1" w:tplc="FFFFFFFF" w:tentative="1">
      <w:start w:val="1"/>
      <w:numFmt w:val="bullet"/>
      <w:lvlText w:val=""/>
      <w:lvlJc w:val="left"/>
      <w:pPr>
        <w:ind w:left="1886" w:hanging="400"/>
      </w:pPr>
      <w:rPr>
        <w:rFonts w:ascii="Wingdings" w:hAnsi="Wingdings" w:hint="default"/>
      </w:rPr>
    </w:lvl>
    <w:lvl w:ilvl="2" w:tplc="FFFFFFFF" w:tentative="1">
      <w:start w:val="1"/>
      <w:numFmt w:val="bullet"/>
      <w:lvlText w:val=""/>
      <w:lvlJc w:val="left"/>
      <w:pPr>
        <w:ind w:left="2286" w:hanging="400"/>
      </w:pPr>
      <w:rPr>
        <w:rFonts w:ascii="Wingdings" w:hAnsi="Wingdings" w:hint="default"/>
      </w:rPr>
    </w:lvl>
    <w:lvl w:ilvl="3" w:tplc="FFFFFFFF" w:tentative="1">
      <w:start w:val="1"/>
      <w:numFmt w:val="bullet"/>
      <w:lvlText w:val=""/>
      <w:lvlJc w:val="left"/>
      <w:pPr>
        <w:ind w:left="2686" w:hanging="400"/>
      </w:pPr>
      <w:rPr>
        <w:rFonts w:ascii="Wingdings" w:hAnsi="Wingdings" w:hint="default"/>
      </w:rPr>
    </w:lvl>
    <w:lvl w:ilvl="4" w:tplc="FFFFFFFF" w:tentative="1">
      <w:start w:val="1"/>
      <w:numFmt w:val="bullet"/>
      <w:lvlText w:val=""/>
      <w:lvlJc w:val="left"/>
      <w:pPr>
        <w:ind w:left="3086" w:hanging="400"/>
      </w:pPr>
      <w:rPr>
        <w:rFonts w:ascii="Wingdings" w:hAnsi="Wingdings" w:hint="default"/>
      </w:rPr>
    </w:lvl>
    <w:lvl w:ilvl="5" w:tplc="FFFFFFFF" w:tentative="1">
      <w:start w:val="1"/>
      <w:numFmt w:val="bullet"/>
      <w:lvlText w:val=""/>
      <w:lvlJc w:val="left"/>
      <w:pPr>
        <w:ind w:left="3486" w:hanging="400"/>
      </w:pPr>
      <w:rPr>
        <w:rFonts w:ascii="Wingdings" w:hAnsi="Wingdings" w:hint="default"/>
      </w:rPr>
    </w:lvl>
    <w:lvl w:ilvl="6" w:tplc="FFFFFFFF" w:tentative="1">
      <w:start w:val="1"/>
      <w:numFmt w:val="bullet"/>
      <w:lvlText w:val=""/>
      <w:lvlJc w:val="left"/>
      <w:pPr>
        <w:ind w:left="3886" w:hanging="400"/>
      </w:pPr>
      <w:rPr>
        <w:rFonts w:ascii="Wingdings" w:hAnsi="Wingdings" w:hint="default"/>
      </w:rPr>
    </w:lvl>
    <w:lvl w:ilvl="7" w:tplc="FFFFFFFF" w:tentative="1">
      <w:start w:val="1"/>
      <w:numFmt w:val="bullet"/>
      <w:lvlText w:val=""/>
      <w:lvlJc w:val="left"/>
      <w:pPr>
        <w:ind w:left="4286" w:hanging="400"/>
      </w:pPr>
      <w:rPr>
        <w:rFonts w:ascii="Wingdings" w:hAnsi="Wingdings" w:hint="default"/>
      </w:rPr>
    </w:lvl>
    <w:lvl w:ilvl="8" w:tplc="FFFFFFFF" w:tentative="1">
      <w:start w:val="1"/>
      <w:numFmt w:val="bullet"/>
      <w:lvlText w:val=""/>
      <w:lvlJc w:val="left"/>
      <w:pPr>
        <w:ind w:left="4686" w:hanging="400"/>
      </w:pPr>
      <w:rPr>
        <w:rFonts w:ascii="Wingdings" w:hAnsi="Wingdings" w:hint="default"/>
      </w:rPr>
    </w:lvl>
  </w:abstractNum>
  <w:abstractNum w:abstractNumId="112" w15:restartNumberingAfterBreak="0">
    <w:nsid w:val="2E9077DB"/>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2EC440D1"/>
    <w:multiLevelType w:val="hybridMultilevel"/>
    <w:tmpl w:val="2DEC432C"/>
    <w:lvl w:ilvl="0" w:tplc="4D76233C">
      <w:start w:val="1"/>
      <w:numFmt w:val="bullet"/>
      <w:pStyle w:val="Style23"/>
      <w:lvlText w:val=""/>
      <w:lvlJc w:val="left"/>
      <w:pPr>
        <w:tabs>
          <w:tab w:val="num" w:pos="772"/>
        </w:tabs>
        <w:ind w:left="772" w:hanging="360"/>
      </w:pPr>
      <w:rPr>
        <w:rFonts w:ascii="Wingdings" w:hAnsi="Wingdings" w:hint="default"/>
      </w:rPr>
    </w:lvl>
    <w:lvl w:ilvl="1" w:tplc="08090003" w:tentative="1">
      <w:start w:val="1"/>
      <w:numFmt w:val="bullet"/>
      <w:lvlText w:val="o"/>
      <w:lvlJc w:val="left"/>
      <w:pPr>
        <w:tabs>
          <w:tab w:val="num" w:pos="1492"/>
        </w:tabs>
        <w:ind w:left="1492" w:hanging="360"/>
      </w:pPr>
      <w:rPr>
        <w:rFonts w:ascii="Courier New" w:hAnsi="Courier New" w:cs=".VnHelvetInsH" w:hint="default"/>
      </w:rPr>
    </w:lvl>
    <w:lvl w:ilvl="2" w:tplc="08090005" w:tentative="1">
      <w:start w:val="1"/>
      <w:numFmt w:val="bullet"/>
      <w:lvlText w:val=""/>
      <w:lvlJc w:val="left"/>
      <w:pPr>
        <w:tabs>
          <w:tab w:val="num" w:pos="2212"/>
        </w:tabs>
        <w:ind w:left="2212" w:hanging="360"/>
      </w:pPr>
      <w:rPr>
        <w:rFonts w:ascii="Wingdings" w:hAnsi="Wingdings" w:hint="default"/>
      </w:rPr>
    </w:lvl>
    <w:lvl w:ilvl="3" w:tplc="08090001" w:tentative="1">
      <w:start w:val="1"/>
      <w:numFmt w:val="bullet"/>
      <w:lvlText w:val=""/>
      <w:lvlJc w:val="left"/>
      <w:pPr>
        <w:tabs>
          <w:tab w:val="num" w:pos="2932"/>
        </w:tabs>
        <w:ind w:left="2932" w:hanging="360"/>
      </w:pPr>
      <w:rPr>
        <w:rFonts w:ascii="Symbol" w:hAnsi="Symbol" w:hint="default"/>
      </w:rPr>
    </w:lvl>
    <w:lvl w:ilvl="4" w:tplc="08090003" w:tentative="1">
      <w:start w:val="1"/>
      <w:numFmt w:val="bullet"/>
      <w:lvlText w:val="o"/>
      <w:lvlJc w:val="left"/>
      <w:pPr>
        <w:tabs>
          <w:tab w:val="num" w:pos="3652"/>
        </w:tabs>
        <w:ind w:left="3652" w:hanging="360"/>
      </w:pPr>
      <w:rPr>
        <w:rFonts w:ascii="Courier New" w:hAnsi="Courier New" w:cs=".VnHelvetInsH" w:hint="default"/>
      </w:rPr>
    </w:lvl>
    <w:lvl w:ilvl="5" w:tplc="08090005" w:tentative="1">
      <w:start w:val="1"/>
      <w:numFmt w:val="bullet"/>
      <w:lvlText w:val=""/>
      <w:lvlJc w:val="left"/>
      <w:pPr>
        <w:tabs>
          <w:tab w:val="num" w:pos="4372"/>
        </w:tabs>
        <w:ind w:left="4372" w:hanging="360"/>
      </w:pPr>
      <w:rPr>
        <w:rFonts w:ascii="Wingdings" w:hAnsi="Wingdings" w:hint="default"/>
      </w:rPr>
    </w:lvl>
    <w:lvl w:ilvl="6" w:tplc="08090001" w:tentative="1">
      <w:start w:val="1"/>
      <w:numFmt w:val="bullet"/>
      <w:lvlText w:val=""/>
      <w:lvlJc w:val="left"/>
      <w:pPr>
        <w:tabs>
          <w:tab w:val="num" w:pos="5092"/>
        </w:tabs>
        <w:ind w:left="5092" w:hanging="360"/>
      </w:pPr>
      <w:rPr>
        <w:rFonts w:ascii="Symbol" w:hAnsi="Symbol" w:hint="default"/>
      </w:rPr>
    </w:lvl>
    <w:lvl w:ilvl="7" w:tplc="08090003" w:tentative="1">
      <w:start w:val="1"/>
      <w:numFmt w:val="bullet"/>
      <w:lvlText w:val="o"/>
      <w:lvlJc w:val="left"/>
      <w:pPr>
        <w:tabs>
          <w:tab w:val="num" w:pos="5812"/>
        </w:tabs>
        <w:ind w:left="5812" w:hanging="360"/>
      </w:pPr>
      <w:rPr>
        <w:rFonts w:ascii="Courier New" w:hAnsi="Courier New" w:cs=".VnHelvetInsH" w:hint="default"/>
      </w:rPr>
    </w:lvl>
    <w:lvl w:ilvl="8" w:tplc="08090005" w:tentative="1">
      <w:start w:val="1"/>
      <w:numFmt w:val="bullet"/>
      <w:lvlText w:val=""/>
      <w:lvlJc w:val="left"/>
      <w:pPr>
        <w:tabs>
          <w:tab w:val="num" w:pos="6532"/>
        </w:tabs>
        <w:ind w:left="6532" w:hanging="360"/>
      </w:pPr>
      <w:rPr>
        <w:rFonts w:ascii="Wingdings" w:hAnsi="Wingdings" w:hint="default"/>
      </w:rPr>
    </w:lvl>
  </w:abstractNum>
  <w:abstractNum w:abstractNumId="114" w15:restartNumberingAfterBreak="0">
    <w:nsid w:val="2F5B6A55"/>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2FC83587"/>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2FE93AD9"/>
    <w:multiLevelType w:val="hybridMultilevel"/>
    <w:tmpl w:val="90603F66"/>
    <w:lvl w:ilvl="0" w:tplc="8800CFC6">
      <w:start w:val="1"/>
      <w:numFmt w:val="decimal"/>
      <w:pStyle w:val="Style8"/>
      <w:lvlText w:val="(%1)"/>
      <w:lvlJc w:val="left"/>
      <w:pPr>
        <w:tabs>
          <w:tab w:val="num" w:pos="851"/>
        </w:tabs>
        <w:ind w:left="851" w:hanging="491"/>
      </w:pPr>
      <w:rPr>
        <w:rFonts w:ascii="Arial" w:hAnsi="Arial" w:hint="default"/>
        <w:b/>
        <w:sz w:val="22"/>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17" w15:restartNumberingAfterBreak="0">
    <w:nsid w:val="30C540B8"/>
    <w:multiLevelType w:val="hybridMultilevel"/>
    <w:tmpl w:val="EA742534"/>
    <w:lvl w:ilvl="0" w:tplc="04090001">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118" w15:restartNumberingAfterBreak="0">
    <w:nsid w:val="3131518F"/>
    <w:multiLevelType w:val="hybridMultilevel"/>
    <w:tmpl w:val="8A125994"/>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9" w15:restartNumberingAfterBreak="0">
    <w:nsid w:val="32330353"/>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2826DF2"/>
    <w:multiLevelType w:val="hybridMultilevel"/>
    <w:tmpl w:val="67769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28A111F"/>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3C36D98"/>
    <w:multiLevelType w:val="multilevel"/>
    <w:tmpl w:val="0A803646"/>
    <w:styleLink w:val="FormTitleList"/>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134"/>
        </w:tabs>
        <w:ind w:left="1134" w:hanging="77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3" w15:restartNumberingAfterBreak="0">
    <w:nsid w:val="348C0D4E"/>
    <w:multiLevelType w:val="hybridMultilevel"/>
    <w:tmpl w:val="3EB64E88"/>
    <w:lvl w:ilvl="0" w:tplc="77C65CEA">
      <w:start w:val="1"/>
      <w:numFmt w:val="decimal"/>
      <w:pStyle w:val="10"/>
      <w:lvlText w:val="%1)"/>
      <w:lvlJc w:val="left"/>
      <w:pPr>
        <w:ind w:left="171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4" w15:restartNumberingAfterBreak="0">
    <w:nsid w:val="34F43508"/>
    <w:multiLevelType w:val="hybridMultilevel"/>
    <w:tmpl w:val="C0D6481E"/>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5" w15:restartNumberingAfterBreak="0">
    <w:nsid w:val="35A77828"/>
    <w:multiLevelType w:val="multilevel"/>
    <w:tmpl w:val="815E6D80"/>
    <w:lvl w:ilvl="0">
      <w:start w:val="1"/>
      <w:numFmt w:val="decimal"/>
      <w:lvlText w:val="%1."/>
      <w:lvlJc w:val="left"/>
      <w:pPr>
        <w:ind w:left="2880" w:hanging="360"/>
      </w:pPr>
      <w:rPr>
        <w:rFonts w:hint="default"/>
      </w:rPr>
    </w:lvl>
    <w:lvl w:ilvl="1">
      <w:start w:val="1"/>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126" w15:restartNumberingAfterBreak="0">
    <w:nsid w:val="3670220F"/>
    <w:multiLevelType w:val="multilevel"/>
    <w:tmpl w:val="0518AF7E"/>
    <w:lvl w:ilvl="0">
      <w:start w:val="1"/>
      <w:numFmt w:val="decimal"/>
      <w:lvlText w:val="%1."/>
      <w:lvlJc w:val="left"/>
      <w:pPr>
        <w:ind w:left="2880" w:hanging="360"/>
      </w:pPr>
      <w:rPr>
        <w:rFonts w:hint="default"/>
      </w:rPr>
    </w:lvl>
    <w:lvl w:ilvl="1">
      <w:start w:val="1"/>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127" w15:restartNumberingAfterBreak="0">
    <w:nsid w:val="36981DBA"/>
    <w:multiLevelType w:val="hybridMultilevel"/>
    <w:tmpl w:val="8C92469E"/>
    <w:lvl w:ilvl="0" w:tplc="0409001B">
      <w:start w:val="1"/>
      <w:numFmt w:val="lowerRoman"/>
      <w:lvlText w:val="%1."/>
      <w:lvlJc w:val="right"/>
      <w:pPr>
        <w:ind w:left="1987" w:hanging="360"/>
      </w:pPr>
    </w:lvl>
    <w:lvl w:ilvl="1" w:tplc="04090019" w:tentative="1">
      <w:start w:val="1"/>
      <w:numFmt w:val="lowerLetter"/>
      <w:lvlText w:val="%2."/>
      <w:lvlJc w:val="lef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128" w15:restartNumberingAfterBreak="0">
    <w:nsid w:val="36CD11FC"/>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7712239"/>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7D40630"/>
    <w:multiLevelType w:val="hybridMultilevel"/>
    <w:tmpl w:val="B0868D48"/>
    <w:lvl w:ilvl="0" w:tplc="48264D66">
      <w:start w:val="1"/>
      <w:numFmt w:val="bullet"/>
      <w:lvlText w:val=""/>
      <w:lvlJc w:val="left"/>
      <w:pPr>
        <w:ind w:left="800" w:hanging="400"/>
      </w:pPr>
      <w:rPr>
        <w:rFonts w:ascii="Wingdings" w:hAnsi="Wingdings" w:hint="default"/>
      </w:rPr>
    </w:lvl>
    <w:lvl w:ilvl="1" w:tplc="04090019">
      <w:start w:val="1"/>
      <w:numFmt w:val="bullet"/>
      <w:lvlText w:val="—"/>
      <w:lvlJc w:val="left"/>
      <w:pPr>
        <w:ind w:left="1200" w:hanging="400"/>
      </w:pPr>
      <w:rPr>
        <w:rFonts w:ascii="GulimChe" w:eastAsia="GulimChe" w:hAnsi="GulimChe" w:hint="eastAsia"/>
        <w:color w:val="auto"/>
        <w:sz w:val="20"/>
        <w:szCs w:val="20"/>
      </w:rPr>
    </w:lvl>
    <w:lvl w:ilvl="2" w:tplc="0409001B">
      <w:start w:val="1"/>
      <w:numFmt w:val="bullet"/>
      <w:pStyle w:val="a3"/>
      <w:lvlText w:val=""/>
      <w:lvlJc w:val="left"/>
      <w:pPr>
        <w:ind w:left="1600" w:hanging="400"/>
      </w:pPr>
      <w:rPr>
        <w:rFonts w:ascii="Wingdings" w:hAnsi="Wingdings" w:hint="default"/>
      </w:rPr>
    </w:lvl>
    <w:lvl w:ilvl="3" w:tplc="0409000F">
      <w:start w:val="1"/>
      <w:numFmt w:val="bullet"/>
      <w:lvlText w:val=""/>
      <w:lvlJc w:val="left"/>
      <w:pPr>
        <w:ind w:left="2000" w:hanging="400"/>
      </w:pPr>
      <w:rPr>
        <w:rFonts w:ascii="Wingdings" w:hAnsi="Wingdings" w:hint="default"/>
      </w:rPr>
    </w:lvl>
    <w:lvl w:ilvl="4" w:tplc="04090019">
      <w:start w:val="1"/>
      <w:numFmt w:val="bullet"/>
      <w:lvlText w:val=""/>
      <w:lvlJc w:val="left"/>
      <w:pPr>
        <w:ind w:left="2400" w:hanging="400"/>
      </w:pPr>
      <w:rPr>
        <w:rFonts w:ascii="Wingdings" w:hAnsi="Wingdings" w:hint="default"/>
      </w:rPr>
    </w:lvl>
    <w:lvl w:ilvl="5" w:tplc="0409001B" w:tentative="1">
      <w:start w:val="1"/>
      <w:numFmt w:val="bullet"/>
      <w:lvlText w:val=""/>
      <w:lvlJc w:val="left"/>
      <w:pPr>
        <w:ind w:left="2800" w:hanging="400"/>
      </w:pPr>
      <w:rPr>
        <w:rFonts w:ascii="Wingdings" w:hAnsi="Wingdings" w:hint="default"/>
      </w:rPr>
    </w:lvl>
    <w:lvl w:ilvl="6" w:tplc="0409000F" w:tentative="1">
      <w:start w:val="1"/>
      <w:numFmt w:val="bullet"/>
      <w:lvlText w:val=""/>
      <w:lvlJc w:val="left"/>
      <w:pPr>
        <w:ind w:left="3200" w:hanging="400"/>
      </w:pPr>
      <w:rPr>
        <w:rFonts w:ascii="Wingdings" w:hAnsi="Wingdings" w:hint="default"/>
      </w:rPr>
    </w:lvl>
    <w:lvl w:ilvl="7" w:tplc="04090019" w:tentative="1">
      <w:start w:val="1"/>
      <w:numFmt w:val="bullet"/>
      <w:lvlText w:val=""/>
      <w:lvlJc w:val="left"/>
      <w:pPr>
        <w:ind w:left="3600" w:hanging="400"/>
      </w:pPr>
      <w:rPr>
        <w:rFonts w:ascii="Wingdings" w:hAnsi="Wingdings" w:hint="default"/>
      </w:rPr>
    </w:lvl>
    <w:lvl w:ilvl="8" w:tplc="0409001B" w:tentative="1">
      <w:start w:val="1"/>
      <w:numFmt w:val="bullet"/>
      <w:lvlText w:val=""/>
      <w:lvlJc w:val="left"/>
      <w:pPr>
        <w:ind w:left="4000" w:hanging="400"/>
      </w:pPr>
      <w:rPr>
        <w:rFonts w:ascii="Wingdings" w:hAnsi="Wingdings" w:hint="default"/>
      </w:rPr>
    </w:lvl>
  </w:abstractNum>
  <w:abstractNum w:abstractNumId="131" w15:restartNumberingAfterBreak="0">
    <w:nsid w:val="39604546"/>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39831C5A"/>
    <w:multiLevelType w:val="multilevel"/>
    <w:tmpl w:val="8F00827A"/>
    <w:styleLink w:val="NoteNumbering"/>
    <w:lvl w:ilvl="0">
      <w:start w:val="1"/>
      <w:numFmt w:val="decimal"/>
      <w:lvlRestart w:val="0"/>
      <w:lvlText w:val="Note %1:"/>
      <w:lvlJc w:val="left"/>
      <w:pPr>
        <w:tabs>
          <w:tab w:val="num" w:pos="907"/>
        </w:tabs>
        <w:ind w:left="0" w:firstLine="0"/>
      </w:pPr>
      <w:rPr>
        <w:rFonts w:hint="default"/>
        <w:b/>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3" w15:restartNumberingAfterBreak="0">
    <w:nsid w:val="39A8140B"/>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39B63B1F"/>
    <w:multiLevelType w:val="hybridMultilevel"/>
    <w:tmpl w:val="8356EB72"/>
    <w:lvl w:ilvl="0" w:tplc="3BF6DD7A">
      <w:start w:val="1"/>
      <w:numFmt w:val="decimal"/>
      <w:lvlText w:val="5.%1"/>
      <w:lvlJc w:val="left"/>
      <w:pPr>
        <w:ind w:left="1170" w:hanging="360"/>
      </w:pPr>
      <w:rPr>
        <w:rFonts w:ascii="Andes" w:hAnsi="Andes" w:hint="default"/>
        <w:b w:val="0"/>
        <w:i w:val="0"/>
        <w:strike w:val="0"/>
        <w:sz w:val="22"/>
        <w:szCs w:val="22"/>
      </w:rPr>
    </w:lvl>
    <w:lvl w:ilvl="1" w:tplc="14090003">
      <w:start w:val="1"/>
      <w:numFmt w:val="lowerLetter"/>
      <w:lvlText w:val="%2)"/>
      <w:lvlJc w:val="left"/>
      <w:pPr>
        <w:ind w:left="3420" w:hanging="360"/>
      </w:pPr>
    </w:lvl>
    <w:lvl w:ilvl="2" w:tplc="EBDCF4C8">
      <w:start w:val="1"/>
      <w:numFmt w:val="lowerRoman"/>
      <w:lvlText w:val="(%3)"/>
      <w:lvlJc w:val="left"/>
      <w:pPr>
        <w:ind w:left="4680" w:hanging="720"/>
      </w:pPr>
      <w:rPr>
        <w:rFonts w:hint="default"/>
      </w:rPr>
    </w:lvl>
    <w:lvl w:ilvl="3" w:tplc="14090001" w:tentative="1">
      <w:start w:val="1"/>
      <w:numFmt w:val="decimal"/>
      <w:lvlText w:val="%4."/>
      <w:lvlJc w:val="left"/>
      <w:pPr>
        <w:ind w:left="4860" w:hanging="360"/>
      </w:pPr>
    </w:lvl>
    <w:lvl w:ilvl="4" w:tplc="14090003" w:tentative="1">
      <w:start w:val="1"/>
      <w:numFmt w:val="lowerLetter"/>
      <w:lvlText w:val="%5."/>
      <w:lvlJc w:val="left"/>
      <w:pPr>
        <w:ind w:left="5580" w:hanging="360"/>
      </w:pPr>
    </w:lvl>
    <w:lvl w:ilvl="5" w:tplc="14090005" w:tentative="1">
      <w:start w:val="1"/>
      <w:numFmt w:val="lowerRoman"/>
      <w:lvlText w:val="%6."/>
      <w:lvlJc w:val="right"/>
      <w:pPr>
        <w:ind w:left="6300" w:hanging="180"/>
      </w:pPr>
    </w:lvl>
    <w:lvl w:ilvl="6" w:tplc="14090001" w:tentative="1">
      <w:start w:val="1"/>
      <w:numFmt w:val="decimal"/>
      <w:lvlText w:val="%7."/>
      <w:lvlJc w:val="left"/>
      <w:pPr>
        <w:ind w:left="7020" w:hanging="360"/>
      </w:pPr>
    </w:lvl>
    <w:lvl w:ilvl="7" w:tplc="14090003" w:tentative="1">
      <w:start w:val="1"/>
      <w:numFmt w:val="lowerLetter"/>
      <w:lvlText w:val="%8."/>
      <w:lvlJc w:val="left"/>
      <w:pPr>
        <w:ind w:left="7740" w:hanging="360"/>
      </w:pPr>
    </w:lvl>
    <w:lvl w:ilvl="8" w:tplc="14090005" w:tentative="1">
      <w:start w:val="1"/>
      <w:numFmt w:val="lowerRoman"/>
      <w:lvlText w:val="%9."/>
      <w:lvlJc w:val="right"/>
      <w:pPr>
        <w:ind w:left="8460" w:hanging="180"/>
      </w:pPr>
    </w:lvl>
  </w:abstractNum>
  <w:abstractNum w:abstractNumId="135" w15:restartNumberingAfterBreak="0">
    <w:nsid w:val="39FB0686"/>
    <w:multiLevelType w:val="hybridMultilevel"/>
    <w:tmpl w:val="3D544B56"/>
    <w:lvl w:ilvl="0" w:tplc="0DB43754">
      <w:start w:val="1"/>
      <w:numFmt w:val="bullet"/>
      <w:pStyle w:val="a4"/>
      <w:lvlText w:val="–"/>
      <w:lvlJc w:val="left"/>
      <w:pPr>
        <w:ind w:left="1040" w:hanging="400"/>
      </w:pPr>
      <w:rPr>
        <w:rFonts w:ascii="GulimChe" w:eastAsia="GulimChe" w:hAnsi="GulimChe" w:hint="eastAsia"/>
        <w:color w:val="auto"/>
        <w:sz w:val="20"/>
        <w:szCs w:val="20"/>
        <w:lang w:val="en-US" w:eastAsia="ko-KR"/>
      </w:rPr>
    </w:lvl>
    <w:lvl w:ilvl="1" w:tplc="FBC41E22" w:tentative="1">
      <w:start w:val="1"/>
      <w:numFmt w:val="bullet"/>
      <w:lvlText w:val=""/>
      <w:lvlJc w:val="left"/>
      <w:pPr>
        <w:ind w:left="1440" w:hanging="400"/>
      </w:pPr>
      <w:rPr>
        <w:rFonts w:ascii="Wingdings" w:hAnsi="Wingdings" w:hint="default"/>
      </w:rPr>
    </w:lvl>
    <w:lvl w:ilvl="2" w:tplc="7D34B55A" w:tentative="1">
      <w:start w:val="1"/>
      <w:numFmt w:val="bullet"/>
      <w:lvlText w:val=""/>
      <w:lvlJc w:val="left"/>
      <w:pPr>
        <w:ind w:left="1840" w:hanging="400"/>
      </w:pPr>
      <w:rPr>
        <w:rFonts w:ascii="Wingdings" w:hAnsi="Wingdings" w:hint="default"/>
      </w:rPr>
    </w:lvl>
    <w:lvl w:ilvl="3" w:tplc="E2F6B680" w:tentative="1">
      <w:start w:val="1"/>
      <w:numFmt w:val="bullet"/>
      <w:lvlText w:val=""/>
      <w:lvlJc w:val="left"/>
      <w:pPr>
        <w:ind w:left="2240" w:hanging="400"/>
      </w:pPr>
      <w:rPr>
        <w:rFonts w:ascii="Wingdings" w:hAnsi="Wingdings" w:hint="default"/>
      </w:rPr>
    </w:lvl>
    <w:lvl w:ilvl="4" w:tplc="D670148E" w:tentative="1">
      <w:start w:val="1"/>
      <w:numFmt w:val="bullet"/>
      <w:lvlText w:val=""/>
      <w:lvlJc w:val="left"/>
      <w:pPr>
        <w:ind w:left="2640" w:hanging="400"/>
      </w:pPr>
      <w:rPr>
        <w:rFonts w:ascii="Wingdings" w:hAnsi="Wingdings" w:hint="default"/>
      </w:rPr>
    </w:lvl>
    <w:lvl w:ilvl="5" w:tplc="E6B8A954" w:tentative="1">
      <w:start w:val="1"/>
      <w:numFmt w:val="bullet"/>
      <w:lvlText w:val=""/>
      <w:lvlJc w:val="left"/>
      <w:pPr>
        <w:ind w:left="3040" w:hanging="400"/>
      </w:pPr>
      <w:rPr>
        <w:rFonts w:ascii="Wingdings" w:hAnsi="Wingdings" w:hint="default"/>
      </w:rPr>
    </w:lvl>
    <w:lvl w:ilvl="6" w:tplc="A7E4555C" w:tentative="1">
      <w:start w:val="1"/>
      <w:numFmt w:val="bullet"/>
      <w:lvlText w:val=""/>
      <w:lvlJc w:val="left"/>
      <w:pPr>
        <w:ind w:left="3440" w:hanging="400"/>
      </w:pPr>
      <w:rPr>
        <w:rFonts w:ascii="Wingdings" w:hAnsi="Wingdings" w:hint="default"/>
      </w:rPr>
    </w:lvl>
    <w:lvl w:ilvl="7" w:tplc="0FEC56BE" w:tentative="1">
      <w:start w:val="1"/>
      <w:numFmt w:val="bullet"/>
      <w:lvlText w:val=""/>
      <w:lvlJc w:val="left"/>
      <w:pPr>
        <w:ind w:left="3840" w:hanging="400"/>
      </w:pPr>
      <w:rPr>
        <w:rFonts w:ascii="Wingdings" w:hAnsi="Wingdings" w:hint="default"/>
      </w:rPr>
    </w:lvl>
    <w:lvl w:ilvl="8" w:tplc="0FC8B342" w:tentative="1">
      <w:start w:val="1"/>
      <w:numFmt w:val="bullet"/>
      <w:lvlText w:val=""/>
      <w:lvlJc w:val="left"/>
      <w:pPr>
        <w:ind w:left="4240" w:hanging="400"/>
      </w:pPr>
      <w:rPr>
        <w:rFonts w:ascii="Wingdings" w:hAnsi="Wingdings" w:hint="default"/>
      </w:rPr>
    </w:lvl>
  </w:abstractNum>
  <w:abstractNum w:abstractNumId="136" w15:restartNumberingAfterBreak="0">
    <w:nsid w:val="3AA34723"/>
    <w:multiLevelType w:val="multilevel"/>
    <w:tmpl w:val="92AEA1C0"/>
    <w:name w:val="Bell Gully numbering2"/>
    <w:lvl w:ilvl="0">
      <w:start w:val="1"/>
      <w:numFmt w:val="decimal"/>
      <w:pStyle w:val="SSCNumbering1"/>
      <w:lvlText w:val="%1"/>
      <w:lvlJc w:val="left"/>
      <w:pPr>
        <w:tabs>
          <w:tab w:val="num" w:pos="567"/>
        </w:tabs>
        <w:ind w:left="567" w:hanging="567"/>
      </w:pPr>
      <w:rPr>
        <w:rFonts w:hint="default"/>
      </w:rPr>
    </w:lvl>
    <w:lvl w:ilvl="1">
      <w:start w:val="1"/>
      <w:numFmt w:val="lowerLetter"/>
      <w:pStyle w:val="SSCNumbering2"/>
      <w:lvlText w:val="(%2)"/>
      <w:lvlJc w:val="left"/>
      <w:pPr>
        <w:tabs>
          <w:tab w:val="num" w:pos="1134"/>
        </w:tabs>
        <w:ind w:left="1134" w:hanging="567"/>
      </w:pPr>
      <w:rPr>
        <w:rFonts w:hint="default"/>
      </w:rPr>
    </w:lvl>
    <w:lvl w:ilvl="2">
      <w:start w:val="1"/>
      <w:numFmt w:val="lowerRoman"/>
      <w:pStyle w:val="SSCNumbering3"/>
      <w:lvlText w:val="(%3)"/>
      <w:lvlJc w:val="left"/>
      <w:pPr>
        <w:tabs>
          <w:tab w:val="num" w:pos="1985"/>
        </w:tabs>
        <w:ind w:left="1985" w:hanging="851"/>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137" w15:restartNumberingAfterBreak="0">
    <w:nsid w:val="3C5E34AD"/>
    <w:multiLevelType w:val="hybridMultilevel"/>
    <w:tmpl w:val="06C4CAA6"/>
    <w:lvl w:ilvl="0" w:tplc="0409001B">
      <w:start w:val="1"/>
      <w:numFmt w:val="lowerRoman"/>
      <w:lvlText w:val="%1."/>
      <w:lvlJc w:val="right"/>
      <w:pPr>
        <w:ind w:left="1350" w:hanging="360"/>
      </w:pPr>
      <w:rPr>
        <w:b w:val="0"/>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8" w15:restartNumberingAfterBreak="0">
    <w:nsid w:val="3C7762F9"/>
    <w:multiLevelType w:val="hybridMultilevel"/>
    <w:tmpl w:val="76F65730"/>
    <w:lvl w:ilvl="0" w:tplc="04090019">
      <w:start w:val="1"/>
      <w:numFmt w:val="lowerLetter"/>
      <w:lvlText w:val="%1."/>
      <w:lvlJc w:val="left"/>
      <w:pPr>
        <w:ind w:left="1235" w:hanging="360"/>
      </w:pPr>
    </w:lvl>
    <w:lvl w:ilvl="1" w:tplc="04090019" w:tentative="1">
      <w:start w:val="1"/>
      <w:numFmt w:val="lowerLetter"/>
      <w:lvlText w:val="%2."/>
      <w:lvlJc w:val="left"/>
      <w:pPr>
        <w:ind w:left="1955" w:hanging="360"/>
      </w:pPr>
    </w:lvl>
    <w:lvl w:ilvl="2" w:tplc="0409001B" w:tentative="1">
      <w:start w:val="1"/>
      <w:numFmt w:val="lowerRoman"/>
      <w:lvlText w:val="%3."/>
      <w:lvlJc w:val="right"/>
      <w:pPr>
        <w:ind w:left="2675" w:hanging="180"/>
      </w:pPr>
    </w:lvl>
    <w:lvl w:ilvl="3" w:tplc="0409000F" w:tentative="1">
      <w:start w:val="1"/>
      <w:numFmt w:val="decimal"/>
      <w:lvlText w:val="%4."/>
      <w:lvlJc w:val="left"/>
      <w:pPr>
        <w:ind w:left="3395" w:hanging="360"/>
      </w:pPr>
    </w:lvl>
    <w:lvl w:ilvl="4" w:tplc="04090019" w:tentative="1">
      <w:start w:val="1"/>
      <w:numFmt w:val="lowerLetter"/>
      <w:lvlText w:val="%5."/>
      <w:lvlJc w:val="left"/>
      <w:pPr>
        <w:ind w:left="4115" w:hanging="360"/>
      </w:pPr>
    </w:lvl>
    <w:lvl w:ilvl="5" w:tplc="0409001B" w:tentative="1">
      <w:start w:val="1"/>
      <w:numFmt w:val="lowerRoman"/>
      <w:lvlText w:val="%6."/>
      <w:lvlJc w:val="right"/>
      <w:pPr>
        <w:ind w:left="4835" w:hanging="180"/>
      </w:pPr>
    </w:lvl>
    <w:lvl w:ilvl="6" w:tplc="0409000F" w:tentative="1">
      <w:start w:val="1"/>
      <w:numFmt w:val="decimal"/>
      <w:lvlText w:val="%7."/>
      <w:lvlJc w:val="left"/>
      <w:pPr>
        <w:ind w:left="5555" w:hanging="360"/>
      </w:pPr>
    </w:lvl>
    <w:lvl w:ilvl="7" w:tplc="04090019" w:tentative="1">
      <w:start w:val="1"/>
      <w:numFmt w:val="lowerLetter"/>
      <w:lvlText w:val="%8."/>
      <w:lvlJc w:val="left"/>
      <w:pPr>
        <w:ind w:left="6275" w:hanging="360"/>
      </w:pPr>
    </w:lvl>
    <w:lvl w:ilvl="8" w:tplc="0409001B" w:tentative="1">
      <w:start w:val="1"/>
      <w:numFmt w:val="lowerRoman"/>
      <w:lvlText w:val="%9."/>
      <w:lvlJc w:val="right"/>
      <w:pPr>
        <w:ind w:left="6995" w:hanging="180"/>
      </w:pPr>
    </w:lvl>
  </w:abstractNum>
  <w:abstractNum w:abstractNumId="139" w15:restartNumberingAfterBreak="0">
    <w:nsid w:val="3CAE0CEC"/>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3E11521C"/>
    <w:multiLevelType w:val="multilevel"/>
    <w:tmpl w:val="309069E0"/>
    <w:lvl w:ilvl="0">
      <w:start w:val="1"/>
      <w:numFmt w:val="decimal"/>
      <w:lvlText w:val="%1."/>
      <w:lvlJc w:val="left"/>
      <w:pPr>
        <w:ind w:left="2880" w:hanging="360"/>
      </w:pPr>
      <w:rPr>
        <w:rFonts w:hint="default"/>
      </w:rPr>
    </w:lvl>
    <w:lvl w:ilvl="1">
      <w:start w:val="1"/>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141" w15:restartNumberingAfterBreak="0">
    <w:nsid w:val="3E3E0FAA"/>
    <w:multiLevelType w:val="multilevel"/>
    <w:tmpl w:val="28B62856"/>
    <w:lvl w:ilvl="0">
      <w:start w:val="2"/>
      <w:numFmt w:val="decimal"/>
      <w:lvlText w:val="%1"/>
      <w:lvlJc w:val="left"/>
      <w:pPr>
        <w:ind w:left="360" w:hanging="360"/>
      </w:pPr>
      <w:rPr>
        <w:rFonts w:hint="default"/>
      </w:rPr>
    </w:lvl>
    <w:lvl w:ilvl="1">
      <w:start w:val="1"/>
      <w:numFmt w:val="decimal"/>
      <w:lvlText w:val="2.%2"/>
      <w:lvlJc w:val="left"/>
      <w:pPr>
        <w:ind w:left="360" w:hanging="360"/>
      </w:pPr>
      <w:rPr>
        <w:rFonts w:ascii="Andes" w:hAnsi="Andes" w:hint="default"/>
        <w:b w:val="0"/>
        <w:i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2" w15:restartNumberingAfterBreak="0">
    <w:nsid w:val="3E4C2224"/>
    <w:multiLevelType w:val="hybridMultilevel"/>
    <w:tmpl w:val="A6827938"/>
    <w:lvl w:ilvl="0" w:tplc="CC1A9A3C">
      <w:start w:val="1"/>
      <w:numFmt w:val="decimal"/>
      <w:lvlText w:val="3.%1"/>
      <w:lvlJc w:val="righ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3E4F19D3"/>
    <w:multiLevelType w:val="hybridMultilevel"/>
    <w:tmpl w:val="96860950"/>
    <w:lvl w:ilvl="0" w:tplc="1894294C">
      <w:start w:val="1"/>
      <w:numFmt w:val="decimal"/>
      <w:lvlText w:val="1.%1"/>
      <w:lvlJc w:val="left"/>
      <w:pPr>
        <w:ind w:left="450" w:hanging="360"/>
      </w:pPr>
      <w:rPr>
        <w:rFonts w:hint="default"/>
        <w:b w:val="0"/>
        <w:i w:val="0"/>
        <w:strike w:val="0"/>
        <w:color w:val="000000" w:themeColor="text1"/>
        <w:sz w:val="22"/>
        <w:szCs w:val="22"/>
        <w:lang w:val="en-GB"/>
      </w:rPr>
    </w:lvl>
    <w:lvl w:ilvl="1" w:tplc="14090003">
      <w:start w:val="1"/>
      <w:numFmt w:val="lowerLetter"/>
      <w:lvlText w:val="%2)"/>
      <w:lvlJc w:val="left"/>
      <w:pPr>
        <w:ind w:left="3420" w:hanging="360"/>
      </w:pPr>
    </w:lvl>
    <w:lvl w:ilvl="2" w:tplc="EBDCF4C8">
      <w:start w:val="1"/>
      <w:numFmt w:val="lowerRoman"/>
      <w:lvlText w:val="(%3)"/>
      <w:lvlJc w:val="left"/>
      <w:pPr>
        <w:ind w:left="4680" w:hanging="720"/>
      </w:pPr>
      <w:rPr>
        <w:rFonts w:hint="default"/>
      </w:rPr>
    </w:lvl>
    <w:lvl w:ilvl="3" w:tplc="14090001" w:tentative="1">
      <w:start w:val="1"/>
      <w:numFmt w:val="decimal"/>
      <w:lvlText w:val="%4."/>
      <w:lvlJc w:val="left"/>
      <w:pPr>
        <w:ind w:left="4860" w:hanging="360"/>
      </w:pPr>
    </w:lvl>
    <w:lvl w:ilvl="4" w:tplc="14090003" w:tentative="1">
      <w:start w:val="1"/>
      <w:numFmt w:val="lowerLetter"/>
      <w:lvlText w:val="%5."/>
      <w:lvlJc w:val="left"/>
      <w:pPr>
        <w:ind w:left="5580" w:hanging="360"/>
      </w:pPr>
    </w:lvl>
    <w:lvl w:ilvl="5" w:tplc="14090005" w:tentative="1">
      <w:start w:val="1"/>
      <w:numFmt w:val="lowerRoman"/>
      <w:lvlText w:val="%6."/>
      <w:lvlJc w:val="right"/>
      <w:pPr>
        <w:ind w:left="6300" w:hanging="180"/>
      </w:pPr>
    </w:lvl>
    <w:lvl w:ilvl="6" w:tplc="14090001" w:tentative="1">
      <w:start w:val="1"/>
      <w:numFmt w:val="decimal"/>
      <w:lvlText w:val="%7."/>
      <w:lvlJc w:val="left"/>
      <w:pPr>
        <w:ind w:left="7020" w:hanging="360"/>
      </w:pPr>
    </w:lvl>
    <w:lvl w:ilvl="7" w:tplc="14090003" w:tentative="1">
      <w:start w:val="1"/>
      <w:numFmt w:val="lowerLetter"/>
      <w:lvlText w:val="%8."/>
      <w:lvlJc w:val="left"/>
      <w:pPr>
        <w:ind w:left="7740" w:hanging="360"/>
      </w:pPr>
    </w:lvl>
    <w:lvl w:ilvl="8" w:tplc="14090005" w:tentative="1">
      <w:start w:val="1"/>
      <w:numFmt w:val="lowerRoman"/>
      <w:lvlText w:val="%9."/>
      <w:lvlJc w:val="right"/>
      <w:pPr>
        <w:ind w:left="8460" w:hanging="180"/>
      </w:pPr>
    </w:lvl>
  </w:abstractNum>
  <w:abstractNum w:abstractNumId="144" w15:restartNumberingAfterBreak="0">
    <w:nsid w:val="3ED10A5F"/>
    <w:multiLevelType w:val="multilevel"/>
    <w:tmpl w:val="6CC08432"/>
    <w:lvl w:ilvl="0">
      <w:start w:val="1"/>
      <w:numFmt w:val="decimal"/>
      <w:isLgl/>
      <w:lvlText w:val="%1."/>
      <w:lvlJc w:val="left"/>
      <w:pPr>
        <w:tabs>
          <w:tab w:val="num" w:pos="432"/>
        </w:tabs>
        <w:ind w:left="432" w:hanging="432"/>
      </w:pPr>
      <w:rPr>
        <w:b/>
        <w:i w:val="0"/>
        <w:sz w:val="24"/>
      </w:rPr>
    </w:lvl>
    <w:lvl w:ilvl="1">
      <w:start w:val="1"/>
      <w:numFmt w:val="decimal"/>
      <w:pStyle w:val="Header3-Paragraph"/>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5" w15:restartNumberingAfterBreak="0">
    <w:nsid w:val="3F456830"/>
    <w:multiLevelType w:val="hybridMultilevel"/>
    <w:tmpl w:val="E514DABE"/>
    <w:lvl w:ilvl="0" w:tplc="04090019">
      <w:start w:val="1"/>
      <w:numFmt w:val="lowerLetter"/>
      <w:lvlText w:val="%1."/>
      <w:lvlJc w:val="left"/>
      <w:pPr>
        <w:ind w:left="1267"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3FE4472B"/>
    <w:multiLevelType w:val="multilevel"/>
    <w:tmpl w:val="131C58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7" w15:restartNumberingAfterBreak="0">
    <w:nsid w:val="3FEF011B"/>
    <w:multiLevelType w:val="multilevel"/>
    <w:tmpl w:val="DA4AF2FC"/>
    <w:lvl w:ilvl="0">
      <w:start w:val="2"/>
      <w:numFmt w:val="none"/>
      <w:lvlText w:val="A.1"/>
      <w:lvlJc w:val="left"/>
      <w:pPr>
        <w:tabs>
          <w:tab w:val="num" w:pos="720"/>
        </w:tabs>
        <w:ind w:left="720" w:hanging="360"/>
      </w:pPr>
      <w:rPr>
        <w:rFonts w:hint="default"/>
      </w:rPr>
    </w:lvl>
    <w:lvl w:ilvl="1">
      <w:start w:val="1"/>
      <w:numFmt w:val="decimal"/>
      <w:lvlText w:val="A.%2."/>
      <w:lvlJc w:val="left"/>
      <w:pPr>
        <w:tabs>
          <w:tab w:val="num" w:pos="1701"/>
        </w:tabs>
        <w:ind w:left="1191" w:hanging="454"/>
      </w:pPr>
      <w:rPr>
        <w:rFonts w:hint="default"/>
        <w:i w:val="0"/>
      </w:rPr>
    </w:lvl>
    <w:lvl w:ilvl="2">
      <w:start w:val="1"/>
      <w:numFmt w:val="decimal"/>
      <w:lvlText w:val="%1.%2.%3."/>
      <w:lvlJc w:val="left"/>
      <w:pPr>
        <w:tabs>
          <w:tab w:val="num" w:pos="1800"/>
        </w:tabs>
        <w:ind w:left="1584" w:hanging="504"/>
      </w:pPr>
      <w:rPr>
        <w:rFonts w:hint="default"/>
        <w:sz w:val="24"/>
      </w:rPr>
    </w:lvl>
    <w:lvl w:ilvl="3">
      <w:start w:val="1"/>
      <w:numFmt w:val="decimal"/>
      <w:lvlText w:val="%1.%2.%3.%4."/>
      <w:lvlJc w:val="left"/>
      <w:pPr>
        <w:tabs>
          <w:tab w:val="num" w:pos="2520"/>
        </w:tabs>
        <w:ind w:left="2088" w:hanging="648"/>
      </w:pPr>
      <w:rPr>
        <w:rFonts w:hint="default"/>
        <w:sz w:val="24"/>
      </w:rPr>
    </w:lvl>
    <w:lvl w:ilvl="4">
      <w:start w:val="1"/>
      <w:numFmt w:val="decimal"/>
      <w:lvlText w:val="%1.%2.%3.%4.%5."/>
      <w:lvlJc w:val="left"/>
      <w:pPr>
        <w:tabs>
          <w:tab w:val="num" w:pos="2880"/>
        </w:tabs>
        <w:ind w:left="2592" w:hanging="792"/>
      </w:pPr>
      <w:rPr>
        <w:rFonts w:hint="default"/>
        <w:sz w:val="24"/>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pStyle w:val="A2-Heading1"/>
      <w:lvlText w:val="%1.%2.%3.%4.%5.%6.%7.%8.%9."/>
      <w:lvlJc w:val="left"/>
      <w:pPr>
        <w:tabs>
          <w:tab w:val="num" w:pos="5400"/>
        </w:tabs>
        <w:ind w:left="4680" w:hanging="1440"/>
      </w:pPr>
      <w:rPr>
        <w:rFonts w:hint="default"/>
      </w:rPr>
    </w:lvl>
  </w:abstractNum>
  <w:abstractNum w:abstractNumId="148" w15:restartNumberingAfterBreak="0">
    <w:nsid w:val="404273D3"/>
    <w:multiLevelType w:val="hybridMultilevel"/>
    <w:tmpl w:val="5D5E6AE4"/>
    <w:lvl w:ilvl="0" w:tplc="0409001B">
      <w:start w:val="1"/>
      <w:numFmt w:val="lowerRoman"/>
      <w:lvlText w:val="%1."/>
      <w:lvlJc w:val="righ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49" w15:restartNumberingAfterBreak="0">
    <w:nsid w:val="41006EFD"/>
    <w:multiLevelType w:val="multilevel"/>
    <w:tmpl w:val="50508A9C"/>
    <w:lvl w:ilvl="0">
      <w:start w:val="2"/>
      <w:numFmt w:val="decimal"/>
      <w:lvlText w:val="%1"/>
      <w:lvlJc w:val="left"/>
      <w:pPr>
        <w:ind w:left="360" w:hanging="360"/>
      </w:pPr>
      <w:rPr>
        <w:rFonts w:hint="default"/>
      </w:rPr>
    </w:lvl>
    <w:lvl w:ilvl="1">
      <w:start w:val="1"/>
      <w:numFmt w:val="decimal"/>
      <w:lvlText w:val="%1.%2"/>
      <w:lvlJc w:val="left"/>
      <w:pPr>
        <w:ind w:left="0" w:hanging="360"/>
      </w:pPr>
      <w:rPr>
        <w:rFonts w:hint="default"/>
      </w:rPr>
    </w:lvl>
    <w:lvl w:ilvl="2">
      <w:start w:val="1"/>
      <w:numFmt w:val="decimal"/>
      <w:lvlText w:val="%1.%2.%3"/>
      <w:lvlJc w:val="left"/>
      <w:pPr>
        <w:ind w:left="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72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080" w:hanging="1800"/>
      </w:pPr>
      <w:rPr>
        <w:rFonts w:hint="default"/>
      </w:rPr>
    </w:lvl>
  </w:abstractNum>
  <w:abstractNum w:abstractNumId="150" w15:restartNumberingAfterBreak="0">
    <w:nsid w:val="41150E2A"/>
    <w:multiLevelType w:val="hybridMultilevel"/>
    <w:tmpl w:val="C0D6481E"/>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1" w15:restartNumberingAfterBreak="0">
    <w:nsid w:val="41BC1232"/>
    <w:multiLevelType w:val="hybridMultilevel"/>
    <w:tmpl w:val="F92475C4"/>
    <w:lvl w:ilvl="0" w:tplc="62B4184E">
      <w:start w:val="1"/>
      <w:numFmt w:val="lowerLetter"/>
      <w:lvlText w:val="%1."/>
      <w:lvlJc w:val="left"/>
      <w:pPr>
        <w:ind w:left="3077" w:hanging="360"/>
      </w:pPr>
      <w:rPr>
        <w:rFonts w:ascii="Calibri" w:eastAsia="Times New Roman" w:hAnsi="Calibri" w:cs="Calibri"/>
      </w:rPr>
    </w:lvl>
    <w:lvl w:ilvl="1" w:tplc="04090019" w:tentative="1">
      <w:start w:val="1"/>
      <w:numFmt w:val="lowerLetter"/>
      <w:lvlText w:val="%2."/>
      <w:lvlJc w:val="left"/>
      <w:pPr>
        <w:ind w:left="3797" w:hanging="360"/>
      </w:pPr>
    </w:lvl>
    <w:lvl w:ilvl="2" w:tplc="0409001B" w:tentative="1">
      <w:start w:val="1"/>
      <w:numFmt w:val="lowerRoman"/>
      <w:lvlText w:val="%3."/>
      <w:lvlJc w:val="right"/>
      <w:pPr>
        <w:ind w:left="4517" w:hanging="180"/>
      </w:pPr>
    </w:lvl>
    <w:lvl w:ilvl="3" w:tplc="0409000F" w:tentative="1">
      <w:start w:val="1"/>
      <w:numFmt w:val="decimal"/>
      <w:lvlText w:val="%4."/>
      <w:lvlJc w:val="left"/>
      <w:pPr>
        <w:ind w:left="5237" w:hanging="360"/>
      </w:pPr>
    </w:lvl>
    <w:lvl w:ilvl="4" w:tplc="04090019" w:tentative="1">
      <w:start w:val="1"/>
      <w:numFmt w:val="lowerLetter"/>
      <w:lvlText w:val="%5."/>
      <w:lvlJc w:val="left"/>
      <w:pPr>
        <w:ind w:left="5957" w:hanging="360"/>
      </w:pPr>
    </w:lvl>
    <w:lvl w:ilvl="5" w:tplc="0409001B" w:tentative="1">
      <w:start w:val="1"/>
      <w:numFmt w:val="lowerRoman"/>
      <w:lvlText w:val="%6."/>
      <w:lvlJc w:val="right"/>
      <w:pPr>
        <w:ind w:left="6677" w:hanging="180"/>
      </w:pPr>
    </w:lvl>
    <w:lvl w:ilvl="6" w:tplc="0409000F" w:tentative="1">
      <w:start w:val="1"/>
      <w:numFmt w:val="decimal"/>
      <w:lvlText w:val="%7."/>
      <w:lvlJc w:val="left"/>
      <w:pPr>
        <w:ind w:left="7397" w:hanging="360"/>
      </w:pPr>
    </w:lvl>
    <w:lvl w:ilvl="7" w:tplc="04090019" w:tentative="1">
      <w:start w:val="1"/>
      <w:numFmt w:val="lowerLetter"/>
      <w:lvlText w:val="%8."/>
      <w:lvlJc w:val="left"/>
      <w:pPr>
        <w:ind w:left="8117" w:hanging="360"/>
      </w:pPr>
    </w:lvl>
    <w:lvl w:ilvl="8" w:tplc="0409001B" w:tentative="1">
      <w:start w:val="1"/>
      <w:numFmt w:val="lowerRoman"/>
      <w:lvlText w:val="%9."/>
      <w:lvlJc w:val="right"/>
      <w:pPr>
        <w:ind w:left="8837" w:hanging="180"/>
      </w:pPr>
    </w:lvl>
  </w:abstractNum>
  <w:abstractNum w:abstractNumId="152" w15:restartNumberingAfterBreak="0">
    <w:nsid w:val="41BC1494"/>
    <w:multiLevelType w:val="hybridMultilevel"/>
    <w:tmpl w:val="116E0A54"/>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3" w15:restartNumberingAfterBreak="0">
    <w:nsid w:val="41F75D2E"/>
    <w:multiLevelType w:val="multilevel"/>
    <w:tmpl w:val="E09A0580"/>
    <w:lvl w:ilvl="0">
      <w:start w:val="1"/>
      <w:numFmt w:val="decimal"/>
      <w:pStyle w:val="NewOutRegs"/>
      <w:lvlText w:val="%1."/>
      <w:lvlJc w:val="left"/>
      <w:pPr>
        <w:tabs>
          <w:tab w:val="num" w:pos="851"/>
        </w:tabs>
        <w:ind w:left="851" w:hanging="851"/>
      </w:pPr>
      <w:rPr>
        <w:rFonts w:ascii="Times New Roman Bold" w:hAnsi="Times New Roman Bold" w:hint="default"/>
        <w:b/>
        <w:i w:val="0"/>
        <w:sz w:val="24"/>
        <w:szCs w:val="24"/>
      </w:rPr>
    </w:lvl>
    <w:lvl w:ilvl="1">
      <w:start w:val="1"/>
      <w:numFmt w:val="decimal"/>
      <w:pStyle w:val="SubReg"/>
      <w:lvlText w:val="(%2)"/>
      <w:lvlJc w:val="left"/>
      <w:pPr>
        <w:tabs>
          <w:tab w:val="num" w:pos="851"/>
        </w:tabs>
        <w:ind w:left="851" w:hanging="851"/>
      </w:pPr>
      <w:rPr>
        <w:rFonts w:ascii="Times New Roman" w:hAnsi="Times New Roman" w:hint="default"/>
        <w:b w:val="0"/>
        <w:i w:val="0"/>
        <w:sz w:val="24"/>
        <w:szCs w:val="24"/>
      </w:rPr>
    </w:lvl>
    <w:lvl w:ilvl="2">
      <w:start w:val="1"/>
      <w:numFmt w:val="lowerLetter"/>
      <w:lvlText w:val="(%3)"/>
      <w:lvlJc w:val="left"/>
      <w:pPr>
        <w:tabs>
          <w:tab w:val="num" w:pos="1418"/>
        </w:tabs>
        <w:ind w:left="1418" w:hanging="567"/>
      </w:pPr>
      <w:rPr>
        <w:rFonts w:ascii="Times New Roman" w:hAnsi="Times New Roman" w:hint="default"/>
        <w:b w:val="0"/>
        <w:i w:val="0"/>
        <w:sz w:val="24"/>
        <w:szCs w:val="24"/>
      </w:rPr>
    </w:lvl>
    <w:lvl w:ilvl="3">
      <w:start w:val="1"/>
      <w:numFmt w:val="lowerRoman"/>
      <w:pStyle w:val="SubSubReg"/>
      <w:lvlText w:val="(%4)"/>
      <w:lvlJc w:val="left"/>
      <w:pPr>
        <w:tabs>
          <w:tab w:val="num" w:pos="1985"/>
        </w:tabs>
        <w:ind w:left="1985" w:hanging="567"/>
      </w:pPr>
      <w:rPr>
        <w:rFonts w:ascii="Times New Roman" w:hAnsi="Times New Roman" w:hint="default"/>
        <w:b w:val="0"/>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4" w15:restartNumberingAfterBreak="0">
    <w:nsid w:val="42654BCC"/>
    <w:multiLevelType w:val="hybridMultilevel"/>
    <w:tmpl w:val="4080FB9C"/>
    <w:lvl w:ilvl="0" w:tplc="0409001B">
      <w:start w:val="1"/>
      <w:numFmt w:val="lowerRoman"/>
      <w:lvlText w:val="%1."/>
      <w:lvlJc w:val="right"/>
      <w:pPr>
        <w:ind w:left="2160" w:hanging="180"/>
      </w:pPr>
      <w:rPr>
        <w:rFonts w:hint="default"/>
        <w:b w:val="0"/>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4269041B"/>
    <w:multiLevelType w:val="singleLevel"/>
    <w:tmpl w:val="7C7653B4"/>
    <w:lvl w:ilvl="0">
      <w:start w:val="1"/>
      <w:numFmt w:val="bullet"/>
      <w:pStyle w:val="Normalcentr"/>
      <w:lvlText w:val=""/>
      <w:lvlJc w:val="left"/>
      <w:pPr>
        <w:tabs>
          <w:tab w:val="num" w:pos="360"/>
        </w:tabs>
        <w:ind w:left="360" w:hanging="360"/>
      </w:pPr>
      <w:rPr>
        <w:rFonts w:ascii="Symbol" w:hAnsi="Symbol" w:hint="default"/>
        <w:sz w:val="20"/>
      </w:rPr>
    </w:lvl>
  </w:abstractNum>
  <w:abstractNum w:abstractNumId="156" w15:restartNumberingAfterBreak="0">
    <w:nsid w:val="42905F52"/>
    <w:multiLevelType w:val="hybridMultilevel"/>
    <w:tmpl w:val="E45A0BDA"/>
    <w:lvl w:ilvl="0" w:tplc="04090019">
      <w:start w:val="1"/>
      <w:numFmt w:val="lowerLetter"/>
      <w:lvlText w:val="%1."/>
      <w:lvlJc w:val="left"/>
      <w:pPr>
        <w:ind w:left="1350" w:hanging="360"/>
      </w:pPr>
      <w:rPr>
        <w:b w:val="0"/>
        <w:color w:val="auto"/>
        <w:sz w:val="22"/>
        <w:szCs w:val="22"/>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7" w15:restartNumberingAfterBreak="0">
    <w:nsid w:val="42E92651"/>
    <w:multiLevelType w:val="hybridMultilevel"/>
    <w:tmpl w:val="6A6416F2"/>
    <w:lvl w:ilvl="0" w:tplc="F538EBAA">
      <w:start w:val="1"/>
      <w:numFmt w:val="decimal"/>
      <w:pStyle w:val="Temp1Hd1"/>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8" w15:restartNumberingAfterBreak="0">
    <w:nsid w:val="43F95C69"/>
    <w:multiLevelType w:val="hybridMultilevel"/>
    <w:tmpl w:val="1AD22D7E"/>
    <w:lvl w:ilvl="0" w:tplc="C18A6EEA">
      <w:start w:val="1"/>
      <w:numFmt w:val="decimal"/>
      <w:lvlText w:val="1.%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44441D9A"/>
    <w:multiLevelType w:val="multilevel"/>
    <w:tmpl w:val="C908E358"/>
    <w:lvl w:ilvl="0">
      <w:start w:val="1"/>
      <w:numFmt w:val="decimal"/>
      <w:lvlText w:val="%1."/>
      <w:lvlJc w:val="left"/>
      <w:pPr>
        <w:ind w:left="2045" w:hanging="634"/>
      </w:pPr>
      <w:rPr>
        <w:rFonts w:ascii="Calibri" w:hAnsi="Calibri" w:hint="default"/>
        <w:b/>
        <w:bCs/>
        <w:i w:val="0"/>
        <w:iCs w:val="0"/>
        <w:color w:val="C45811"/>
        <w:spacing w:val="-2"/>
        <w:w w:val="99"/>
        <w:sz w:val="32"/>
        <w:szCs w:val="32"/>
        <w:lang w:val="en-US" w:eastAsia="en-US" w:bidi="ar-SA"/>
      </w:rPr>
    </w:lvl>
    <w:lvl w:ilvl="1">
      <w:start w:val="1"/>
      <w:numFmt w:val="decimal"/>
      <w:lvlText w:val="%1.%2"/>
      <w:lvlJc w:val="left"/>
      <w:pPr>
        <w:ind w:left="2045" w:hanging="636"/>
      </w:pPr>
      <w:rPr>
        <w:rFonts w:ascii="Calibri" w:hAnsi="Calibri" w:hint="default"/>
        <w:b w:val="0"/>
        <w:bCs w:val="0"/>
        <w:i w:val="0"/>
        <w:iCs w:val="0"/>
        <w:spacing w:val="0"/>
        <w:w w:val="100"/>
        <w:sz w:val="22"/>
        <w:szCs w:val="22"/>
        <w:lang w:val="en-US" w:eastAsia="en-US" w:bidi="ar-SA"/>
      </w:rPr>
    </w:lvl>
    <w:lvl w:ilvl="2">
      <w:start w:val="1"/>
      <w:numFmt w:val="lowerLetter"/>
      <w:lvlText w:val="%3."/>
      <w:lvlJc w:val="left"/>
      <w:pPr>
        <w:ind w:left="2765" w:hanging="360"/>
      </w:pPr>
      <w:rPr>
        <w:rFonts w:ascii="Calibri" w:hAnsi="Calibri" w:hint="default"/>
        <w:b w:val="0"/>
        <w:bCs w:val="0"/>
        <w:i w:val="0"/>
        <w:iCs w:val="0"/>
        <w:spacing w:val="-1"/>
        <w:w w:val="100"/>
        <w:sz w:val="22"/>
        <w:szCs w:val="22"/>
        <w:lang w:val="en-US" w:eastAsia="en-US" w:bidi="ar-SA"/>
      </w:rPr>
    </w:lvl>
    <w:lvl w:ilvl="3">
      <w:start w:val="1"/>
      <w:numFmt w:val="lowerRoman"/>
      <w:lvlText w:val="%4."/>
      <w:lvlJc w:val="left"/>
      <w:pPr>
        <w:ind w:left="3300" w:hanging="288"/>
      </w:pPr>
      <w:rPr>
        <w:rFonts w:ascii="Calibri" w:hAnsi="Calibri" w:hint="default"/>
        <w:b w:val="0"/>
        <w:bCs w:val="0"/>
        <w:i w:val="0"/>
        <w:iCs w:val="0"/>
        <w:spacing w:val="-1"/>
        <w:w w:val="100"/>
        <w:sz w:val="22"/>
        <w:szCs w:val="22"/>
        <w:lang w:val="en-US" w:eastAsia="en-US" w:bidi="ar-SA"/>
      </w:rPr>
    </w:lvl>
    <w:lvl w:ilvl="4">
      <w:numFmt w:val="bullet"/>
      <w:lvlText w:val="•"/>
      <w:lvlJc w:val="left"/>
      <w:pPr>
        <w:ind w:left="5535" w:hanging="288"/>
      </w:pPr>
      <w:rPr>
        <w:lang w:val="en-US" w:eastAsia="en-US" w:bidi="ar-SA"/>
      </w:rPr>
    </w:lvl>
    <w:lvl w:ilvl="5">
      <w:numFmt w:val="bullet"/>
      <w:lvlText w:val="•"/>
      <w:lvlJc w:val="left"/>
      <w:pPr>
        <w:ind w:left="6652" w:hanging="288"/>
      </w:pPr>
      <w:rPr>
        <w:lang w:val="en-US" w:eastAsia="en-US" w:bidi="ar-SA"/>
      </w:rPr>
    </w:lvl>
    <w:lvl w:ilvl="6">
      <w:numFmt w:val="bullet"/>
      <w:lvlText w:val="•"/>
      <w:lvlJc w:val="left"/>
      <w:pPr>
        <w:ind w:left="7770" w:hanging="288"/>
      </w:pPr>
      <w:rPr>
        <w:lang w:val="en-US" w:eastAsia="en-US" w:bidi="ar-SA"/>
      </w:rPr>
    </w:lvl>
    <w:lvl w:ilvl="7">
      <w:numFmt w:val="bullet"/>
      <w:lvlText w:val="•"/>
      <w:lvlJc w:val="left"/>
      <w:pPr>
        <w:ind w:left="8887" w:hanging="288"/>
      </w:pPr>
      <w:rPr>
        <w:lang w:val="en-US" w:eastAsia="en-US" w:bidi="ar-SA"/>
      </w:rPr>
    </w:lvl>
    <w:lvl w:ilvl="8">
      <w:numFmt w:val="bullet"/>
      <w:lvlText w:val="•"/>
      <w:lvlJc w:val="left"/>
      <w:pPr>
        <w:ind w:left="10005" w:hanging="288"/>
      </w:pPr>
      <w:rPr>
        <w:lang w:val="en-US" w:eastAsia="en-US" w:bidi="ar-SA"/>
      </w:rPr>
    </w:lvl>
  </w:abstractNum>
  <w:abstractNum w:abstractNumId="160" w15:restartNumberingAfterBreak="0">
    <w:nsid w:val="444C5A0A"/>
    <w:multiLevelType w:val="hybridMultilevel"/>
    <w:tmpl w:val="13248AFA"/>
    <w:lvl w:ilvl="0" w:tplc="7EA4D868">
      <w:start w:val="1"/>
      <w:numFmt w:val="decimal"/>
      <w:lvlText w:val="3.%1"/>
      <w:lvlJc w:val="left"/>
      <w:pPr>
        <w:ind w:left="450" w:hanging="360"/>
      </w:pPr>
      <w:rPr>
        <w:rFonts w:ascii="Andes" w:hAnsi="Andes" w:hint="default"/>
        <w:b w:val="0"/>
        <w:i w:val="0"/>
        <w:strike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44844423"/>
    <w:multiLevelType w:val="hybridMultilevel"/>
    <w:tmpl w:val="768C6814"/>
    <w:lvl w:ilvl="0" w:tplc="04090017">
      <w:start w:val="1"/>
      <w:numFmt w:val="bullet"/>
      <w:lvlText w:val=""/>
      <w:lvlJc w:val="left"/>
      <w:pPr>
        <w:ind w:left="-40" w:hanging="360"/>
      </w:pPr>
      <w:rPr>
        <w:rFonts w:ascii="Symbol" w:hAnsi="Symbol" w:hint="default"/>
      </w:rPr>
    </w:lvl>
    <w:lvl w:ilvl="1" w:tplc="04090019">
      <w:start w:val="1"/>
      <w:numFmt w:val="bullet"/>
      <w:pStyle w:val="indent2"/>
      <w:lvlText w:val="o"/>
      <w:lvlJc w:val="left"/>
      <w:pPr>
        <w:ind w:left="1200" w:hanging="400"/>
      </w:pPr>
      <w:rPr>
        <w:rFonts w:ascii="Courier New" w:hAnsi="Courier New" w:cs="Arial" w:hint="default"/>
      </w:rPr>
    </w:lvl>
    <w:lvl w:ilvl="2" w:tplc="0409001B">
      <w:start w:val="1"/>
      <w:numFmt w:val="bullet"/>
      <w:lvlText w:val=""/>
      <w:lvlJc w:val="left"/>
      <w:pPr>
        <w:ind w:left="1600" w:hanging="400"/>
      </w:pPr>
      <w:rPr>
        <w:rFonts w:ascii="Wingdings" w:hAnsi="Wingdings" w:hint="default"/>
      </w:rPr>
    </w:lvl>
    <w:lvl w:ilvl="3" w:tplc="0409000F" w:tentative="1">
      <w:start w:val="1"/>
      <w:numFmt w:val="bullet"/>
      <w:lvlText w:val=""/>
      <w:lvlJc w:val="left"/>
      <w:pPr>
        <w:ind w:left="2000" w:hanging="400"/>
      </w:pPr>
      <w:rPr>
        <w:rFonts w:ascii="Wingdings" w:hAnsi="Wingdings" w:hint="default"/>
      </w:rPr>
    </w:lvl>
    <w:lvl w:ilvl="4" w:tplc="04090019" w:tentative="1">
      <w:start w:val="1"/>
      <w:numFmt w:val="bullet"/>
      <w:lvlText w:val=""/>
      <w:lvlJc w:val="left"/>
      <w:pPr>
        <w:ind w:left="2400" w:hanging="400"/>
      </w:pPr>
      <w:rPr>
        <w:rFonts w:ascii="Wingdings" w:hAnsi="Wingdings" w:hint="default"/>
      </w:rPr>
    </w:lvl>
    <w:lvl w:ilvl="5" w:tplc="0409001B" w:tentative="1">
      <w:start w:val="1"/>
      <w:numFmt w:val="bullet"/>
      <w:lvlText w:val=""/>
      <w:lvlJc w:val="left"/>
      <w:pPr>
        <w:ind w:left="2800" w:hanging="400"/>
      </w:pPr>
      <w:rPr>
        <w:rFonts w:ascii="Wingdings" w:hAnsi="Wingdings" w:hint="default"/>
      </w:rPr>
    </w:lvl>
    <w:lvl w:ilvl="6" w:tplc="0409000F" w:tentative="1">
      <w:start w:val="1"/>
      <w:numFmt w:val="bullet"/>
      <w:lvlText w:val=""/>
      <w:lvlJc w:val="left"/>
      <w:pPr>
        <w:ind w:left="3200" w:hanging="400"/>
      </w:pPr>
      <w:rPr>
        <w:rFonts w:ascii="Wingdings" w:hAnsi="Wingdings" w:hint="default"/>
      </w:rPr>
    </w:lvl>
    <w:lvl w:ilvl="7" w:tplc="04090019" w:tentative="1">
      <w:start w:val="1"/>
      <w:numFmt w:val="bullet"/>
      <w:lvlText w:val=""/>
      <w:lvlJc w:val="left"/>
      <w:pPr>
        <w:ind w:left="3600" w:hanging="400"/>
      </w:pPr>
      <w:rPr>
        <w:rFonts w:ascii="Wingdings" w:hAnsi="Wingdings" w:hint="default"/>
      </w:rPr>
    </w:lvl>
    <w:lvl w:ilvl="8" w:tplc="0409001B" w:tentative="1">
      <w:start w:val="1"/>
      <w:numFmt w:val="bullet"/>
      <w:lvlText w:val=""/>
      <w:lvlJc w:val="left"/>
      <w:pPr>
        <w:ind w:left="4000" w:hanging="400"/>
      </w:pPr>
      <w:rPr>
        <w:rFonts w:ascii="Wingdings" w:hAnsi="Wingdings" w:hint="default"/>
      </w:rPr>
    </w:lvl>
  </w:abstractNum>
  <w:abstractNum w:abstractNumId="162" w15:restartNumberingAfterBreak="0">
    <w:nsid w:val="44D90BF7"/>
    <w:multiLevelType w:val="hybridMultilevel"/>
    <w:tmpl w:val="691CCE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45371EB6"/>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45FF0763"/>
    <w:multiLevelType w:val="hybridMultilevel"/>
    <w:tmpl w:val="526C4D44"/>
    <w:lvl w:ilvl="0" w:tplc="7BD665A2">
      <w:start w:val="1"/>
      <w:numFmt w:val="decimal"/>
      <w:lvlText w:val="1.%1"/>
      <w:lvlJc w:val="right"/>
      <w:pPr>
        <w:ind w:left="360" w:hanging="360"/>
      </w:pPr>
      <w:rPr>
        <w:rFonts w:hint="default"/>
        <w:strike w:val="0"/>
        <w:sz w:val="22"/>
        <w:szCs w:val="22"/>
      </w:rPr>
    </w:lvl>
    <w:lvl w:ilvl="1" w:tplc="14090003">
      <w:start w:val="1"/>
      <w:numFmt w:val="lowerLetter"/>
      <w:lvlText w:val="%2)"/>
      <w:lvlJc w:val="left"/>
      <w:pPr>
        <w:ind w:left="3420" w:hanging="360"/>
      </w:pPr>
    </w:lvl>
    <w:lvl w:ilvl="2" w:tplc="EBDCF4C8">
      <w:start w:val="1"/>
      <w:numFmt w:val="lowerRoman"/>
      <w:lvlText w:val="(%3)"/>
      <w:lvlJc w:val="left"/>
      <w:pPr>
        <w:ind w:left="4680" w:hanging="720"/>
      </w:pPr>
      <w:rPr>
        <w:rFonts w:hint="default"/>
      </w:rPr>
    </w:lvl>
    <w:lvl w:ilvl="3" w:tplc="14090001" w:tentative="1">
      <w:start w:val="1"/>
      <w:numFmt w:val="decimal"/>
      <w:lvlText w:val="%4."/>
      <w:lvlJc w:val="left"/>
      <w:pPr>
        <w:ind w:left="4860" w:hanging="360"/>
      </w:pPr>
    </w:lvl>
    <w:lvl w:ilvl="4" w:tplc="14090003" w:tentative="1">
      <w:start w:val="1"/>
      <w:numFmt w:val="lowerLetter"/>
      <w:lvlText w:val="%5."/>
      <w:lvlJc w:val="left"/>
      <w:pPr>
        <w:ind w:left="5580" w:hanging="360"/>
      </w:pPr>
    </w:lvl>
    <w:lvl w:ilvl="5" w:tplc="14090005" w:tentative="1">
      <w:start w:val="1"/>
      <w:numFmt w:val="lowerRoman"/>
      <w:lvlText w:val="%6."/>
      <w:lvlJc w:val="right"/>
      <w:pPr>
        <w:ind w:left="6300" w:hanging="180"/>
      </w:pPr>
    </w:lvl>
    <w:lvl w:ilvl="6" w:tplc="14090001" w:tentative="1">
      <w:start w:val="1"/>
      <w:numFmt w:val="decimal"/>
      <w:lvlText w:val="%7."/>
      <w:lvlJc w:val="left"/>
      <w:pPr>
        <w:ind w:left="7020" w:hanging="360"/>
      </w:pPr>
    </w:lvl>
    <w:lvl w:ilvl="7" w:tplc="14090003" w:tentative="1">
      <w:start w:val="1"/>
      <w:numFmt w:val="lowerLetter"/>
      <w:lvlText w:val="%8."/>
      <w:lvlJc w:val="left"/>
      <w:pPr>
        <w:ind w:left="7740" w:hanging="360"/>
      </w:pPr>
    </w:lvl>
    <w:lvl w:ilvl="8" w:tplc="14090005" w:tentative="1">
      <w:start w:val="1"/>
      <w:numFmt w:val="lowerRoman"/>
      <w:lvlText w:val="%9."/>
      <w:lvlJc w:val="right"/>
      <w:pPr>
        <w:ind w:left="8460" w:hanging="180"/>
      </w:pPr>
    </w:lvl>
  </w:abstractNum>
  <w:abstractNum w:abstractNumId="165" w15:restartNumberingAfterBreak="0">
    <w:nsid w:val="469B7E0A"/>
    <w:multiLevelType w:val="hybridMultilevel"/>
    <w:tmpl w:val="128C0872"/>
    <w:lvl w:ilvl="0" w:tplc="04090019">
      <w:start w:val="1"/>
      <w:numFmt w:val="lowerLetter"/>
      <w:lvlText w:val="%1."/>
      <w:lvlJc w:val="left"/>
      <w:pPr>
        <w:ind w:left="1350" w:hanging="360"/>
      </w:pPr>
      <w:rPr>
        <w:b w:val="0"/>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66" w15:restartNumberingAfterBreak="0">
    <w:nsid w:val="46C65E4E"/>
    <w:multiLevelType w:val="hybridMultilevel"/>
    <w:tmpl w:val="E514DABE"/>
    <w:lvl w:ilvl="0" w:tplc="04090019">
      <w:start w:val="1"/>
      <w:numFmt w:val="lowerLetter"/>
      <w:lvlText w:val="%1."/>
      <w:lvlJc w:val="left"/>
      <w:pPr>
        <w:ind w:left="1267"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483C66C3"/>
    <w:multiLevelType w:val="multilevel"/>
    <w:tmpl w:val="1EAE57AC"/>
    <w:lvl w:ilvl="0">
      <w:start w:val="1"/>
      <w:numFmt w:val="decimal"/>
      <w:pStyle w:val="eyNumber1"/>
      <w:suff w:val="nothing"/>
      <w:lvlText w:val="%1."/>
      <w:lvlJc w:val="left"/>
      <w:pPr>
        <w:ind w:left="0" w:firstLine="0"/>
      </w:pPr>
      <w:rPr>
        <w:rFonts w:hint="default"/>
        <w:b/>
        <w:bCs/>
        <w:sz w:val="32"/>
        <w:szCs w:val="32"/>
      </w:rPr>
    </w:lvl>
    <w:lvl w:ilvl="1">
      <w:start w:val="1"/>
      <w:numFmt w:val="decimal"/>
      <w:pStyle w:val="eyNumber2"/>
      <w:suff w:val="nothing"/>
      <w:lvlText w:val="%1.%2."/>
      <w:lvlJc w:val="left"/>
      <w:pPr>
        <w:ind w:left="0" w:firstLine="0"/>
      </w:pPr>
      <w:rPr>
        <w:rFonts w:hint="default"/>
        <w:b w:val="0"/>
        <w:bCs/>
      </w:rPr>
    </w:lvl>
    <w:lvl w:ilvl="2">
      <w:start w:val="1"/>
      <w:numFmt w:val="decimal"/>
      <w:pStyle w:val="eyNumber3"/>
      <w:suff w:val="nothing"/>
      <w:lvlText w:val="%1.%2.%3."/>
      <w:lvlJc w:val="left"/>
      <w:pPr>
        <w:ind w:left="0" w:firstLine="0"/>
      </w:pPr>
      <w:rPr>
        <w:rFonts w:hint="default"/>
        <w:b w:val="0"/>
        <w:bCs w:val="0"/>
      </w:rPr>
    </w:lvl>
    <w:lvl w:ilvl="3">
      <w:start w:val="1"/>
      <w:numFmt w:val="decimal"/>
      <w:pStyle w:val="eyNumber4"/>
      <w:suff w:val="nothing"/>
      <w:lvlText w:val="%1.%2.%3.%4."/>
      <w:lvlJc w:val="left"/>
      <w:pPr>
        <w:ind w:left="0" w:firstLine="0"/>
      </w:pPr>
      <w:rPr>
        <w:rFonts w:hint="default"/>
      </w:rPr>
    </w:lvl>
    <w:lvl w:ilvl="4">
      <w:start w:val="1"/>
      <w:numFmt w:val="decimal"/>
      <w:pStyle w:val="eyNumber5"/>
      <w:suff w:val="nothing"/>
      <w:lvlText w:val="%1.%2.%3.%4.%5."/>
      <w:lvlJc w:val="left"/>
      <w:pPr>
        <w:ind w:left="0" w:firstLine="0"/>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68" w15:restartNumberingAfterBreak="0">
    <w:nsid w:val="48BF7D08"/>
    <w:multiLevelType w:val="hybridMultilevel"/>
    <w:tmpl w:val="40BA9724"/>
    <w:lvl w:ilvl="0" w:tplc="04090015">
      <w:start w:val="1"/>
      <w:numFmt w:val="upperLetter"/>
      <w:pStyle w:val="En-ttedetabledesmatires"/>
      <w:lvlText w:val="%1."/>
      <w:lvlJc w:val="left"/>
      <w:pPr>
        <w:ind w:left="171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9" w15:restartNumberingAfterBreak="0">
    <w:nsid w:val="490B6A13"/>
    <w:multiLevelType w:val="multilevel"/>
    <w:tmpl w:val="3010258C"/>
    <w:lvl w:ilvl="0">
      <w:start w:val="1"/>
      <w:numFmt w:val="decimal"/>
      <w:lvlText w:val="%1."/>
      <w:lvlJc w:val="left"/>
      <w:pPr>
        <w:ind w:left="2880" w:hanging="360"/>
      </w:pPr>
      <w:rPr>
        <w:rFonts w:hint="default"/>
      </w:rPr>
    </w:lvl>
    <w:lvl w:ilvl="1">
      <w:start w:val="1"/>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170" w15:restartNumberingAfterBreak="0">
    <w:nsid w:val="493420B9"/>
    <w:multiLevelType w:val="hybridMultilevel"/>
    <w:tmpl w:val="116E0A54"/>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1" w15:restartNumberingAfterBreak="0">
    <w:nsid w:val="49BA1EE7"/>
    <w:multiLevelType w:val="hybridMultilevel"/>
    <w:tmpl w:val="D274558A"/>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4A072733"/>
    <w:multiLevelType w:val="multilevel"/>
    <w:tmpl w:val="D85031DC"/>
    <w:lvl w:ilvl="0">
      <w:start w:val="1"/>
      <w:numFmt w:val="decimal"/>
      <w:pStyle w:val="MMTopic1"/>
      <w:suff w:val="space"/>
      <w:lvlText w:val="%1"/>
      <w:lvlJc w:val="left"/>
      <w:pPr>
        <w:tabs>
          <w:tab w:val="num" w:pos="360"/>
        </w:tabs>
        <w:ind w:left="0" w:firstLine="0"/>
      </w:pPr>
    </w:lvl>
    <w:lvl w:ilvl="1">
      <w:start w:val="1"/>
      <w:numFmt w:val="decimal"/>
      <w:pStyle w:val="MMTopic2"/>
      <w:suff w:val="space"/>
      <w:lvlText w:val="%1.%2"/>
      <w:lvlJc w:val="left"/>
      <w:pPr>
        <w:tabs>
          <w:tab w:val="num" w:pos="720"/>
        </w:tabs>
        <w:ind w:left="0" w:firstLine="0"/>
      </w:pPr>
    </w:lvl>
    <w:lvl w:ilvl="2">
      <w:start w:val="1"/>
      <w:numFmt w:val="decimal"/>
      <w:pStyle w:val="MMTopic3"/>
      <w:suff w:val="space"/>
      <w:lvlText w:val="%1.%2.%3"/>
      <w:lvlJc w:val="left"/>
      <w:pPr>
        <w:tabs>
          <w:tab w:val="num" w:pos="1080"/>
        </w:tabs>
        <w:ind w:left="0" w:firstLine="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3" w15:restartNumberingAfterBreak="0">
    <w:nsid w:val="4AB07A03"/>
    <w:multiLevelType w:val="multilevel"/>
    <w:tmpl w:val="43348012"/>
    <w:lvl w:ilvl="0">
      <w:start w:val="1"/>
      <w:numFmt w:val="decimal"/>
      <w:pStyle w:val="Listenumros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4" w15:restartNumberingAfterBreak="0">
    <w:nsid w:val="4AB95C99"/>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4B996B95"/>
    <w:multiLevelType w:val="hybridMultilevel"/>
    <w:tmpl w:val="E514DABE"/>
    <w:lvl w:ilvl="0" w:tplc="04090019">
      <w:start w:val="1"/>
      <w:numFmt w:val="lowerLetter"/>
      <w:lvlText w:val="%1."/>
      <w:lvlJc w:val="left"/>
      <w:pPr>
        <w:ind w:left="1267" w:hanging="360"/>
      </w:pPr>
      <w:rPr>
        <w:rFonts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4BE0086F"/>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4C510602"/>
    <w:multiLevelType w:val="singleLevel"/>
    <w:tmpl w:val="F1444738"/>
    <w:lvl w:ilvl="0">
      <w:start w:val="1"/>
      <w:numFmt w:val="bullet"/>
      <w:pStyle w:val="Listepuces5"/>
      <w:lvlText w:val=""/>
      <w:lvlJc w:val="left"/>
      <w:pPr>
        <w:tabs>
          <w:tab w:val="num" w:pos="360"/>
        </w:tabs>
        <w:ind w:left="360" w:hanging="360"/>
      </w:pPr>
      <w:rPr>
        <w:rFonts w:ascii="Wingdings" w:hAnsi="Wingdings" w:hint="default"/>
      </w:rPr>
    </w:lvl>
  </w:abstractNum>
  <w:abstractNum w:abstractNumId="178" w15:restartNumberingAfterBreak="0">
    <w:nsid w:val="4DEB67E3"/>
    <w:multiLevelType w:val="multilevel"/>
    <w:tmpl w:val="41E69B9E"/>
    <w:lvl w:ilvl="0">
      <w:start w:val="2"/>
      <w:numFmt w:val="decimal"/>
      <w:lvlText w:val="%1"/>
      <w:lvlJc w:val="left"/>
      <w:pPr>
        <w:ind w:left="360" w:hanging="360"/>
      </w:pPr>
      <w:rPr>
        <w:rFonts w:hint="default"/>
      </w:rPr>
    </w:lvl>
    <w:lvl w:ilvl="1">
      <w:start w:val="2"/>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520" w:hanging="1800"/>
      </w:pPr>
      <w:rPr>
        <w:rFonts w:hint="default"/>
      </w:rPr>
    </w:lvl>
  </w:abstractNum>
  <w:abstractNum w:abstractNumId="179" w15:restartNumberingAfterBreak="0">
    <w:nsid w:val="4E43223E"/>
    <w:multiLevelType w:val="hybridMultilevel"/>
    <w:tmpl w:val="688AF9CE"/>
    <w:lvl w:ilvl="0" w:tplc="030899BA">
      <w:start w:val="1"/>
      <w:numFmt w:val="lowerRoman"/>
      <w:pStyle w:val="InnerHeading3"/>
      <w:lvlText w:val="%1."/>
      <w:lvlJc w:val="right"/>
      <w:pPr>
        <w:tabs>
          <w:tab w:val="num" w:pos="1494"/>
        </w:tabs>
        <w:ind w:left="1494" w:hanging="360"/>
      </w:pPr>
    </w:lvl>
    <w:lvl w:ilvl="1" w:tplc="247CEA58" w:tentative="1">
      <w:start w:val="1"/>
      <w:numFmt w:val="lowerLetter"/>
      <w:lvlText w:val="%2."/>
      <w:lvlJc w:val="left"/>
      <w:pPr>
        <w:tabs>
          <w:tab w:val="num" w:pos="2214"/>
        </w:tabs>
        <w:ind w:left="2214" w:hanging="360"/>
      </w:pPr>
    </w:lvl>
    <w:lvl w:ilvl="2" w:tplc="DFE0390E" w:tentative="1">
      <w:start w:val="1"/>
      <w:numFmt w:val="lowerRoman"/>
      <w:lvlText w:val="%3."/>
      <w:lvlJc w:val="right"/>
      <w:pPr>
        <w:tabs>
          <w:tab w:val="num" w:pos="2934"/>
        </w:tabs>
        <w:ind w:left="2934" w:hanging="180"/>
      </w:pPr>
    </w:lvl>
    <w:lvl w:ilvl="3" w:tplc="4FF013CC" w:tentative="1">
      <w:start w:val="1"/>
      <w:numFmt w:val="decimal"/>
      <w:lvlText w:val="%4."/>
      <w:lvlJc w:val="left"/>
      <w:pPr>
        <w:tabs>
          <w:tab w:val="num" w:pos="3654"/>
        </w:tabs>
        <w:ind w:left="3654" w:hanging="360"/>
      </w:pPr>
    </w:lvl>
    <w:lvl w:ilvl="4" w:tplc="BED21FC2" w:tentative="1">
      <w:start w:val="1"/>
      <w:numFmt w:val="lowerLetter"/>
      <w:lvlText w:val="%5."/>
      <w:lvlJc w:val="left"/>
      <w:pPr>
        <w:tabs>
          <w:tab w:val="num" w:pos="4374"/>
        </w:tabs>
        <w:ind w:left="4374" w:hanging="360"/>
      </w:pPr>
    </w:lvl>
    <w:lvl w:ilvl="5" w:tplc="AAF28340" w:tentative="1">
      <w:start w:val="1"/>
      <w:numFmt w:val="lowerRoman"/>
      <w:lvlText w:val="%6."/>
      <w:lvlJc w:val="right"/>
      <w:pPr>
        <w:tabs>
          <w:tab w:val="num" w:pos="5094"/>
        </w:tabs>
        <w:ind w:left="5094" w:hanging="180"/>
      </w:pPr>
    </w:lvl>
    <w:lvl w:ilvl="6" w:tplc="95625426" w:tentative="1">
      <w:start w:val="1"/>
      <w:numFmt w:val="decimal"/>
      <w:lvlText w:val="%7."/>
      <w:lvlJc w:val="left"/>
      <w:pPr>
        <w:tabs>
          <w:tab w:val="num" w:pos="5814"/>
        </w:tabs>
        <w:ind w:left="5814" w:hanging="360"/>
      </w:pPr>
    </w:lvl>
    <w:lvl w:ilvl="7" w:tplc="A74813A2" w:tentative="1">
      <w:start w:val="1"/>
      <w:numFmt w:val="lowerLetter"/>
      <w:lvlText w:val="%8."/>
      <w:lvlJc w:val="left"/>
      <w:pPr>
        <w:tabs>
          <w:tab w:val="num" w:pos="6534"/>
        </w:tabs>
        <w:ind w:left="6534" w:hanging="360"/>
      </w:pPr>
    </w:lvl>
    <w:lvl w:ilvl="8" w:tplc="99B0632A" w:tentative="1">
      <w:start w:val="1"/>
      <w:numFmt w:val="lowerRoman"/>
      <w:lvlText w:val="%9."/>
      <w:lvlJc w:val="right"/>
      <w:pPr>
        <w:tabs>
          <w:tab w:val="num" w:pos="7254"/>
        </w:tabs>
        <w:ind w:left="7254" w:hanging="180"/>
      </w:pPr>
    </w:lvl>
  </w:abstractNum>
  <w:abstractNum w:abstractNumId="180" w15:restartNumberingAfterBreak="0">
    <w:nsid w:val="4E5D1987"/>
    <w:multiLevelType w:val="hybridMultilevel"/>
    <w:tmpl w:val="1D5E0678"/>
    <w:lvl w:ilvl="0" w:tplc="04090019">
      <w:start w:val="1"/>
      <w:numFmt w:val="lowerLetter"/>
      <w:lvlText w:val="%1."/>
      <w:lvlJc w:val="left"/>
      <w:pPr>
        <w:ind w:left="1080" w:hanging="360"/>
      </w:pPr>
      <w:rPr>
        <w:b w:val="0"/>
        <w:lang w:val="en-AU"/>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1" w15:restartNumberingAfterBreak="0">
    <w:nsid w:val="4E8D4FD3"/>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4ED45C97"/>
    <w:multiLevelType w:val="hybridMultilevel"/>
    <w:tmpl w:val="8A125994"/>
    <w:lvl w:ilvl="0" w:tplc="FFFFFFFF">
      <w:start w:val="1"/>
      <w:numFmt w:val="lowerLetter"/>
      <w:lvlText w:val="%1."/>
      <w:lvlJc w:val="left"/>
      <w:pPr>
        <w:ind w:left="1350" w:hanging="360"/>
      </w:pPr>
      <w:rPr>
        <w:lang w:val="en-AU"/>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183"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84" w15:restartNumberingAfterBreak="0">
    <w:nsid w:val="4F332924"/>
    <w:multiLevelType w:val="multilevel"/>
    <w:tmpl w:val="0A9AFB22"/>
    <w:lvl w:ilvl="0">
      <w:start w:val="1"/>
      <w:numFmt w:val="decimal"/>
      <w:pStyle w:val="Style25"/>
      <w:lvlText w:val="6.%1"/>
      <w:lvlJc w:val="left"/>
      <w:pPr>
        <w:ind w:left="851" w:hanging="567"/>
      </w:pPr>
      <w:rPr>
        <w:rFonts w:ascii="Arial Bold" w:hAnsi="Arial Bold" w:hint="default"/>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5" w15:restartNumberingAfterBreak="0">
    <w:nsid w:val="4F9C5D85"/>
    <w:multiLevelType w:val="hybridMultilevel"/>
    <w:tmpl w:val="13C4C482"/>
    <w:lvl w:ilvl="0" w:tplc="0409001B">
      <w:start w:val="1"/>
      <w:numFmt w:val="lowerRoman"/>
      <w:lvlText w:val="%1."/>
      <w:lvlJc w:val="righ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86" w15:restartNumberingAfterBreak="0">
    <w:nsid w:val="501C0CED"/>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50290A5B"/>
    <w:multiLevelType w:val="multilevel"/>
    <w:tmpl w:val="8C6A52E0"/>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strike w:val="0"/>
        <w:sz w:val="22"/>
        <w:szCs w:val="22"/>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8" w15:restartNumberingAfterBreak="0">
    <w:nsid w:val="502E30EA"/>
    <w:multiLevelType w:val="singleLevel"/>
    <w:tmpl w:val="0EDA1A84"/>
    <w:lvl w:ilvl="0">
      <w:start w:val="1"/>
      <w:numFmt w:val="decimal"/>
      <w:pStyle w:val="para"/>
      <w:lvlText w:val="%1."/>
      <w:lvlJc w:val="left"/>
      <w:pPr>
        <w:tabs>
          <w:tab w:val="num" w:pos="360"/>
        </w:tabs>
        <w:ind w:left="0" w:firstLine="0"/>
      </w:pPr>
    </w:lvl>
  </w:abstractNum>
  <w:abstractNum w:abstractNumId="189" w15:restartNumberingAfterBreak="0">
    <w:nsid w:val="507D241C"/>
    <w:multiLevelType w:val="hybridMultilevel"/>
    <w:tmpl w:val="0546A728"/>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90" w15:restartNumberingAfterBreak="0">
    <w:nsid w:val="5117250B"/>
    <w:multiLevelType w:val="multilevel"/>
    <w:tmpl w:val="CC8CC4DE"/>
    <w:lvl w:ilvl="0">
      <w:start w:val="1"/>
      <w:numFmt w:val="decimal"/>
      <w:lvlRestart w:val="0"/>
      <w:pStyle w:val="BodyTextMultiline"/>
      <w:lvlText w:val="%1."/>
      <w:lvlJc w:val="left"/>
      <w:pPr>
        <w:tabs>
          <w:tab w:val="num" w:pos="459"/>
        </w:tabs>
      </w:pPr>
      <w:rPr>
        <w:rFonts w:cs="Times New Roman"/>
      </w:rPr>
    </w:lvl>
    <w:lvl w:ilvl="1">
      <w:start w:val="1"/>
      <w:numFmt w:val="decimal"/>
      <w:lvlText w:val="%1.%2."/>
      <w:lvlJc w:val="left"/>
      <w:pPr>
        <w:tabs>
          <w:tab w:val="num" w:pos="918"/>
        </w:tabs>
        <w:ind w:left="459"/>
      </w:pPr>
      <w:rPr>
        <w:rFonts w:cs="Times New Roman"/>
      </w:rPr>
    </w:lvl>
    <w:lvl w:ilvl="2">
      <w:start w:val="1"/>
      <w:numFmt w:val="decimal"/>
      <w:lvlText w:val="%1.%2.%3."/>
      <w:lvlJc w:val="left"/>
      <w:pPr>
        <w:tabs>
          <w:tab w:val="num" w:pos="1378"/>
        </w:tabs>
        <w:ind w:left="918"/>
      </w:pPr>
      <w:rPr>
        <w:rFonts w:cs="Times New Roman"/>
      </w:rPr>
    </w:lvl>
    <w:lvl w:ilvl="3">
      <w:start w:val="1"/>
      <w:numFmt w:val="decimal"/>
      <w:lvlText w:val="%1.%2.%3.%4."/>
      <w:lvlJc w:val="left"/>
      <w:pPr>
        <w:tabs>
          <w:tab w:val="num" w:pos="1837"/>
        </w:tabs>
        <w:ind w:left="1378"/>
      </w:pPr>
      <w:rPr>
        <w:rFonts w:cs="Times New Roman"/>
      </w:rPr>
    </w:lvl>
    <w:lvl w:ilvl="4">
      <w:start w:val="1"/>
      <w:numFmt w:val="decimal"/>
      <w:lvlText w:val="%1.%2.%3.%4.%5."/>
      <w:lvlJc w:val="left"/>
      <w:pPr>
        <w:tabs>
          <w:tab w:val="num" w:pos="2517"/>
        </w:tabs>
        <w:ind w:left="2234" w:hanging="794"/>
      </w:pPr>
      <w:rPr>
        <w:rFonts w:cs="Times New Roman"/>
      </w:rPr>
    </w:lvl>
    <w:lvl w:ilvl="5">
      <w:start w:val="1"/>
      <w:numFmt w:val="decimal"/>
      <w:lvlText w:val="%1.%2.%3.%4.%5.%6."/>
      <w:lvlJc w:val="left"/>
      <w:pPr>
        <w:tabs>
          <w:tab w:val="num" w:pos="2880"/>
        </w:tabs>
        <w:ind w:left="2738" w:hanging="941"/>
      </w:pPr>
      <w:rPr>
        <w:rFonts w:cs="Times New Roman"/>
      </w:rPr>
    </w:lvl>
    <w:lvl w:ilvl="6">
      <w:start w:val="1"/>
      <w:numFmt w:val="decimal"/>
      <w:lvlText w:val="%1.%2.%3.%4.%5.%6.%7."/>
      <w:lvlJc w:val="left"/>
      <w:pPr>
        <w:tabs>
          <w:tab w:val="num" w:pos="3600"/>
        </w:tabs>
        <w:ind w:left="3237" w:hanging="1077"/>
      </w:pPr>
      <w:rPr>
        <w:rFonts w:cs="Times New Roman"/>
      </w:rPr>
    </w:lvl>
    <w:lvl w:ilvl="7">
      <w:start w:val="1"/>
      <w:numFmt w:val="decimal"/>
      <w:lvlText w:val="%1.%2.%3.%4.%5.%6.%7.%8."/>
      <w:lvlJc w:val="left"/>
      <w:pPr>
        <w:tabs>
          <w:tab w:val="num" w:pos="3957"/>
        </w:tabs>
        <w:ind w:left="3742" w:hanging="1225"/>
      </w:pPr>
      <w:rPr>
        <w:rFonts w:cs="Times New Roman"/>
      </w:rPr>
    </w:lvl>
    <w:lvl w:ilvl="8">
      <w:start w:val="1"/>
      <w:numFmt w:val="decimal"/>
      <w:lvlText w:val="%1.%2.%3.%4.%5.%6.%7.%8.%9."/>
      <w:lvlJc w:val="left"/>
      <w:pPr>
        <w:tabs>
          <w:tab w:val="num" w:pos="4677"/>
        </w:tabs>
        <w:ind w:left="4320" w:hanging="1440"/>
      </w:pPr>
      <w:rPr>
        <w:rFonts w:cs="Times New Roman"/>
      </w:rPr>
    </w:lvl>
  </w:abstractNum>
  <w:abstractNum w:abstractNumId="191" w15:restartNumberingAfterBreak="0">
    <w:nsid w:val="51BD7D19"/>
    <w:multiLevelType w:val="hybridMultilevel"/>
    <w:tmpl w:val="F0EC25C8"/>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92" w15:restartNumberingAfterBreak="0">
    <w:nsid w:val="51FB5EA6"/>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52067BB4"/>
    <w:multiLevelType w:val="multilevel"/>
    <w:tmpl w:val="0A803646"/>
    <w:lvl w:ilvl="0">
      <w:numFmt w:val="decimal"/>
      <w:lvlText w:val=""/>
      <w:lvlJc w:val="left"/>
    </w:lvl>
    <w:lvl w:ilvl="1">
      <w:numFmt w:val="decimal"/>
      <w:pStyle w:val="FormTitle"/>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53147D9C"/>
    <w:multiLevelType w:val="multilevel"/>
    <w:tmpl w:val="03D69268"/>
    <w:lvl w:ilvl="0">
      <w:start w:val="1"/>
      <w:numFmt w:val="decimal"/>
      <w:pStyle w:val="S1-Header2"/>
      <w:isLgl/>
      <w:lvlText w:val="%1."/>
      <w:lvlJc w:val="left"/>
      <w:pPr>
        <w:tabs>
          <w:tab w:val="num" w:pos="612"/>
        </w:tabs>
        <w:ind w:left="612" w:hanging="432"/>
      </w:pPr>
      <w:rPr>
        <w:rFonts w:hint="default"/>
        <w:b/>
        <w:i w:val="0"/>
        <w:sz w:val="24"/>
      </w:rPr>
    </w:lvl>
    <w:lvl w:ilvl="1">
      <w:start w:val="1"/>
      <w:numFmt w:val="decimal"/>
      <w:pStyle w:val="S1-subpara"/>
      <w:isLgl/>
      <w:lvlText w:val="%1.%2"/>
      <w:lvlJc w:val="left"/>
      <w:pPr>
        <w:tabs>
          <w:tab w:val="num" w:pos="936"/>
        </w:tabs>
        <w:ind w:left="93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5" w15:restartNumberingAfterBreak="0">
    <w:nsid w:val="53151C42"/>
    <w:multiLevelType w:val="singleLevel"/>
    <w:tmpl w:val="DE1434E6"/>
    <w:lvl w:ilvl="0">
      <w:start w:val="1"/>
      <w:numFmt w:val="lowerLetter"/>
      <w:pStyle w:val="Sangradet"/>
      <w:lvlText w:val="%1."/>
      <w:lvlJc w:val="left"/>
      <w:pPr>
        <w:tabs>
          <w:tab w:val="num" w:pos="360"/>
        </w:tabs>
        <w:ind w:left="284" w:hanging="284"/>
      </w:pPr>
    </w:lvl>
  </w:abstractNum>
  <w:abstractNum w:abstractNumId="196" w15:restartNumberingAfterBreak="0">
    <w:nsid w:val="532A471C"/>
    <w:multiLevelType w:val="hybridMultilevel"/>
    <w:tmpl w:val="87EAA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537C7E2F"/>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53ED6A59"/>
    <w:multiLevelType w:val="multilevel"/>
    <w:tmpl w:val="4EA6C0F8"/>
    <w:lvl w:ilvl="0">
      <w:start w:val="1"/>
      <w:numFmt w:val="decimal"/>
      <w:lvlText w:val="%1."/>
      <w:lvlJc w:val="left"/>
      <w:pPr>
        <w:ind w:left="2045" w:hanging="634"/>
      </w:pPr>
      <w:rPr>
        <w:rFonts w:ascii="Calibri" w:hAnsi="Calibri" w:hint="default"/>
        <w:b/>
        <w:bCs/>
        <w:i w:val="0"/>
        <w:iCs w:val="0"/>
        <w:color w:val="C45811"/>
        <w:spacing w:val="-2"/>
        <w:w w:val="99"/>
        <w:sz w:val="32"/>
        <w:szCs w:val="32"/>
        <w:lang w:val="en-US" w:eastAsia="en-US" w:bidi="ar-SA"/>
      </w:rPr>
    </w:lvl>
    <w:lvl w:ilvl="1">
      <w:start w:val="1"/>
      <w:numFmt w:val="decimal"/>
      <w:lvlText w:val="%1.%2"/>
      <w:lvlJc w:val="left"/>
      <w:pPr>
        <w:ind w:left="2045" w:hanging="634"/>
      </w:pPr>
      <w:rPr>
        <w:rFonts w:ascii="Calibri" w:hAnsi="Calibri" w:hint="default"/>
        <w:b w:val="0"/>
        <w:bCs w:val="0"/>
        <w:i w:val="0"/>
        <w:iCs w:val="0"/>
        <w:spacing w:val="0"/>
        <w:w w:val="100"/>
        <w:sz w:val="22"/>
        <w:szCs w:val="22"/>
        <w:lang w:val="en-US" w:eastAsia="en-US" w:bidi="ar-SA"/>
      </w:rPr>
    </w:lvl>
    <w:lvl w:ilvl="2">
      <w:start w:val="1"/>
      <w:numFmt w:val="lowerLetter"/>
      <w:lvlText w:val="%3."/>
      <w:lvlJc w:val="left"/>
      <w:pPr>
        <w:ind w:left="2678" w:hanging="360"/>
      </w:pPr>
      <w:rPr>
        <w:rFonts w:ascii="Calibri" w:hAnsi="Calibri" w:hint="default"/>
        <w:b w:val="0"/>
        <w:bCs w:val="0"/>
        <w:i w:val="0"/>
        <w:iCs w:val="0"/>
        <w:spacing w:val="-1"/>
        <w:w w:val="100"/>
        <w:sz w:val="22"/>
        <w:szCs w:val="22"/>
        <w:lang w:val="en-US" w:eastAsia="en-US" w:bidi="ar-SA"/>
      </w:rPr>
    </w:lvl>
    <w:lvl w:ilvl="3">
      <w:numFmt w:val="bullet"/>
      <w:lvlText w:val="•"/>
      <w:lvlJc w:val="left"/>
      <w:pPr>
        <w:ind w:left="4804" w:hanging="360"/>
      </w:pPr>
      <w:rPr>
        <w:lang w:val="en-US" w:eastAsia="en-US" w:bidi="ar-SA"/>
      </w:rPr>
    </w:lvl>
    <w:lvl w:ilvl="4">
      <w:numFmt w:val="bullet"/>
      <w:lvlText w:val="•"/>
      <w:lvlJc w:val="left"/>
      <w:pPr>
        <w:ind w:left="5866" w:hanging="360"/>
      </w:pPr>
      <w:rPr>
        <w:lang w:val="en-US" w:eastAsia="en-US" w:bidi="ar-SA"/>
      </w:rPr>
    </w:lvl>
    <w:lvl w:ilvl="5">
      <w:numFmt w:val="bullet"/>
      <w:lvlText w:val="•"/>
      <w:lvlJc w:val="left"/>
      <w:pPr>
        <w:ind w:left="6928" w:hanging="360"/>
      </w:pPr>
      <w:rPr>
        <w:lang w:val="en-US" w:eastAsia="en-US" w:bidi="ar-SA"/>
      </w:rPr>
    </w:lvl>
    <w:lvl w:ilvl="6">
      <w:numFmt w:val="bullet"/>
      <w:lvlText w:val="•"/>
      <w:lvlJc w:val="left"/>
      <w:pPr>
        <w:ind w:left="7991" w:hanging="360"/>
      </w:pPr>
      <w:rPr>
        <w:lang w:val="en-US" w:eastAsia="en-US" w:bidi="ar-SA"/>
      </w:rPr>
    </w:lvl>
    <w:lvl w:ilvl="7">
      <w:numFmt w:val="bullet"/>
      <w:lvlText w:val="•"/>
      <w:lvlJc w:val="left"/>
      <w:pPr>
        <w:ind w:left="9053" w:hanging="360"/>
      </w:pPr>
      <w:rPr>
        <w:lang w:val="en-US" w:eastAsia="en-US" w:bidi="ar-SA"/>
      </w:rPr>
    </w:lvl>
    <w:lvl w:ilvl="8">
      <w:numFmt w:val="bullet"/>
      <w:lvlText w:val="•"/>
      <w:lvlJc w:val="left"/>
      <w:pPr>
        <w:ind w:left="10115" w:hanging="360"/>
      </w:pPr>
      <w:rPr>
        <w:lang w:val="en-US" w:eastAsia="en-US" w:bidi="ar-SA"/>
      </w:rPr>
    </w:lvl>
  </w:abstractNum>
  <w:abstractNum w:abstractNumId="199" w15:restartNumberingAfterBreak="0">
    <w:nsid w:val="54242835"/>
    <w:multiLevelType w:val="hybridMultilevel"/>
    <w:tmpl w:val="55F64502"/>
    <w:lvl w:ilvl="0" w:tplc="04090019">
      <w:start w:val="1"/>
      <w:numFmt w:val="lowerLetter"/>
      <w:lvlText w:val="%1."/>
      <w:lvlJc w:val="left"/>
      <w:pPr>
        <w:ind w:left="1350" w:hanging="360"/>
      </w:pPr>
      <w:rPr>
        <w:b w:val="0"/>
        <w:lang w:val="en-AU"/>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00" w15:restartNumberingAfterBreak="0">
    <w:nsid w:val="548773E1"/>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548D7E82"/>
    <w:multiLevelType w:val="hybridMultilevel"/>
    <w:tmpl w:val="F0CA16F6"/>
    <w:lvl w:ilvl="0" w:tplc="A342C064">
      <w:start w:val="2"/>
      <w:numFmt w:val="bullet"/>
      <w:pStyle w:val="paraindent"/>
      <w:lvlText w:val="-"/>
      <w:lvlJc w:val="left"/>
      <w:pPr>
        <w:ind w:left="720" w:hanging="360"/>
      </w:pPr>
      <w:rPr>
        <w:rFonts w:ascii="Times New Roman" w:eastAsia="Times New Roman" w:hAnsi="Times New Roman" w:cs="Times New Roman" w:hint="default"/>
      </w:rPr>
    </w:lvl>
    <w:lvl w:ilvl="1" w:tplc="04090019">
      <w:start w:val="1"/>
      <w:numFmt w:val="bullet"/>
      <w:lvlText w:val=""/>
      <w:lvlJc w:val="left"/>
      <w:pPr>
        <w:ind w:left="1200" w:hanging="400"/>
      </w:pPr>
      <w:rPr>
        <w:rFonts w:ascii="Wingdings" w:hAnsi="Wingdings" w:hint="default"/>
      </w:rPr>
    </w:lvl>
    <w:lvl w:ilvl="2" w:tplc="0409001B" w:tentative="1">
      <w:start w:val="1"/>
      <w:numFmt w:val="bullet"/>
      <w:lvlText w:val=""/>
      <w:lvlJc w:val="left"/>
      <w:pPr>
        <w:ind w:left="1600" w:hanging="400"/>
      </w:pPr>
      <w:rPr>
        <w:rFonts w:ascii="Wingdings" w:hAnsi="Wingdings" w:hint="default"/>
      </w:rPr>
    </w:lvl>
    <w:lvl w:ilvl="3" w:tplc="0409000F" w:tentative="1">
      <w:start w:val="1"/>
      <w:numFmt w:val="bullet"/>
      <w:lvlText w:val=""/>
      <w:lvlJc w:val="left"/>
      <w:pPr>
        <w:ind w:left="2000" w:hanging="400"/>
      </w:pPr>
      <w:rPr>
        <w:rFonts w:ascii="Wingdings" w:hAnsi="Wingdings" w:hint="default"/>
      </w:rPr>
    </w:lvl>
    <w:lvl w:ilvl="4" w:tplc="04090019" w:tentative="1">
      <w:start w:val="1"/>
      <w:numFmt w:val="bullet"/>
      <w:lvlText w:val=""/>
      <w:lvlJc w:val="left"/>
      <w:pPr>
        <w:ind w:left="2400" w:hanging="400"/>
      </w:pPr>
      <w:rPr>
        <w:rFonts w:ascii="Wingdings" w:hAnsi="Wingdings" w:hint="default"/>
      </w:rPr>
    </w:lvl>
    <w:lvl w:ilvl="5" w:tplc="0409001B" w:tentative="1">
      <w:start w:val="1"/>
      <w:numFmt w:val="bullet"/>
      <w:lvlText w:val=""/>
      <w:lvlJc w:val="left"/>
      <w:pPr>
        <w:ind w:left="2800" w:hanging="400"/>
      </w:pPr>
      <w:rPr>
        <w:rFonts w:ascii="Wingdings" w:hAnsi="Wingdings" w:hint="default"/>
      </w:rPr>
    </w:lvl>
    <w:lvl w:ilvl="6" w:tplc="0409000F" w:tentative="1">
      <w:start w:val="1"/>
      <w:numFmt w:val="bullet"/>
      <w:lvlText w:val=""/>
      <w:lvlJc w:val="left"/>
      <w:pPr>
        <w:ind w:left="3200" w:hanging="400"/>
      </w:pPr>
      <w:rPr>
        <w:rFonts w:ascii="Wingdings" w:hAnsi="Wingdings" w:hint="default"/>
      </w:rPr>
    </w:lvl>
    <w:lvl w:ilvl="7" w:tplc="04090019" w:tentative="1">
      <w:start w:val="1"/>
      <w:numFmt w:val="bullet"/>
      <w:lvlText w:val=""/>
      <w:lvlJc w:val="left"/>
      <w:pPr>
        <w:ind w:left="3600" w:hanging="400"/>
      </w:pPr>
      <w:rPr>
        <w:rFonts w:ascii="Wingdings" w:hAnsi="Wingdings" w:hint="default"/>
      </w:rPr>
    </w:lvl>
    <w:lvl w:ilvl="8" w:tplc="0409001B" w:tentative="1">
      <w:start w:val="1"/>
      <w:numFmt w:val="bullet"/>
      <w:lvlText w:val=""/>
      <w:lvlJc w:val="left"/>
      <w:pPr>
        <w:ind w:left="4000" w:hanging="400"/>
      </w:pPr>
      <w:rPr>
        <w:rFonts w:ascii="Wingdings" w:hAnsi="Wingdings" w:hint="default"/>
      </w:rPr>
    </w:lvl>
  </w:abstractNum>
  <w:abstractNum w:abstractNumId="202" w15:restartNumberingAfterBreak="0">
    <w:nsid w:val="54B60FBE"/>
    <w:multiLevelType w:val="multilevel"/>
    <w:tmpl w:val="5DF26524"/>
    <w:lvl w:ilvl="0">
      <w:start w:val="1"/>
      <w:numFmt w:val="decimal"/>
      <w:lvlText w:val="%1."/>
      <w:lvlJc w:val="left"/>
      <w:pPr>
        <w:ind w:left="2880" w:hanging="360"/>
      </w:pPr>
      <w:rPr>
        <w:rFonts w:hint="default"/>
      </w:rPr>
    </w:lvl>
    <w:lvl w:ilvl="1">
      <w:start w:val="1"/>
      <w:numFmt w:val="decimal"/>
      <w:lvlText w:val="%2."/>
      <w:lvlJc w:val="left"/>
      <w:pPr>
        <w:ind w:left="2880" w:hanging="360"/>
      </w:pPr>
      <w:rPr>
        <w:rFonts w:ascii="Andes" w:hAnsi="Andes" w:hint="default"/>
        <w:b w:val="0"/>
        <w:i w:val="0"/>
        <w:sz w:val="22"/>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203" w15:restartNumberingAfterBreak="0">
    <w:nsid w:val="552A7F78"/>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55B53EF9"/>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55DE6E63"/>
    <w:multiLevelType w:val="multilevel"/>
    <w:tmpl w:val="565C8E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6" w15:restartNumberingAfterBreak="0">
    <w:nsid w:val="56C205C5"/>
    <w:multiLevelType w:val="multilevel"/>
    <w:tmpl w:val="2BA4AB9C"/>
    <w:lvl w:ilvl="0">
      <w:start w:val="4"/>
      <w:numFmt w:val="decimal"/>
      <w:lvlText w:val="%1"/>
      <w:lvlJc w:val="left"/>
      <w:pPr>
        <w:ind w:left="2074" w:hanging="634"/>
      </w:pPr>
      <w:rPr>
        <w:lang w:val="en-US" w:eastAsia="en-US" w:bidi="ar-SA"/>
      </w:rPr>
    </w:lvl>
    <w:lvl w:ilvl="1">
      <w:start w:val="1"/>
      <w:numFmt w:val="decimal"/>
      <w:lvlText w:val="%1.%2"/>
      <w:lvlJc w:val="left"/>
      <w:pPr>
        <w:ind w:left="2074" w:hanging="634"/>
      </w:pPr>
      <w:rPr>
        <w:rFonts w:ascii="Calibri" w:hAnsi="Calibri" w:hint="default"/>
        <w:b w:val="0"/>
        <w:bCs w:val="0"/>
        <w:i w:val="0"/>
        <w:iCs w:val="0"/>
        <w:spacing w:val="0"/>
        <w:w w:val="100"/>
        <w:sz w:val="22"/>
        <w:szCs w:val="22"/>
        <w:lang w:val="en-US" w:eastAsia="en-US" w:bidi="ar-SA"/>
      </w:rPr>
    </w:lvl>
    <w:lvl w:ilvl="2">
      <w:start w:val="1"/>
      <w:numFmt w:val="lowerLetter"/>
      <w:lvlText w:val="%3."/>
      <w:lvlJc w:val="left"/>
      <w:pPr>
        <w:ind w:left="2707" w:hanging="363"/>
      </w:pPr>
      <w:rPr>
        <w:rFonts w:ascii="Calibri" w:hAnsi="Calibri" w:hint="default"/>
        <w:b w:val="0"/>
        <w:bCs w:val="0"/>
        <w:i w:val="0"/>
        <w:iCs w:val="0"/>
        <w:spacing w:val="-1"/>
        <w:w w:val="100"/>
        <w:sz w:val="22"/>
        <w:szCs w:val="22"/>
        <w:lang w:val="en-US" w:eastAsia="en-US" w:bidi="ar-SA"/>
      </w:rPr>
    </w:lvl>
    <w:lvl w:ilvl="3">
      <w:numFmt w:val="bullet"/>
      <w:lvlText w:val="•"/>
      <w:lvlJc w:val="left"/>
      <w:pPr>
        <w:ind w:left="4820" w:hanging="363"/>
      </w:pPr>
      <w:rPr>
        <w:lang w:val="en-US" w:eastAsia="en-US" w:bidi="ar-SA"/>
      </w:rPr>
    </w:lvl>
    <w:lvl w:ilvl="4">
      <w:numFmt w:val="bullet"/>
      <w:lvlText w:val="•"/>
      <w:lvlJc w:val="left"/>
      <w:pPr>
        <w:ind w:left="5880" w:hanging="363"/>
      </w:pPr>
      <w:rPr>
        <w:lang w:val="en-US" w:eastAsia="en-US" w:bidi="ar-SA"/>
      </w:rPr>
    </w:lvl>
    <w:lvl w:ilvl="5">
      <w:numFmt w:val="bullet"/>
      <w:lvlText w:val="•"/>
      <w:lvlJc w:val="left"/>
      <w:pPr>
        <w:ind w:left="6940" w:hanging="363"/>
      </w:pPr>
      <w:rPr>
        <w:lang w:val="en-US" w:eastAsia="en-US" w:bidi="ar-SA"/>
      </w:rPr>
    </w:lvl>
    <w:lvl w:ilvl="6">
      <w:numFmt w:val="bullet"/>
      <w:lvlText w:val="•"/>
      <w:lvlJc w:val="left"/>
      <w:pPr>
        <w:ind w:left="8000" w:hanging="363"/>
      </w:pPr>
      <w:rPr>
        <w:lang w:val="en-US" w:eastAsia="en-US" w:bidi="ar-SA"/>
      </w:rPr>
    </w:lvl>
    <w:lvl w:ilvl="7">
      <w:numFmt w:val="bullet"/>
      <w:lvlText w:val="•"/>
      <w:lvlJc w:val="left"/>
      <w:pPr>
        <w:ind w:left="9060" w:hanging="363"/>
      </w:pPr>
      <w:rPr>
        <w:lang w:val="en-US" w:eastAsia="en-US" w:bidi="ar-SA"/>
      </w:rPr>
    </w:lvl>
    <w:lvl w:ilvl="8">
      <w:numFmt w:val="bullet"/>
      <w:lvlText w:val="•"/>
      <w:lvlJc w:val="left"/>
      <w:pPr>
        <w:ind w:left="10120" w:hanging="363"/>
      </w:pPr>
      <w:rPr>
        <w:lang w:val="en-US" w:eastAsia="en-US" w:bidi="ar-SA"/>
      </w:rPr>
    </w:lvl>
  </w:abstractNum>
  <w:abstractNum w:abstractNumId="207" w15:restartNumberingAfterBreak="0">
    <w:nsid w:val="576456CF"/>
    <w:multiLevelType w:val="hybridMultilevel"/>
    <w:tmpl w:val="B1F6AE2A"/>
    <w:lvl w:ilvl="0" w:tplc="FFFFFFFF">
      <w:start w:val="1"/>
      <w:numFmt w:val="lowerLetter"/>
      <w:lvlText w:val="%1."/>
      <w:lvlJc w:val="left"/>
      <w:pPr>
        <w:ind w:left="126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8" w15:restartNumberingAfterBreak="0">
    <w:nsid w:val="58DB24A5"/>
    <w:multiLevelType w:val="hybridMultilevel"/>
    <w:tmpl w:val="F992EA94"/>
    <w:lvl w:ilvl="0" w:tplc="04090019">
      <w:start w:val="1"/>
      <w:numFmt w:val="lowerLetter"/>
      <w:lvlText w:val="%1."/>
      <w:lvlJc w:val="left"/>
      <w:pPr>
        <w:ind w:left="135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09" w15:restartNumberingAfterBreak="0">
    <w:nsid w:val="59100D9E"/>
    <w:multiLevelType w:val="hybridMultilevel"/>
    <w:tmpl w:val="E45A0BDA"/>
    <w:lvl w:ilvl="0" w:tplc="04090019">
      <w:start w:val="1"/>
      <w:numFmt w:val="lowerLetter"/>
      <w:lvlText w:val="%1."/>
      <w:lvlJc w:val="left"/>
      <w:pPr>
        <w:ind w:left="1350" w:hanging="360"/>
      </w:pPr>
      <w:rPr>
        <w:b w:val="0"/>
        <w:color w:val="auto"/>
        <w:sz w:val="22"/>
        <w:szCs w:val="22"/>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10" w15:restartNumberingAfterBreak="0">
    <w:nsid w:val="59253779"/>
    <w:multiLevelType w:val="multilevel"/>
    <w:tmpl w:val="BC1E7D1A"/>
    <w:lvl w:ilvl="0">
      <w:start w:val="3"/>
      <w:numFmt w:val="decimal"/>
      <w:lvlText w:val="%1"/>
      <w:lvlJc w:val="left"/>
      <w:pPr>
        <w:ind w:left="360" w:hanging="360"/>
      </w:pPr>
      <w:rPr>
        <w:rFonts w:hint="default"/>
      </w:rPr>
    </w:lvl>
    <w:lvl w:ilvl="1">
      <w:start w:val="1"/>
      <w:numFmt w:val="decimal"/>
      <w:lvlText w:val="%1.%2"/>
      <w:lvlJc w:val="left"/>
      <w:pPr>
        <w:ind w:left="0" w:hanging="360"/>
      </w:pPr>
      <w:rPr>
        <w:rFonts w:hint="default"/>
      </w:rPr>
    </w:lvl>
    <w:lvl w:ilvl="2">
      <w:start w:val="1"/>
      <w:numFmt w:val="decimal"/>
      <w:lvlText w:val="%1.%2.%3"/>
      <w:lvlJc w:val="left"/>
      <w:pPr>
        <w:ind w:left="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72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080" w:hanging="1800"/>
      </w:pPr>
      <w:rPr>
        <w:rFonts w:hint="default"/>
      </w:rPr>
    </w:lvl>
  </w:abstractNum>
  <w:abstractNum w:abstractNumId="211" w15:restartNumberingAfterBreak="0">
    <w:nsid w:val="59404551"/>
    <w:multiLevelType w:val="multilevel"/>
    <w:tmpl w:val="E5BA8CBC"/>
    <w:name w:val="PPF Template List222"/>
    <w:lvl w:ilvl="0">
      <w:start w:val="1"/>
      <w:numFmt w:val="decimal"/>
      <w:lvlText w:val="%1."/>
      <w:lvlJc w:val="left"/>
      <w:pPr>
        <w:ind w:left="990" w:hanging="360"/>
      </w:pPr>
      <w:rPr>
        <w:rFonts w:ascii="Arial" w:hAnsi="Arial" w:hint="default"/>
        <w:b w:val="0"/>
        <w:i w:val="0"/>
        <w:sz w:val="22"/>
      </w:rPr>
    </w:lvl>
    <w:lvl w:ilvl="1">
      <w:start w:val="1"/>
      <w:numFmt w:val="lowerLetter"/>
      <w:lvlText w:val="%2."/>
      <w:lvlJc w:val="left"/>
      <w:pPr>
        <w:ind w:left="720" w:hanging="360"/>
      </w:pPr>
      <w:rPr>
        <w:rFonts w:hint="default"/>
      </w:rPr>
    </w:lvl>
    <w:lvl w:ilvl="2">
      <w:start w:val="1"/>
      <w:numFmt w:val="lowerRoman"/>
      <w:lvlText w:val="%3."/>
      <w:lvlJc w:val="right"/>
      <w:pPr>
        <w:ind w:left="1800" w:hanging="360"/>
      </w:pPr>
      <w:rPr>
        <w:rFonts w:hint="default"/>
      </w:rPr>
    </w:lvl>
    <w:lvl w:ilvl="3">
      <w:start w:val="1"/>
      <w:numFmt w:val="none"/>
      <w:lvlText w:val=""/>
      <w:lvlJc w:val="left"/>
      <w:pPr>
        <w:ind w:left="2520" w:hanging="360"/>
      </w:pPr>
      <w:rPr>
        <w:rFonts w:hint="default"/>
      </w:rPr>
    </w:lvl>
    <w:lvl w:ilvl="4">
      <w:start w:val="1"/>
      <w:numFmt w:val="none"/>
      <w:lvlText w:val=""/>
      <w:lvlJc w:val="left"/>
      <w:pPr>
        <w:ind w:left="3240" w:hanging="360"/>
      </w:pPr>
      <w:rPr>
        <w:rFonts w:hint="default"/>
      </w:rPr>
    </w:lvl>
    <w:lvl w:ilvl="5">
      <w:start w:val="1"/>
      <w:numFmt w:val="none"/>
      <w:lvlText w:val=""/>
      <w:lvlJc w:val="right"/>
      <w:pPr>
        <w:ind w:left="3960" w:hanging="180"/>
      </w:pPr>
      <w:rPr>
        <w:rFonts w:hint="default"/>
      </w:rPr>
    </w:lvl>
    <w:lvl w:ilvl="6">
      <w:start w:val="1"/>
      <w:numFmt w:val="none"/>
      <w:lvlText w:val=""/>
      <w:lvlJc w:val="left"/>
      <w:pPr>
        <w:ind w:left="4680" w:hanging="360"/>
      </w:pPr>
      <w:rPr>
        <w:rFonts w:hint="default"/>
      </w:rPr>
    </w:lvl>
    <w:lvl w:ilvl="7">
      <w:start w:val="1"/>
      <w:numFmt w:val="none"/>
      <w:lvlText w:val=""/>
      <w:lvlJc w:val="left"/>
      <w:pPr>
        <w:ind w:left="5400" w:hanging="360"/>
      </w:pPr>
      <w:rPr>
        <w:rFonts w:hint="default"/>
      </w:rPr>
    </w:lvl>
    <w:lvl w:ilvl="8">
      <w:start w:val="1"/>
      <w:numFmt w:val="none"/>
      <w:lvlText w:val=""/>
      <w:lvlJc w:val="right"/>
      <w:pPr>
        <w:ind w:left="6120" w:hanging="180"/>
      </w:pPr>
      <w:rPr>
        <w:rFonts w:hint="default"/>
      </w:rPr>
    </w:lvl>
  </w:abstractNum>
  <w:abstractNum w:abstractNumId="212" w15:restartNumberingAfterBreak="0">
    <w:nsid w:val="59AD06B4"/>
    <w:multiLevelType w:val="multilevel"/>
    <w:tmpl w:val="309069E0"/>
    <w:lvl w:ilvl="0">
      <w:start w:val="1"/>
      <w:numFmt w:val="decimal"/>
      <w:lvlText w:val="%1."/>
      <w:lvlJc w:val="left"/>
      <w:pPr>
        <w:ind w:left="2880" w:hanging="360"/>
      </w:pPr>
      <w:rPr>
        <w:rFonts w:hint="default"/>
      </w:rPr>
    </w:lvl>
    <w:lvl w:ilvl="1">
      <w:start w:val="1"/>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213" w15:restartNumberingAfterBreak="0">
    <w:nsid w:val="59EA217A"/>
    <w:multiLevelType w:val="hybridMultilevel"/>
    <w:tmpl w:val="7DCEBCBE"/>
    <w:lvl w:ilvl="0" w:tplc="789C732A">
      <w:start w:val="1"/>
      <w:numFmt w:val="bullet"/>
      <w:pStyle w:val="ListEmdash"/>
      <w:lvlText w:val="-"/>
      <w:lvlJc w:val="left"/>
      <w:pPr>
        <w:tabs>
          <w:tab w:val="num" w:pos="919"/>
        </w:tabs>
        <w:ind w:left="919" w:hanging="460"/>
      </w:pPr>
      <w:rPr>
        <w:rFonts w:ascii="Times New Roman" w:hAnsi="Times New Roman" w:hint="default"/>
        <w:b w:val="0"/>
        <w:i w:val="0"/>
        <w:caps w:val="0"/>
        <w:strike w:val="0"/>
        <w:dstrike w:val="0"/>
        <w:vanish w:val="0"/>
        <w:color w:val="000000"/>
        <w:sz w:val="24"/>
        <w:vertAlign w:val="baseline"/>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4" w15:restartNumberingAfterBreak="0">
    <w:nsid w:val="5A4314E5"/>
    <w:multiLevelType w:val="hybridMultilevel"/>
    <w:tmpl w:val="E45A0BDA"/>
    <w:lvl w:ilvl="0" w:tplc="04090019">
      <w:start w:val="1"/>
      <w:numFmt w:val="lowerLetter"/>
      <w:lvlText w:val="%1."/>
      <w:lvlJc w:val="left"/>
      <w:pPr>
        <w:ind w:left="1350" w:hanging="360"/>
      </w:pPr>
      <w:rPr>
        <w:b w:val="0"/>
        <w:color w:val="auto"/>
        <w:sz w:val="22"/>
        <w:szCs w:val="22"/>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15" w15:restartNumberingAfterBreak="0">
    <w:nsid w:val="5A45557C"/>
    <w:multiLevelType w:val="hybridMultilevel"/>
    <w:tmpl w:val="C0D6481E"/>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16" w15:restartNumberingAfterBreak="0">
    <w:nsid w:val="5D670B90"/>
    <w:multiLevelType w:val="hybridMultilevel"/>
    <w:tmpl w:val="9A6CB206"/>
    <w:lvl w:ilvl="0" w:tplc="E090AB68">
      <w:start w:val="1"/>
      <w:numFmt w:val="decimal"/>
      <w:lvlText w:val="4.%1"/>
      <w:lvlJc w:val="right"/>
      <w:pPr>
        <w:ind w:left="720" w:hanging="360"/>
      </w:pPr>
      <w:rPr>
        <w:rFonts w:hint="default"/>
        <w:b w:val="0"/>
        <w:i w:val="0"/>
        <w:strike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5E24531A"/>
    <w:multiLevelType w:val="multilevel"/>
    <w:tmpl w:val="23D89DAC"/>
    <w:styleLink w:val="TOCList"/>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8" w15:restartNumberingAfterBreak="0">
    <w:nsid w:val="5E7214D0"/>
    <w:multiLevelType w:val="multilevel"/>
    <w:tmpl w:val="AFD87F6A"/>
    <w:lvl w:ilvl="0">
      <w:start w:val="4"/>
      <w:numFmt w:val="decimal"/>
      <w:lvlText w:val="%1"/>
      <w:lvlJc w:val="left"/>
      <w:pPr>
        <w:ind w:left="2074" w:hanging="634"/>
      </w:pPr>
      <w:rPr>
        <w:rFonts w:hint="default"/>
      </w:rPr>
    </w:lvl>
    <w:lvl w:ilvl="1">
      <w:start w:val="7"/>
      <w:numFmt w:val="decimal"/>
      <w:lvlText w:val="%1.%2"/>
      <w:lvlJc w:val="left"/>
      <w:pPr>
        <w:ind w:left="2074" w:hanging="634"/>
      </w:pPr>
      <w:rPr>
        <w:rFonts w:ascii="Calibri" w:hAnsi="Calibri" w:hint="default"/>
        <w:b w:val="0"/>
        <w:bCs w:val="0"/>
        <w:i w:val="0"/>
        <w:iCs w:val="0"/>
        <w:spacing w:val="0"/>
        <w:w w:val="100"/>
        <w:sz w:val="22"/>
        <w:szCs w:val="22"/>
      </w:rPr>
    </w:lvl>
    <w:lvl w:ilvl="2">
      <w:start w:val="1"/>
      <w:numFmt w:val="lowerLetter"/>
      <w:lvlText w:val="%3."/>
      <w:lvlJc w:val="left"/>
      <w:pPr>
        <w:ind w:left="2707" w:hanging="363"/>
      </w:pPr>
      <w:rPr>
        <w:rFonts w:ascii="Calibri" w:hAnsi="Calibri" w:hint="default"/>
        <w:b w:val="0"/>
        <w:bCs w:val="0"/>
        <w:i w:val="0"/>
        <w:iCs w:val="0"/>
        <w:spacing w:val="-1"/>
        <w:w w:val="100"/>
        <w:sz w:val="22"/>
        <w:szCs w:val="22"/>
      </w:rPr>
    </w:lvl>
    <w:lvl w:ilvl="3">
      <w:numFmt w:val="bullet"/>
      <w:lvlText w:val="•"/>
      <w:lvlJc w:val="left"/>
      <w:pPr>
        <w:ind w:left="4820" w:hanging="363"/>
      </w:pPr>
      <w:rPr>
        <w:rFonts w:hint="default"/>
      </w:rPr>
    </w:lvl>
    <w:lvl w:ilvl="4">
      <w:numFmt w:val="bullet"/>
      <w:lvlText w:val="•"/>
      <w:lvlJc w:val="left"/>
      <w:pPr>
        <w:ind w:left="5880" w:hanging="363"/>
      </w:pPr>
      <w:rPr>
        <w:rFonts w:hint="default"/>
      </w:rPr>
    </w:lvl>
    <w:lvl w:ilvl="5">
      <w:numFmt w:val="bullet"/>
      <w:lvlText w:val="•"/>
      <w:lvlJc w:val="left"/>
      <w:pPr>
        <w:ind w:left="6940" w:hanging="363"/>
      </w:pPr>
      <w:rPr>
        <w:rFonts w:hint="default"/>
      </w:rPr>
    </w:lvl>
    <w:lvl w:ilvl="6">
      <w:numFmt w:val="bullet"/>
      <w:lvlText w:val="•"/>
      <w:lvlJc w:val="left"/>
      <w:pPr>
        <w:ind w:left="8000" w:hanging="363"/>
      </w:pPr>
      <w:rPr>
        <w:rFonts w:hint="default"/>
      </w:rPr>
    </w:lvl>
    <w:lvl w:ilvl="7">
      <w:numFmt w:val="bullet"/>
      <w:lvlText w:val="•"/>
      <w:lvlJc w:val="left"/>
      <w:pPr>
        <w:ind w:left="9060" w:hanging="363"/>
      </w:pPr>
      <w:rPr>
        <w:rFonts w:hint="default"/>
      </w:rPr>
    </w:lvl>
    <w:lvl w:ilvl="8">
      <w:numFmt w:val="bullet"/>
      <w:lvlText w:val="•"/>
      <w:lvlJc w:val="left"/>
      <w:pPr>
        <w:ind w:left="10120" w:hanging="363"/>
      </w:pPr>
      <w:rPr>
        <w:rFonts w:hint="default"/>
      </w:rPr>
    </w:lvl>
  </w:abstractNum>
  <w:abstractNum w:abstractNumId="219" w15:restartNumberingAfterBreak="0">
    <w:nsid w:val="5FA21F25"/>
    <w:multiLevelType w:val="multilevel"/>
    <w:tmpl w:val="91B207CE"/>
    <w:lvl w:ilvl="0">
      <w:start w:val="1"/>
      <w:numFmt w:val="decimal"/>
      <w:lvlText w:val="%1."/>
      <w:lvlJc w:val="left"/>
      <w:pPr>
        <w:ind w:left="2880" w:hanging="360"/>
      </w:pPr>
      <w:rPr>
        <w:rFonts w:hint="default"/>
      </w:rPr>
    </w:lvl>
    <w:lvl w:ilvl="1">
      <w:start w:val="1"/>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220" w15:restartNumberingAfterBreak="0">
    <w:nsid w:val="5FB56B92"/>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603C3A5E"/>
    <w:multiLevelType w:val="multilevel"/>
    <w:tmpl w:val="A232CBEC"/>
    <w:lvl w:ilvl="0">
      <w:start w:val="1"/>
      <w:numFmt w:val="decimal"/>
      <w:pStyle w:val="ParaChar"/>
      <w:lvlText w:val="%1."/>
      <w:lvlJc w:val="left"/>
      <w:pPr>
        <w:tabs>
          <w:tab w:val="num" w:pos="720"/>
        </w:tabs>
        <w:ind w:left="0" w:firstLine="0"/>
      </w:pPr>
      <w:rPr>
        <w:rFonts w:hint="default"/>
        <w:b w:val="0"/>
        <w:color w:val="auto"/>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lowerLetter"/>
      <w:lvlText w:val="(%4)"/>
      <w:lvlJc w:val="left"/>
      <w:pPr>
        <w:tabs>
          <w:tab w:val="num" w:pos="2880"/>
        </w:tabs>
        <w:ind w:left="288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2" w15:restartNumberingAfterBreak="0">
    <w:nsid w:val="604C1ADD"/>
    <w:multiLevelType w:val="hybridMultilevel"/>
    <w:tmpl w:val="128C0872"/>
    <w:lvl w:ilvl="0" w:tplc="04090019">
      <w:start w:val="1"/>
      <w:numFmt w:val="lowerLetter"/>
      <w:lvlText w:val="%1."/>
      <w:lvlJc w:val="left"/>
      <w:pPr>
        <w:ind w:left="1350" w:hanging="360"/>
      </w:pPr>
      <w:rPr>
        <w:b w:val="0"/>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3" w15:restartNumberingAfterBreak="0">
    <w:nsid w:val="615E229B"/>
    <w:multiLevelType w:val="hybridMultilevel"/>
    <w:tmpl w:val="D274558A"/>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61E14978"/>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62036BD9"/>
    <w:multiLevelType w:val="hybridMultilevel"/>
    <w:tmpl w:val="A0161C3C"/>
    <w:lvl w:ilvl="0" w:tplc="A03473E0">
      <w:start w:val="1"/>
      <w:numFmt w:val="lowerRoman"/>
      <w:lvlText w:val="%1)"/>
      <w:lvlJc w:val="left"/>
      <w:pPr>
        <w:ind w:left="3429" w:hanging="360"/>
      </w:pPr>
      <w:rPr>
        <w:rFonts w:ascii="Calibri" w:eastAsia="Calibri" w:hAnsi="Calibri" w:cs="Calibri"/>
      </w:rPr>
    </w:lvl>
    <w:lvl w:ilvl="1" w:tplc="04090003" w:tentative="1">
      <w:start w:val="1"/>
      <w:numFmt w:val="bullet"/>
      <w:lvlText w:val="o"/>
      <w:lvlJc w:val="left"/>
      <w:pPr>
        <w:ind w:left="4149" w:hanging="360"/>
      </w:pPr>
      <w:rPr>
        <w:rFonts w:ascii="Courier New" w:hAnsi="Courier New" w:cs="Courier New" w:hint="default"/>
      </w:rPr>
    </w:lvl>
    <w:lvl w:ilvl="2" w:tplc="04090005" w:tentative="1">
      <w:start w:val="1"/>
      <w:numFmt w:val="bullet"/>
      <w:lvlText w:val=""/>
      <w:lvlJc w:val="left"/>
      <w:pPr>
        <w:ind w:left="4869" w:hanging="360"/>
      </w:pPr>
      <w:rPr>
        <w:rFonts w:ascii="Wingdings" w:hAnsi="Wingdings" w:hint="default"/>
      </w:rPr>
    </w:lvl>
    <w:lvl w:ilvl="3" w:tplc="04090001" w:tentative="1">
      <w:start w:val="1"/>
      <w:numFmt w:val="bullet"/>
      <w:lvlText w:val=""/>
      <w:lvlJc w:val="left"/>
      <w:pPr>
        <w:ind w:left="5589" w:hanging="360"/>
      </w:pPr>
      <w:rPr>
        <w:rFonts w:ascii="Symbol" w:hAnsi="Symbol" w:hint="default"/>
      </w:rPr>
    </w:lvl>
    <w:lvl w:ilvl="4" w:tplc="04090003" w:tentative="1">
      <w:start w:val="1"/>
      <w:numFmt w:val="bullet"/>
      <w:lvlText w:val="o"/>
      <w:lvlJc w:val="left"/>
      <w:pPr>
        <w:ind w:left="6309" w:hanging="360"/>
      </w:pPr>
      <w:rPr>
        <w:rFonts w:ascii="Courier New" w:hAnsi="Courier New" w:cs="Courier New" w:hint="default"/>
      </w:rPr>
    </w:lvl>
    <w:lvl w:ilvl="5" w:tplc="04090005" w:tentative="1">
      <w:start w:val="1"/>
      <w:numFmt w:val="bullet"/>
      <w:lvlText w:val=""/>
      <w:lvlJc w:val="left"/>
      <w:pPr>
        <w:ind w:left="7029" w:hanging="360"/>
      </w:pPr>
      <w:rPr>
        <w:rFonts w:ascii="Wingdings" w:hAnsi="Wingdings" w:hint="default"/>
      </w:rPr>
    </w:lvl>
    <w:lvl w:ilvl="6" w:tplc="04090001" w:tentative="1">
      <w:start w:val="1"/>
      <w:numFmt w:val="bullet"/>
      <w:lvlText w:val=""/>
      <w:lvlJc w:val="left"/>
      <w:pPr>
        <w:ind w:left="7749" w:hanging="360"/>
      </w:pPr>
      <w:rPr>
        <w:rFonts w:ascii="Symbol" w:hAnsi="Symbol" w:hint="default"/>
      </w:rPr>
    </w:lvl>
    <w:lvl w:ilvl="7" w:tplc="04090003" w:tentative="1">
      <w:start w:val="1"/>
      <w:numFmt w:val="bullet"/>
      <w:lvlText w:val="o"/>
      <w:lvlJc w:val="left"/>
      <w:pPr>
        <w:ind w:left="8469" w:hanging="360"/>
      </w:pPr>
      <w:rPr>
        <w:rFonts w:ascii="Courier New" w:hAnsi="Courier New" w:cs="Courier New" w:hint="default"/>
      </w:rPr>
    </w:lvl>
    <w:lvl w:ilvl="8" w:tplc="04090005" w:tentative="1">
      <w:start w:val="1"/>
      <w:numFmt w:val="bullet"/>
      <w:lvlText w:val=""/>
      <w:lvlJc w:val="left"/>
      <w:pPr>
        <w:ind w:left="9189" w:hanging="360"/>
      </w:pPr>
      <w:rPr>
        <w:rFonts w:ascii="Wingdings" w:hAnsi="Wingdings" w:hint="default"/>
      </w:rPr>
    </w:lvl>
  </w:abstractNum>
  <w:abstractNum w:abstractNumId="226" w15:restartNumberingAfterBreak="0">
    <w:nsid w:val="62313C91"/>
    <w:multiLevelType w:val="hybridMultilevel"/>
    <w:tmpl w:val="6A420246"/>
    <w:lvl w:ilvl="0" w:tplc="04090019">
      <w:start w:val="1"/>
      <w:numFmt w:val="lowerLetter"/>
      <w:lvlText w:val="%1."/>
      <w:lvlJc w:val="left"/>
      <w:pPr>
        <w:ind w:left="720" w:hanging="360"/>
      </w:pPr>
      <w:rPr>
        <w:rFonts w:hint="default"/>
      </w:rPr>
    </w:lvl>
    <w:lvl w:ilvl="1" w:tplc="20F0F772">
      <w:start w:val="1"/>
      <w:numFmt w:val="lowerRoman"/>
      <w:lvlText w:val="(%2)"/>
      <w:lvlJc w:val="left"/>
      <w:pPr>
        <w:ind w:left="1440" w:hanging="360"/>
      </w:pPr>
      <w:rPr>
        <w:rFonts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62494376"/>
    <w:multiLevelType w:val="hybridMultilevel"/>
    <w:tmpl w:val="3A52C1A4"/>
    <w:lvl w:ilvl="0" w:tplc="3058ECE0">
      <w:start w:val="1"/>
      <w:numFmt w:val="decimal"/>
      <w:lvlText w:val="1.%1"/>
      <w:lvlJc w:val="righ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637B3F31"/>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646717CF"/>
    <w:multiLevelType w:val="hybridMultilevel"/>
    <w:tmpl w:val="E334BE4C"/>
    <w:lvl w:ilvl="0" w:tplc="E8DA94EE">
      <w:start w:val="1"/>
      <w:numFmt w:val="decimal"/>
      <w:pStyle w:val="Titre6"/>
      <w:lvlText w:val="%1."/>
      <w:lvlJc w:val="left"/>
      <w:pPr>
        <w:ind w:left="360" w:hanging="360"/>
      </w:pPr>
      <w:rPr>
        <w:rFonts w:ascii="Andes Bold" w:hAnsi="Andes Bold" w:hint="default"/>
        <w:b/>
        <w:i w:val="0"/>
        <w:color w:val="C45911"/>
        <w:sz w:val="24"/>
        <w:szCs w:val="28"/>
      </w:rPr>
    </w:lvl>
    <w:lvl w:ilvl="1" w:tplc="91B0B294">
      <w:start w:val="1"/>
      <w:numFmt w:val="decimal"/>
      <w:lvlText w:val="2.%2"/>
      <w:lvlJc w:val="right"/>
      <w:pPr>
        <w:ind w:left="1080" w:hanging="360"/>
      </w:pPr>
      <w:rPr>
        <w:rFonts w:hint="default"/>
        <w:b w:val="0"/>
        <w:i w:val="0"/>
        <w:strike w:val="0"/>
        <w:color w:val="000000" w:themeColor="text1"/>
        <w:sz w:val="22"/>
        <w:szCs w:val="22"/>
        <w:lang w:val="en-GB"/>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0" w15:restartNumberingAfterBreak="0">
    <w:nsid w:val="64765A10"/>
    <w:multiLevelType w:val="hybridMultilevel"/>
    <w:tmpl w:val="E514DABE"/>
    <w:lvl w:ilvl="0" w:tplc="04090019">
      <w:start w:val="1"/>
      <w:numFmt w:val="lowerLetter"/>
      <w:lvlText w:val="%1."/>
      <w:lvlJc w:val="left"/>
      <w:pPr>
        <w:ind w:left="1267"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64F961C8"/>
    <w:multiLevelType w:val="hybridMultilevel"/>
    <w:tmpl w:val="F320D9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64F96E25"/>
    <w:multiLevelType w:val="multilevel"/>
    <w:tmpl w:val="4A3433AE"/>
    <w:lvl w:ilvl="0">
      <w:start w:val="4"/>
      <w:numFmt w:val="decimal"/>
      <w:lvlText w:val="%1"/>
      <w:lvlJc w:val="left"/>
      <w:pPr>
        <w:ind w:left="360" w:hanging="360"/>
      </w:pPr>
      <w:rPr>
        <w:rFonts w:hint="default"/>
      </w:rPr>
    </w:lvl>
    <w:lvl w:ilvl="1">
      <w:start w:val="1"/>
      <w:numFmt w:val="decimal"/>
      <w:lvlText w:val="5.%2"/>
      <w:lvlJc w:val="left"/>
      <w:pPr>
        <w:ind w:left="360" w:hanging="360"/>
      </w:pPr>
      <w:rPr>
        <w:rFonts w:ascii="Andes" w:hAnsi="Andes" w:hint="default"/>
        <w:b w:val="0"/>
        <w:i w:val="0"/>
        <w:strike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3" w15:restartNumberingAfterBreak="0">
    <w:nsid w:val="652E5707"/>
    <w:multiLevelType w:val="hybridMultilevel"/>
    <w:tmpl w:val="F0E64B4A"/>
    <w:lvl w:ilvl="0" w:tplc="037E3CCC">
      <w:start w:val="1"/>
      <w:numFmt w:val="lowerRoman"/>
      <w:lvlText w:val="%1."/>
      <w:lvlJc w:val="right"/>
      <w:pPr>
        <w:ind w:left="1267" w:hanging="360"/>
      </w:pPr>
      <w:rPr>
        <w:rFonts w:hint="default"/>
        <w:b w:val="0"/>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65815C44"/>
    <w:multiLevelType w:val="hybridMultilevel"/>
    <w:tmpl w:val="C5EA2674"/>
    <w:lvl w:ilvl="0" w:tplc="04090019">
      <w:start w:val="1"/>
      <w:numFmt w:val="lowerLetter"/>
      <w:lvlText w:val="%1."/>
      <w:lvlJc w:val="left"/>
      <w:pPr>
        <w:ind w:left="135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35" w15:restartNumberingAfterBreak="0">
    <w:nsid w:val="658C061C"/>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65F37A9E"/>
    <w:multiLevelType w:val="hybridMultilevel"/>
    <w:tmpl w:val="789EE170"/>
    <w:lvl w:ilvl="0" w:tplc="EA20830A">
      <w:start w:val="1"/>
      <w:numFmt w:val="bullet"/>
      <w:pStyle w:val="tablebullet"/>
      <w:lvlText w:val=""/>
      <w:lvlJc w:val="left"/>
      <w:pPr>
        <w:tabs>
          <w:tab w:val="num" w:pos="360"/>
        </w:tabs>
        <w:ind w:left="360" w:hanging="360"/>
      </w:pPr>
      <w:rPr>
        <w:rFonts w:ascii="Symbol" w:hAnsi="Symbol" w:hint="default"/>
        <w:color w:val="auto"/>
        <w:sz w:val="24"/>
        <w:szCs w:val="20"/>
        <w:lang w:val="en-US"/>
      </w:rPr>
    </w:lvl>
    <w:lvl w:ilvl="1" w:tplc="04090019" w:tentative="1">
      <w:start w:val="1"/>
      <w:numFmt w:val="bullet"/>
      <w:lvlText w:val=""/>
      <w:lvlJc w:val="left"/>
      <w:pPr>
        <w:tabs>
          <w:tab w:val="num" w:pos="1080"/>
        </w:tabs>
        <w:ind w:left="1080" w:hanging="360"/>
      </w:pPr>
      <w:rPr>
        <w:rFonts w:ascii="Wingdings" w:hAnsi="Wingdings"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Wingdings" w:hAnsi="Wingdings" w:hint="default"/>
      </w:rPr>
    </w:lvl>
    <w:lvl w:ilvl="4" w:tplc="04090019" w:tentative="1">
      <w:start w:val="1"/>
      <w:numFmt w:val="bullet"/>
      <w:lvlText w:val=""/>
      <w:lvlJc w:val="left"/>
      <w:pPr>
        <w:tabs>
          <w:tab w:val="num" w:pos="3240"/>
        </w:tabs>
        <w:ind w:left="3240" w:hanging="360"/>
      </w:pPr>
      <w:rPr>
        <w:rFonts w:ascii="Wingdings" w:hAnsi="Wingdings"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Wingdings" w:hAnsi="Wingdings" w:hint="default"/>
      </w:rPr>
    </w:lvl>
    <w:lvl w:ilvl="7" w:tplc="04090019" w:tentative="1">
      <w:start w:val="1"/>
      <w:numFmt w:val="bullet"/>
      <w:lvlText w:val=""/>
      <w:lvlJc w:val="left"/>
      <w:pPr>
        <w:tabs>
          <w:tab w:val="num" w:pos="5400"/>
        </w:tabs>
        <w:ind w:left="5400" w:hanging="360"/>
      </w:pPr>
      <w:rPr>
        <w:rFonts w:ascii="Wingdings" w:hAnsi="Wingdings"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37" w15:restartNumberingAfterBreak="0">
    <w:nsid w:val="662262E2"/>
    <w:multiLevelType w:val="singleLevel"/>
    <w:tmpl w:val="FBB4E950"/>
    <w:lvl w:ilvl="0">
      <w:start w:val="1"/>
      <w:numFmt w:val="bullet"/>
      <w:pStyle w:val="Outline2"/>
      <w:lvlText w:val=""/>
      <w:lvlJc w:val="left"/>
      <w:pPr>
        <w:tabs>
          <w:tab w:val="num" w:pos="360"/>
        </w:tabs>
        <w:ind w:left="360" w:hanging="360"/>
      </w:pPr>
      <w:rPr>
        <w:rFonts w:ascii="Symbol" w:hAnsi="Symbol" w:hint="default"/>
      </w:rPr>
    </w:lvl>
  </w:abstractNum>
  <w:abstractNum w:abstractNumId="238" w15:restartNumberingAfterBreak="0">
    <w:nsid w:val="672541D1"/>
    <w:multiLevelType w:val="hybridMultilevel"/>
    <w:tmpl w:val="295AC8CE"/>
    <w:lvl w:ilvl="0" w:tplc="657A80AC">
      <w:start w:val="1"/>
      <w:numFmt w:val="lowerRoman"/>
      <w:pStyle w:val="NumberBullet"/>
      <w:lvlText w:val="(%1)"/>
      <w:lvlJc w:val="left"/>
      <w:pPr>
        <w:tabs>
          <w:tab w:val="num" w:pos="1134"/>
        </w:tabs>
        <w:ind w:left="1134" w:hanging="567"/>
      </w:pPr>
      <w:rPr>
        <w:rFonts w:cs="Times New Roman" w:hint="default"/>
      </w:rPr>
    </w:lvl>
    <w:lvl w:ilvl="1" w:tplc="B6848258" w:tentative="1">
      <w:start w:val="1"/>
      <w:numFmt w:val="lowerLetter"/>
      <w:lvlText w:val="%2."/>
      <w:lvlJc w:val="left"/>
      <w:pPr>
        <w:tabs>
          <w:tab w:val="num" w:pos="1800"/>
        </w:tabs>
        <w:ind w:left="1800" w:hanging="360"/>
      </w:pPr>
      <w:rPr>
        <w:rFonts w:cs="Times New Roman"/>
      </w:rPr>
    </w:lvl>
    <w:lvl w:ilvl="2" w:tplc="CAC20FE8" w:tentative="1">
      <w:start w:val="1"/>
      <w:numFmt w:val="lowerRoman"/>
      <w:lvlText w:val="%3."/>
      <w:lvlJc w:val="right"/>
      <w:pPr>
        <w:tabs>
          <w:tab w:val="num" w:pos="2520"/>
        </w:tabs>
        <w:ind w:left="2520" w:hanging="180"/>
      </w:pPr>
      <w:rPr>
        <w:rFonts w:cs="Times New Roman"/>
      </w:rPr>
    </w:lvl>
    <w:lvl w:ilvl="3" w:tplc="A6883584" w:tentative="1">
      <w:start w:val="1"/>
      <w:numFmt w:val="decimal"/>
      <w:lvlText w:val="%4."/>
      <w:lvlJc w:val="left"/>
      <w:pPr>
        <w:tabs>
          <w:tab w:val="num" w:pos="3240"/>
        </w:tabs>
        <w:ind w:left="3240" w:hanging="360"/>
      </w:pPr>
      <w:rPr>
        <w:rFonts w:cs="Times New Roman"/>
      </w:rPr>
    </w:lvl>
    <w:lvl w:ilvl="4" w:tplc="97D43B98" w:tentative="1">
      <w:start w:val="1"/>
      <w:numFmt w:val="lowerLetter"/>
      <w:lvlText w:val="%5."/>
      <w:lvlJc w:val="left"/>
      <w:pPr>
        <w:tabs>
          <w:tab w:val="num" w:pos="3960"/>
        </w:tabs>
        <w:ind w:left="3960" w:hanging="360"/>
      </w:pPr>
      <w:rPr>
        <w:rFonts w:cs="Times New Roman"/>
      </w:rPr>
    </w:lvl>
    <w:lvl w:ilvl="5" w:tplc="99FCDBEE" w:tentative="1">
      <w:start w:val="1"/>
      <w:numFmt w:val="lowerRoman"/>
      <w:lvlText w:val="%6."/>
      <w:lvlJc w:val="right"/>
      <w:pPr>
        <w:tabs>
          <w:tab w:val="num" w:pos="4680"/>
        </w:tabs>
        <w:ind w:left="4680" w:hanging="180"/>
      </w:pPr>
      <w:rPr>
        <w:rFonts w:cs="Times New Roman"/>
      </w:rPr>
    </w:lvl>
    <w:lvl w:ilvl="6" w:tplc="B7085D8E" w:tentative="1">
      <w:start w:val="1"/>
      <w:numFmt w:val="decimal"/>
      <w:lvlText w:val="%7."/>
      <w:lvlJc w:val="left"/>
      <w:pPr>
        <w:tabs>
          <w:tab w:val="num" w:pos="5400"/>
        </w:tabs>
        <w:ind w:left="5400" w:hanging="360"/>
      </w:pPr>
      <w:rPr>
        <w:rFonts w:cs="Times New Roman"/>
      </w:rPr>
    </w:lvl>
    <w:lvl w:ilvl="7" w:tplc="7E3419C2" w:tentative="1">
      <w:start w:val="1"/>
      <w:numFmt w:val="lowerLetter"/>
      <w:lvlText w:val="%8."/>
      <w:lvlJc w:val="left"/>
      <w:pPr>
        <w:tabs>
          <w:tab w:val="num" w:pos="6120"/>
        </w:tabs>
        <w:ind w:left="6120" w:hanging="360"/>
      </w:pPr>
      <w:rPr>
        <w:rFonts w:cs="Times New Roman"/>
      </w:rPr>
    </w:lvl>
    <w:lvl w:ilvl="8" w:tplc="6D2C92A2" w:tentative="1">
      <w:start w:val="1"/>
      <w:numFmt w:val="lowerRoman"/>
      <w:lvlText w:val="%9."/>
      <w:lvlJc w:val="right"/>
      <w:pPr>
        <w:tabs>
          <w:tab w:val="num" w:pos="6840"/>
        </w:tabs>
        <w:ind w:left="6840" w:hanging="180"/>
      </w:pPr>
      <w:rPr>
        <w:rFonts w:cs="Times New Roman"/>
      </w:rPr>
    </w:lvl>
  </w:abstractNum>
  <w:abstractNum w:abstractNumId="239" w15:restartNumberingAfterBreak="0">
    <w:nsid w:val="673072E1"/>
    <w:multiLevelType w:val="hybridMultilevel"/>
    <w:tmpl w:val="094AA094"/>
    <w:lvl w:ilvl="0" w:tplc="606813FC">
      <w:start w:val="2"/>
      <w:numFmt w:val="bullet"/>
      <w:lvlText w:val="-"/>
      <w:lvlJc w:val="left"/>
      <w:pPr>
        <w:ind w:left="2219" w:hanging="400"/>
      </w:pPr>
      <w:rPr>
        <w:rFonts w:ascii="Times New Roman" w:eastAsia="Times New Roman" w:hAnsi="Times New Roman" w:cs="Times New Roman" w:hint="default"/>
      </w:rPr>
    </w:lvl>
    <w:lvl w:ilvl="1" w:tplc="00C8554C" w:tentative="1">
      <w:start w:val="1"/>
      <w:numFmt w:val="bullet"/>
      <w:lvlText w:val=""/>
      <w:lvlJc w:val="left"/>
      <w:pPr>
        <w:ind w:left="2619" w:hanging="400"/>
      </w:pPr>
      <w:rPr>
        <w:rFonts w:ascii="Wingdings" w:hAnsi="Wingdings" w:hint="default"/>
      </w:rPr>
    </w:lvl>
    <w:lvl w:ilvl="2" w:tplc="BC14D27C" w:tentative="1">
      <w:start w:val="1"/>
      <w:numFmt w:val="bullet"/>
      <w:lvlText w:val=""/>
      <w:lvlJc w:val="left"/>
      <w:pPr>
        <w:ind w:left="3019" w:hanging="400"/>
      </w:pPr>
      <w:rPr>
        <w:rFonts w:ascii="Wingdings" w:hAnsi="Wingdings" w:hint="default"/>
      </w:rPr>
    </w:lvl>
    <w:lvl w:ilvl="3" w:tplc="7A22069E">
      <w:start w:val="2"/>
      <w:numFmt w:val="bullet"/>
      <w:pStyle w:val="6-"/>
      <w:lvlText w:val="-"/>
      <w:lvlJc w:val="left"/>
      <w:pPr>
        <w:ind w:left="3419" w:hanging="400"/>
      </w:pPr>
      <w:rPr>
        <w:rFonts w:ascii="Times New Roman" w:eastAsia="Times New Roman" w:hAnsi="Times New Roman" w:cs="Times New Roman" w:hint="default"/>
      </w:rPr>
    </w:lvl>
    <w:lvl w:ilvl="4" w:tplc="490CE914" w:tentative="1">
      <w:start w:val="1"/>
      <w:numFmt w:val="bullet"/>
      <w:lvlText w:val=""/>
      <w:lvlJc w:val="left"/>
      <w:pPr>
        <w:ind w:left="3819" w:hanging="400"/>
      </w:pPr>
      <w:rPr>
        <w:rFonts w:ascii="Wingdings" w:hAnsi="Wingdings" w:hint="default"/>
      </w:rPr>
    </w:lvl>
    <w:lvl w:ilvl="5" w:tplc="246A3DE8" w:tentative="1">
      <w:start w:val="1"/>
      <w:numFmt w:val="bullet"/>
      <w:lvlText w:val=""/>
      <w:lvlJc w:val="left"/>
      <w:pPr>
        <w:ind w:left="4219" w:hanging="400"/>
      </w:pPr>
      <w:rPr>
        <w:rFonts w:ascii="Wingdings" w:hAnsi="Wingdings" w:hint="default"/>
      </w:rPr>
    </w:lvl>
    <w:lvl w:ilvl="6" w:tplc="6F5C8FE6" w:tentative="1">
      <w:start w:val="1"/>
      <w:numFmt w:val="bullet"/>
      <w:lvlText w:val=""/>
      <w:lvlJc w:val="left"/>
      <w:pPr>
        <w:ind w:left="4619" w:hanging="400"/>
      </w:pPr>
      <w:rPr>
        <w:rFonts w:ascii="Wingdings" w:hAnsi="Wingdings" w:hint="default"/>
      </w:rPr>
    </w:lvl>
    <w:lvl w:ilvl="7" w:tplc="DE3A17EA" w:tentative="1">
      <w:start w:val="1"/>
      <w:numFmt w:val="bullet"/>
      <w:lvlText w:val=""/>
      <w:lvlJc w:val="left"/>
      <w:pPr>
        <w:ind w:left="5019" w:hanging="400"/>
      </w:pPr>
      <w:rPr>
        <w:rFonts w:ascii="Wingdings" w:hAnsi="Wingdings" w:hint="default"/>
      </w:rPr>
    </w:lvl>
    <w:lvl w:ilvl="8" w:tplc="CC1E4190" w:tentative="1">
      <w:start w:val="1"/>
      <w:numFmt w:val="bullet"/>
      <w:lvlText w:val=""/>
      <w:lvlJc w:val="left"/>
      <w:pPr>
        <w:ind w:left="5419" w:hanging="400"/>
      </w:pPr>
      <w:rPr>
        <w:rFonts w:ascii="Wingdings" w:hAnsi="Wingdings" w:hint="default"/>
      </w:rPr>
    </w:lvl>
  </w:abstractNum>
  <w:abstractNum w:abstractNumId="240" w15:restartNumberingAfterBreak="0">
    <w:nsid w:val="67323EF9"/>
    <w:multiLevelType w:val="multilevel"/>
    <w:tmpl w:val="4F144ACE"/>
    <w:lvl w:ilvl="0">
      <w:start w:val="1"/>
      <w:numFmt w:val="decimal"/>
      <w:pStyle w:val="MOTLevel1NumberedParagraph"/>
      <w:lvlText w:val="%1."/>
      <w:lvlJc w:val="left"/>
      <w:pPr>
        <w:tabs>
          <w:tab w:val="num" w:pos="709"/>
        </w:tabs>
        <w:ind w:left="709" w:hanging="709"/>
      </w:pPr>
      <w:rPr>
        <w:rFonts w:ascii="Arial" w:hAnsi="Arial" w:hint="default"/>
        <w:i w:val="0"/>
        <w:sz w:val="22"/>
      </w:rPr>
    </w:lvl>
    <w:lvl w:ilvl="1">
      <w:start w:val="1"/>
      <w:numFmt w:val="bullet"/>
      <w:lvlText w:val=""/>
      <w:lvlJc w:val="left"/>
      <w:pPr>
        <w:tabs>
          <w:tab w:val="num" w:pos="1418"/>
        </w:tabs>
        <w:ind w:left="1418" w:hanging="709"/>
      </w:pPr>
      <w:rPr>
        <w:rFonts w:ascii="Symbol" w:hAnsi="Symbol" w:hint="default"/>
      </w:rPr>
    </w:lvl>
    <w:lvl w:ilvl="2">
      <w:start w:val="1"/>
      <w:numFmt w:val="lowerLetter"/>
      <w:lvlText w:val="(%3)"/>
      <w:lvlJc w:val="left"/>
      <w:pPr>
        <w:tabs>
          <w:tab w:val="num" w:pos="2126"/>
        </w:tabs>
        <w:ind w:left="2126" w:hanging="708"/>
      </w:pPr>
      <w:rPr>
        <w:rFonts w:hint="default"/>
      </w:rPr>
    </w:lvl>
    <w:lvl w:ilvl="3">
      <w:start w:val="1"/>
      <w:numFmt w:val="bullet"/>
      <w:lvlText w:val=""/>
      <w:lvlJc w:val="left"/>
      <w:pPr>
        <w:tabs>
          <w:tab w:val="num" w:pos="2835"/>
        </w:tabs>
        <w:ind w:left="2835" w:hanging="709"/>
      </w:pPr>
      <w:rPr>
        <w:rFonts w:ascii="Symbol" w:hAnsi="Symbol" w:hint="default"/>
      </w:rPr>
    </w:lvl>
    <w:lvl w:ilvl="4">
      <w:start w:val="1"/>
      <w:numFmt w:val="none"/>
      <w:suff w:val="nothing"/>
      <w:lvlText w:val=""/>
      <w:lvlJc w:val="left"/>
      <w:pPr>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41" w15:restartNumberingAfterBreak="0">
    <w:nsid w:val="67A90990"/>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67F56A67"/>
    <w:multiLevelType w:val="hybridMultilevel"/>
    <w:tmpl w:val="85385C64"/>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43" w15:restartNumberingAfterBreak="0">
    <w:nsid w:val="68C05825"/>
    <w:multiLevelType w:val="multilevel"/>
    <w:tmpl w:val="9B82319A"/>
    <w:lvl w:ilvl="0">
      <w:start w:val="1"/>
      <w:numFmt w:val="decimal"/>
      <w:pStyle w:val="Listenumros"/>
      <w:lvlText w:val="%1."/>
      <w:lvlJc w:val="left"/>
      <w:pPr>
        <w:tabs>
          <w:tab w:val="num" w:pos="1134"/>
        </w:tabs>
        <w:ind w:left="1134" w:hanging="567"/>
      </w:pPr>
      <w:rPr>
        <w:rFonts w:hint="default"/>
      </w:rPr>
    </w:lvl>
    <w:lvl w:ilvl="1">
      <w:start w:val="1"/>
      <w:numFmt w:val="decimal"/>
      <w:lvlText w:val="%1.%2."/>
      <w:lvlJc w:val="left"/>
      <w:pPr>
        <w:tabs>
          <w:tab w:val="num" w:pos="1701"/>
        </w:tabs>
        <w:ind w:left="1701" w:hanging="567"/>
      </w:pPr>
      <w:rPr>
        <w:rFonts w:hint="default"/>
      </w:rPr>
    </w:lvl>
    <w:lvl w:ilvl="2">
      <w:start w:val="1"/>
      <w:numFmt w:val="decimal"/>
      <w:lvlText w:val="%1.%2.%3."/>
      <w:lvlJc w:val="left"/>
      <w:pPr>
        <w:tabs>
          <w:tab w:val="num" w:pos="2727"/>
        </w:tabs>
        <w:ind w:left="1791" w:hanging="504"/>
      </w:pPr>
      <w:rPr>
        <w:rFonts w:hint="default"/>
      </w:rPr>
    </w:lvl>
    <w:lvl w:ilvl="3">
      <w:start w:val="1"/>
      <w:numFmt w:val="decimal"/>
      <w:lvlText w:val="%1.%2.%3.%4."/>
      <w:lvlJc w:val="left"/>
      <w:pPr>
        <w:tabs>
          <w:tab w:val="num" w:pos="3447"/>
        </w:tabs>
        <w:ind w:left="2295" w:hanging="648"/>
      </w:pPr>
      <w:rPr>
        <w:rFonts w:hint="default"/>
      </w:rPr>
    </w:lvl>
    <w:lvl w:ilvl="4">
      <w:start w:val="1"/>
      <w:numFmt w:val="decimal"/>
      <w:lvlText w:val="%1.%2.%3.%4.%5."/>
      <w:lvlJc w:val="left"/>
      <w:pPr>
        <w:tabs>
          <w:tab w:val="num" w:pos="4167"/>
        </w:tabs>
        <w:ind w:left="2799" w:hanging="792"/>
      </w:pPr>
      <w:rPr>
        <w:rFonts w:hint="default"/>
      </w:rPr>
    </w:lvl>
    <w:lvl w:ilvl="5">
      <w:start w:val="1"/>
      <w:numFmt w:val="decimal"/>
      <w:lvlText w:val="%1.%2.%3.%4.%5.%6."/>
      <w:lvlJc w:val="left"/>
      <w:pPr>
        <w:tabs>
          <w:tab w:val="num" w:pos="4887"/>
        </w:tabs>
        <w:ind w:left="3303" w:hanging="936"/>
      </w:pPr>
      <w:rPr>
        <w:rFonts w:hint="default"/>
      </w:rPr>
    </w:lvl>
    <w:lvl w:ilvl="6">
      <w:start w:val="1"/>
      <w:numFmt w:val="decimal"/>
      <w:lvlText w:val="%1.%2.%3.%4.%5.%6.%7."/>
      <w:lvlJc w:val="left"/>
      <w:pPr>
        <w:tabs>
          <w:tab w:val="num" w:pos="5607"/>
        </w:tabs>
        <w:ind w:left="3807" w:hanging="1080"/>
      </w:pPr>
      <w:rPr>
        <w:rFonts w:hint="default"/>
      </w:rPr>
    </w:lvl>
    <w:lvl w:ilvl="7">
      <w:start w:val="1"/>
      <w:numFmt w:val="decimal"/>
      <w:lvlText w:val="%1.%2.%3.%4.%5.%6.%7.%8."/>
      <w:lvlJc w:val="left"/>
      <w:pPr>
        <w:tabs>
          <w:tab w:val="num" w:pos="6327"/>
        </w:tabs>
        <w:ind w:left="4311" w:hanging="1224"/>
      </w:pPr>
      <w:rPr>
        <w:rFonts w:hint="default"/>
      </w:rPr>
    </w:lvl>
    <w:lvl w:ilvl="8">
      <w:start w:val="1"/>
      <w:numFmt w:val="decimal"/>
      <w:lvlText w:val="%1.%2.%3.%4.%5.%6.%7.%8.%9."/>
      <w:lvlJc w:val="left"/>
      <w:pPr>
        <w:tabs>
          <w:tab w:val="num" w:pos="7047"/>
        </w:tabs>
        <w:ind w:left="4887" w:hanging="1440"/>
      </w:pPr>
      <w:rPr>
        <w:rFonts w:hint="default"/>
      </w:rPr>
    </w:lvl>
  </w:abstractNum>
  <w:abstractNum w:abstractNumId="244" w15:restartNumberingAfterBreak="0">
    <w:nsid w:val="68FB3EA9"/>
    <w:multiLevelType w:val="hybridMultilevel"/>
    <w:tmpl w:val="B02E89BA"/>
    <w:lvl w:ilvl="0" w:tplc="04090001">
      <w:start w:val="1"/>
      <w:numFmt w:val="bullet"/>
      <w:pStyle w:val="a5"/>
      <w:lvlText w:val=""/>
      <w:lvlJc w:val="left"/>
      <w:pPr>
        <w:ind w:left="400" w:hanging="400"/>
      </w:pPr>
      <w:rPr>
        <w:rFonts w:ascii="Wingdings 2" w:hAnsi="Wingdings 2"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45" w15:restartNumberingAfterBreak="0">
    <w:nsid w:val="6962107B"/>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698264DB"/>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69827388"/>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69925C39"/>
    <w:multiLevelType w:val="hybridMultilevel"/>
    <w:tmpl w:val="E45A0BDA"/>
    <w:lvl w:ilvl="0" w:tplc="04090019">
      <w:start w:val="1"/>
      <w:numFmt w:val="lowerLetter"/>
      <w:lvlText w:val="%1."/>
      <w:lvlJc w:val="left"/>
      <w:pPr>
        <w:ind w:left="1350" w:hanging="360"/>
      </w:pPr>
      <w:rPr>
        <w:b w:val="0"/>
        <w:color w:val="auto"/>
        <w:sz w:val="22"/>
        <w:szCs w:val="22"/>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49" w15:restartNumberingAfterBreak="0">
    <w:nsid w:val="6ABF7D00"/>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6AD008F8"/>
    <w:multiLevelType w:val="hybridMultilevel"/>
    <w:tmpl w:val="B1F6AE2A"/>
    <w:lvl w:ilvl="0" w:tplc="FFFFFFFF">
      <w:start w:val="1"/>
      <w:numFmt w:val="lowerLetter"/>
      <w:lvlText w:val="%1."/>
      <w:lvlJc w:val="left"/>
      <w:pPr>
        <w:ind w:left="126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1" w15:restartNumberingAfterBreak="0">
    <w:nsid w:val="6B7A00B4"/>
    <w:multiLevelType w:val="hybridMultilevel"/>
    <w:tmpl w:val="8A125994"/>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52" w15:restartNumberingAfterBreak="0">
    <w:nsid w:val="6B7A079F"/>
    <w:multiLevelType w:val="hybridMultilevel"/>
    <w:tmpl w:val="E45A0BDA"/>
    <w:lvl w:ilvl="0" w:tplc="04090019">
      <w:start w:val="1"/>
      <w:numFmt w:val="lowerLetter"/>
      <w:lvlText w:val="%1."/>
      <w:lvlJc w:val="left"/>
      <w:pPr>
        <w:ind w:left="1350" w:hanging="360"/>
      </w:pPr>
      <w:rPr>
        <w:b w:val="0"/>
        <w:color w:val="auto"/>
        <w:sz w:val="22"/>
        <w:szCs w:val="22"/>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53" w15:restartNumberingAfterBreak="0">
    <w:nsid w:val="6BAA2742"/>
    <w:multiLevelType w:val="hybridMultilevel"/>
    <w:tmpl w:val="8F02BEE8"/>
    <w:lvl w:ilvl="0" w:tplc="04090019">
      <w:start w:val="1"/>
      <w:numFmt w:val="lowerLetter"/>
      <w:lvlText w:val="%1."/>
      <w:lvlJc w:val="left"/>
      <w:pPr>
        <w:ind w:left="1354" w:hanging="360"/>
      </w:p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254" w15:restartNumberingAfterBreak="0">
    <w:nsid w:val="6C6B1F8B"/>
    <w:multiLevelType w:val="hybridMultilevel"/>
    <w:tmpl w:val="0546A728"/>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55" w15:restartNumberingAfterBreak="0">
    <w:nsid w:val="6CC21228"/>
    <w:multiLevelType w:val="hybridMultilevel"/>
    <w:tmpl w:val="BED21434"/>
    <w:lvl w:ilvl="0" w:tplc="4C32A000">
      <w:start w:val="1"/>
      <w:numFmt w:val="decimal"/>
      <w:lvlText w:val="2.%1"/>
      <w:lvlJc w:val="left"/>
      <w:pPr>
        <w:ind w:left="720"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6D3C678E"/>
    <w:multiLevelType w:val="hybridMultilevel"/>
    <w:tmpl w:val="8A125994"/>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57" w15:restartNumberingAfterBreak="0">
    <w:nsid w:val="6D5E7576"/>
    <w:multiLevelType w:val="hybridMultilevel"/>
    <w:tmpl w:val="F46ED96A"/>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58" w15:restartNumberingAfterBreak="0">
    <w:nsid w:val="6D912EE4"/>
    <w:multiLevelType w:val="hybridMultilevel"/>
    <w:tmpl w:val="37DA1D44"/>
    <w:lvl w:ilvl="0" w:tplc="789C732A">
      <w:start w:val="1"/>
      <w:numFmt w:val="bullet"/>
      <w:pStyle w:val="head4"/>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Symbo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Symbol"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Symbol" w:hint="default"/>
      </w:rPr>
    </w:lvl>
    <w:lvl w:ilvl="8" w:tplc="0409001B" w:tentative="1">
      <w:start w:val="1"/>
      <w:numFmt w:val="bullet"/>
      <w:lvlText w:val=""/>
      <w:lvlJc w:val="left"/>
      <w:pPr>
        <w:ind w:left="6480" w:hanging="360"/>
      </w:pPr>
      <w:rPr>
        <w:rFonts w:ascii="Wingdings" w:hAnsi="Wingdings" w:hint="default"/>
      </w:rPr>
    </w:lvl>
  </w:abstractNum>
  <w:abstractNum w:abstractNumId="259" w15:restartNumberingAfterBreak="0">
    <w:nsid w:val="6E51730A"/>
    <w:multiLevelType w:val="hybridMultilevel"/>
    <w:tmpl w:val="8A125994"/>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60" w15:restartNumberingAfterBreak="0">
    <w:nsid w:val="6E8242E4"/>
    <w:multiLevelType w:val="hybridMultilevel"/>
    <w:tmpl w:val="8A125994"/>
    <w:lvl w:ilvl="0" w:tplc="FFFFFFFF">
      <w:start w:val="1"/>
      <w:numFmt w:val="lowerLetter"/>
      <w:lvlText w:val="%1."/>
      <w:lvlJc w:val="left"/>
      <w:pPr>
        <w:ind w:left="1350" w:hanging="360"/>
      </w:pPr>
      <w:rPr>
        <w:lang w:val="en-AU"/>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261" w15:restartNumberingAfterBreak="0">
    <w:nsid w:val="6ECB3511"/>
    <w:multiLevelType w:val="hybridMultilevel"/>
    <w:tmpl w:val="4C6E79DE"/>
    <w:lvl w:ilvl="0" w:tplc="2AFA0E70">
      <w:start w:val="1"/>
      <w:numFmt w:val="upperLetter"/>
      <w:pStyle w:val="Style50"/>
      <w:lvlText w:val="%1."/>
      <w:lvlJc w:val="left"/>
      <w:pPr>
        <w:ind w:left="900" w:hanging="360"/>
      </w:pPr>
      <w:rPr>
        <w:rFonts w:hint="default"/>
        <w:b/>
        <w:lang w:val="en-US"/>
      </w:rPr>
    </w:lvl>
    <w:lvl w:ilvl="1" w:tplc="04090019" w:tentative="1">
      <w:start w:val="1"/>
      <w:numFmt w:val="lowerLetter"/>
      <w:lvlText w:val="%2."/>
      <w:lvlJc w:val="left"/>
      <w:pPr>
        <w:ind w:left="-594" w:hanging="360"/>
      </w:pPr>
    </w:lvl>
    <w:lvl w:ilvl="2" w:tplc="0409001B" w:tentative="1">
      <w:start w:val="1"/>
      <w:numFmt w:val="lowerRoman"/>
      <w:lvlText w:val="%3."/>
      <w:lvlJc w:val="right"/>
      <w:pPr>
        <w:ind w:left="126" w:hanging="180"/>
      </w:pPr>
    </w:lvl>
    <w:lvl w:ilvl="3" w:tplc="0409000F" w:tentative="1">
      <w:start w:val="1"/>
      <w:numFmt w:val="decimal"/>
      <w:lvlText w:val="%4."/>
      <w:lvlJc w:val="left"/>
      <w:pPr>
        <w:ind w:left="846" w:hanging="360"/>
      </w:pPr>
    </w:lvl>
    <w:lvl w:ilvl="4" w:tplc="04090019" w:tentative="1">
      <w:start w:val="1"/>
      <w:numFmt w:val="lowerLetter"/>
      <w:lvlText w:val="%5."/>
      <w:lvlJc w:val="left"/>
      <w:pPr>
        <w:ind w:left="1566" w:hanging="360"/>
      </w:pPr>
    </w:lvl>
    <w:lvl w:ilvl="5" w:tplc="0409001B" w:tentative="1">
      <w:start w:val="1"/>
      <w:numFmt w:val="lowerRoman"/>
      <w:lvlText w:val="%6."/>
      <w:lvlJc w:val="right"/>
      <w:pPr>
        <w:ind w:left="2286" w:hanging="180"/>
      </w:pPr>
    </w:lvl>
    <w:lvl w:ilvl="6" w:tplc="0409000F" w:tentative="1">
      <w:start w:val="1"/>
      <w:numFmt w:val="decimal"/>
      <w:lvlText w:val="%7."/>
      <w:lvlJc w:val="left"/>
      <w:pPr>
        <w:ind w:left="3006" w:hanging="360"/>
      </w:pPr>
    </w:lvl>
    <w:lvl w:ilvl="7" w:tplc="04090019" w:tentative="1">
      <w:start w:val="1"/>
      <w:numFmt w:val="lowerLetter"/>
      <w:lvlText w:val="%8."/>
      <w:lvlJc w:val="left"/>
      <w:pPr>
        <w:ind w:left="3726" w:hanging="360"/>
      </w:pPr>
    </w:lvl>
    <w:lvl w:ilvl="8" w:tplc="0409001B" w:tentative="1">
      <w:start w:val="1"/>
      <w:numFmt w:val="lowerRoman"/>
      <w:lvlText w:val="%9."/>
      <w:lvlJc w:val="right"/>
      <w:pPr>
        <w:ind w:left="4446" w:hanging="180"/>
      </w:pPr>
    </w:lvl>
  </w:abstractNum>
  <w:abstractNum w:abstractNumId="262" w15:restartNumberingAfterBreak="0">
    <w:nsid w:val="6EF03C92"/>
    <w:multiLevelType w:val="hybridMultilevel"/>
    <w:tmpl w:val="7B5AAFFE"/>
    <w:lvl w:ilvl="0" w:tplc="316AFE26">
      <w:start w:val="1"/>
      <w:numFmt w:val="lowerRoman"/>
      <w:lvlText w:val="%1."/>
      <w:lvlJc w:val="right"/>
      <w:pPr>
        <w:ind w:left="1800" w:hanging="144"/>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63" w15:restartNumberingAfterBreak="0">
    <w:nsid w:val="6F8D3B95"/>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709257DC"/>
    <w:multiLevelType w:val="hybridMultilevel"/>
    <w:tmpl w:val="128C0872"/>
    <w:lvl w:ilvl="0" w:tplc="04090019">
      <w:start w:val="1"/>
      <w:numFmt w:val="lowerLetter"/>
      <w:lvlText w:val="%1."/>
      <w:lvlJc w:val="left"/>
      <w:pPr>
        <w:ind w:left="1350" w:hanging="360"/>
      </w:pPr>
      <w:rPr>
        <w:b w:val="0"/>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65" w15:restartNumberingAfterBreak="0">
    <w:nsid w:val="70BC3A5B"/>
    <w:multiLevelType w:val="multilevel"/>
    <w:tmpl w:val="6F10323A"/>
    <w:lvl w:ilvl="0">
      <w:start w:val="1"/>
      <w:numFmt w:val="decimal"/>
      <w:lvlText w:val="%1."/>
      <w:lvlJc w:val="left"/>
      <w:pPr>
        <w:ind w:left="2880" w:hanging="360"/>
      </w:pPr>
      <w:rPr>
        <w:rFonts w:hint="default"/>
      </w:rPr>
    </w:lvl>
    <w:lvl w:ilvl="1">
      <w:start w:val="1"/>
      <w:numFmt w:val="decimal"/>
      <w:isLgl/>
      <w:lvlText w:val="%1.%2"/>
      <w:lvlJc w:val="left"/>
      <w:pPr>
        <w:ind w:left="2880" w:hanging="360"/>
      </w:pPr>
      <w:rPr>
        <w:rFonts w:hint="default"/>
        <w:b w:val="0"/>
        <w:bCs/>
        <w:sz w:val="22"/>
        <w:szCs w:val="22"/>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266" w15:restartNumberingAfterBreak="0">
    <w:nsid w:val="718F4235"/>
    <w:multiLevelType w:val="hybridMultilevel"/>
    <w:tmpl w:val="8356EB72"/>
    <w:lvl w:ilvl="0" w:tplc="FFFFFFFF">
      <w:start w:val="1"/>
      <w:numFmt w:val="decimal"/>
      <w:lvlText w:val="5.%1"/>
      <w:lvlJc w:val="left"/>
      <w:pPr>
        <w:ind w:left="1170" w:hanging="360"/>
      </w:pPr>
      <w:rPr>
        <w:rFonts w:ascii="Andes" w:hAnsi="Andes" w:hint="default"/>
        <w:b w:val="0"/>
        <w:i w:val="0"/>
        <w:strike w:val="0"/>
        <w:sz w:val="22"/>
        <w:szCs w:val="22"/>
      </w:rPr>
    </w:lvl>
    <w:lvl w:ilvl="1" w:tplc="FFFFFFFF">
      <w:start w:val="1"/>
      <w:numFmt w:val="lowerLetter"/>
      <w:lvlText w:val="%2)"/>
      <w:lvlJc w:val="left"/>
      <w:pPr>
        <w:ind w:left="3420" w:hanging="360"/>
      </w:pPr>
    </w:lvl>
    <w:lvl w:ilvl="2" w:tplc="FFFFFFFF">
      <w:start w:val="1"/>
      <w:numFmt w:val="lowerRoman"/>
      <w:lvlText w:val="(%3)"/>
      <w:lvlJc w:val="left"/>
      <w:pPr>
        <w:ind w:left="4680" w:hanging="720"/>
      </w:pPr>
      <w:rPr>
        <w:rFonts w:hint="default"/>
      </w:rPr>
    </w:lvl>
    <w:lvl w:ilvl="3" w:tplc="FFFFFFFF" w:tentative="1">
      <w:start w:val="1"/>
      <w:numFmt w:val="decimal"/>
      <w:lvlText w:val="%4."/>
      <w:lvlJc w:val="left"/>
      <w:pPr>
        <w:ind w:left="4860" w:hanging="360"/>
      </w:pPr>
    </w:lvl>
    <w:lvl w:ilvl="4" w:tplc="FFFFFFFF" w:tentative="1">
      <w:start w:val="1"/>
      <w:numFmt w:val="lowerLetter"/>
      <w:lvlText w:val="%5."/>
      <w:lvlJc w:val="left"/>
      <w:pPr>
        <w:ind w:left="5580" w:hanging="360"/>
      </w:pPr>
    </w:lvl>
    <w:lvl w:ilvl="5" w:tplc="FFFFFFFF" w:tentative="1">
      <w:start w:val="1"/>
      <w:numFmt w:val="lowerRoman"/>
      <w:lvlText w:val="%6."/>
      <w:lvlJc w:val="right"/>
      <w:pPr>
        <w:ind w:left="6300" w:hanging="180"/>
      </w:pPr>
    </w:lvl>
    <w:lvl w:ilvl="6" w:tplc="FFFFFFFF" w:tentative="1">
      <w:start w:val="1"/>
      <w:numFmt w:val="decimal"/>
      <w:lvlText w:val="%7."/>
      <w:lvlJc w:val="left"/>
      <w:pPr>
        <w:ind w:left="7020" w:hanging="360"/>
      </w:pPr>
    </w:lvl>
    <w:lvl w:ilvl="7" w:tplc="FFFFFFFF" w:tentative="1">
      <w:start w:val="1"/>
      <w:numFmt w:val="lowerLetter"/>
      <w:lvlText w:val="%8."/>
      <w:lvlJc w:val="left"/>
      <w:pPr>
        <w:ind w:left="7740" w:hanging="360"/>
      </w:pPr>
    </w:lvl>
    <w:lvl w:ilvl="8" w:tplc="FFFFFFFF" w:tentative="1">
      <w:start w:val="1"/>
      <w:numFmt w:val="lowerRoman"/>
      <w:lvlText w:val="%9."/>
      <w:lvlJc w:val="right"/>
      <w:pPr>
        <w:ind w:left="8460" w:hanging="180"/>
      </w:pPr>
    </w:lvl>
  </w:abstractNum>
  <w:abstractNum w:abstractNumId="267" w15:restartNumberingAfterBreak="0">
    <w:nsid w:val="71B7371A"/>
    <w:multiLevelType w:val="hybridMultilevel"/>
    <w:tmpl w:val="BE7AC9E0"/>
    <w:lvl w:ilvl="0" w:tplc="C42A008C">
      <w:start w:val="1"/>
      <w:numFmt w:val="decimal"/>
      <w:lvlText w:val="%1."/>
      <w:lvlJc w:val="left"/>
      <w:pPr>
        <w:ind w:left="2880" w:hanging="360"/>
      </w:pPr>
      <w:rPr>
        <w:rFonts w:hint="default"/>
      </w:rPr>
    </w:lvl>
    <w:lvl w:ilvl="1" w:tplc="3B66292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72044DBB"/>
    <w:multiLevelType w:val="hybridMultilevel"/>
    <w:tmpl w:val="82B82B68"/>
    <w:lvl w:ilvl="0" w:tplc="04090017">
      <w:start w:val="1"/>
      <w:numFmt w:val="decimal"/>
      <w:pStyle w:val="Brookingsstyle"/>
      <w:lvlText w:val="%1."/>
      <w:lvlJc w:val="left"/>
      <w:pPr>
        <w:tabs>
          <w:tab w:val="num" w:pos="1080"/>
        </w:tabs>
        <w:ind w:left="360" w:firstLine="0"/>
      </w:pPr>
      <w:rPr>
        <w:rFonts w:hint="default"/>
        <w:b w:val="0"/>
        <w:i w:val="0"/>
      </w:rPr>
    </w:lvl>
    <w:lvl w:ilvl="1" w:tplc="04090019">
      <w:start w:val="1"/>
      <w:numFmt w:val="bullet"/>
      <w:lvlText w:val=""/>
      <w:lvlJc w:val="left"/>
      <w:pPr>
        <w:tabs>
          <w:tab w:val="num" w:pos="1800"/>
        </w:tabs>
        <w:ind w:left="1800" w:hanging="360"/>
      </w:pPr>
      <w:rPr>
        <w:rFonts w:ascii="Symbol" w:hAnsi="Symbol" w:hint="default"/>
        <w:b w:val="0"/>
        <w:i w:val="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9" w15:restartNumberingAfterBreak="0">
    <w:nsid w:val="722678E7"/>
    <w:multiLevelType w:val="hybridMultilevel"/>
    <w:tmpl w:val="E65AA3C8"/>
    <w:lvl w:ilvl="0" w:tplc="CD5868EC">
      <w:start w:val="1"/>
      <w:numFmt w:val="decimal"/>
      <w:lvlText w:val="6.%1"/>
      <w:lvlJc w:val="left"/>
      <w:pPr>
        <w:ind w:left="450" w:hanging="360"/>
      </w:pPr>
      <w:rPr>
        <w:rFonts w:ascii="Andes" w:hAnsi="Andes" w:hint="default"/>
        <w:b w:val="0"/>
        <w:i w:val="0"/>
        <w:strike w:val="0"/>
        <w:sz w:val="22"/>
        <w:szCs w:val="22"/>
      </w:rPr>
    </w:lvl>
    <w:lvl w:ilvl="1" w:tplc="14090003">
      <w:start w:val="1"/>
      <w:numFmt w:val="lowerLetter"/>
      <w:lvlText w:val="%2)"/>
      <w:lvlJc w:val="left"/>
      <w:pPr>
        <w:ind w:left="3420" w:hanging="360"/>
      </w:pPr>
    </w:lvl>
    <w:lvl w:ilvl="2" w:tplc="EBDCF4C8">
      <w:start w:val="1"/>
      <w:numFmt w:val="lowerRoman"/>
      <w:lvlText w:val="(%3)"/>
      <w:lvlJc w:val="left"/>
      <w:pPr>
        <w:ind w:left="4680" w:hanging="720"/>
      </w:pPr>
      <w:rPr>
        <w:rFonts w:hint="default"/>
      </w:rPr>
    </w:lvl>
    <w:lvl w:ilvl="3" w:tplc="C2361DB4">
      <w:start w:val="1"/>
      <w:numFmt w:val="lowerLetter"/>
      <w:lvlText w:val="(%4)"/>
      <w:lvlJc w:val="left"/>
      <w:pPr>
        <w:ind w:left="4860" w:hanging="360"/>
      </w:pPr>
      <w:rPr>
        <w:rFonts w:hint="default"/>
      </w:rPr>
    </w:lvl>
    <w:lvl w:ilvl="4" w:tplc="14090003" w:tentative="1">
      <w:start w:val="1"/>
      <w:numFmt w:val="lowerLetter"/>
      <w:lvlText w:val="%5."/>
      <w:lvlJc w:val="left"/>
      <w:pPr>
        <w:ind w:left="5580" w:hanging="360"/>
      </w:pPr>
    </w:lvl>
    <w:lvl w:ilvl="5" w:tplc="14090005" w:tentative="1">
      <w:start w:val="1"/>
      <w:numFmt w:val="lowerRoman"/>
      <w:lvlText w:val="%6."/>
      <w:lvlJc w:val="right"/>
      <w:pPr>
        <w:ind w:left="6300" w:hanging="180"/>
      </w:pPr>
    </w:lvl>
    <w:lvl w:ilvl="6" w:tplc="14090001" w:tentative="1">
      <w:start w:val="1"/>
      <w:numFmt w:val="decimal"/>
      <w:lvlText w:val="%7."/>
      <w:lvlJc w:val="left"/>
      <w:pPr>
        <w:ind w:left="7020" w:hanging="360"/>
      </w:pPr>
    </w:lvl>
    <w:lvl w:ilvl="7" w:tplc="14090003" w:tentative="1">
      <w:start w:val="1"/>
      <w:numFmt w:val="lowerLetter"/>
      <w:lvlText w:val="%8."/>
      <w:lvlJc w:val="left"/>
      <w:pPr>
        <w:ind w:left="7740" w:hanging="360"/>
      </w:pPr>
    </w:lvl>
    <w:lvl w:ilvl="8" w:tplc="14090005" w:tentative="1">
      <w:start w:val="1"/>
      <w:numFmt w:val="lowerRoman"/>
      <w:lvlText w:val="%9."/>
      <w:lvlJc w:val="right"/>
      <w:pPr>
        <w:ind w:left="8460" w:hanging="180"/>
      </w:pPr>
    </w:lvl>
  </w:abstractNum>
  <w:abstractNum w:abstractNumId="270" w15:restartNumberingAfterBreak="0">
    <w:nsid w:val="72C54FBE"/>
    <w:multiLevelType w:val="hybridMultilevel"/>
    <w:tmpl w:val="E7AC51EC"/>
    <w:lvl w:ilvl="0" w:tplc="0409001B">
      <w:start w:val="1"/>
      <w:numFmt w:val="lowerRoman"/>
      <w:lvlText w:val="%1."/>
      <w:lvlJc w:val="right"/>
      <w:pPr>
        <w:ind w:left="2070" w:hanging="360"/>
      </w:pPr>
      <w:rPr>
        <w:b w:val="0"/>
        <w:lang w:val="en-AU"/>
      </w:rPr>
    </w:lvl>
    <w:lvl w:ilvl="1" w:tplc="04090019" w:tentative="1">
      <w:start w:val="1"/>
      <w:numFmt w:val="lowerLetter"/>
      <w:lvlText w:val="%2."/>
      <w:lvlJc w:val="left"/>
      <w:pPr>
        <w:ind w:left="2790" w:hanging="360"/>
      </w:pPr>
    </w:lvl>
    <w:lvl w:ilvl="2" w:tplc="0409001B">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71" w15:restartNumberingAfterBreak="0">
    <w:nsid w:val="732109CF"/>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73BD6781"/>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744375CC"/>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75417F04"/>
    <w:multiLevelType w:val="hybridMultilevel"/>
    <w:tmpl w:val="C562CD9E"/>
    <w:lvl w:ilvl="0" w:tplc="30327DAC">
      <w:start w:val="1"/>
      <w:numFmt w:val="decimal"/>
      <w:lvlText w:val="1.%1"/>
      <w:lvlJc w:val="left"/>
      <w:pPr>
        <w:ind w:left="720" w:hanging="360"/>
      </w:pPr>
      <w:rPr>
        <w:rFonts w:hint="default"/>
        <w:sz w:val="22"/>
        <w:szCs w:val="22"/>
      </w:rPr>
    </w:lvl>
    <w:lvl w:ilvl="1" w:tplc="DA3E2C5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75D52DF4"/>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7665634F"/>
    <w:multiLevelType w:val="hybridMultilevel"/>
    <w:tmpl w:val="34482B46"/>
    <w:lvl w:ilvl="0" w:tplc="789C732A">
      <w:start w:val="1"/>
      <w:numFmt w:val="decimal"/>
      <w:pStyle w:val="ListNumbered"/>
      <w:lvlText w:val="%1."/>
      <w:lvlJc w:val="left"/>
      <w:pPr>
        <w:tabs>
          <w:tab w:val="num" w:pos="919"/>
        </w:tabs>
        <w:ind w:left="919" w:hanging="460"/>
      </w:pPr>
      <w:rPr>
        <w:rFonts w:ascii="Times New Roman" w:hAnsi="Times New Roman" w:cs="Times New Roman" w:hint="default"/>
        <w:b w:val="0"/>
        <w:i w:val="0"/>
        <w:caps w:val="0"/>
        <w:strike w:val="0"/>
        <w:dstrike w:val="0"/>
        <w:vanish w:val="0"/>
        <w:color w:val="000000"/>
        <w:sz w:val="22"/>
        <w:vertAlign w:val="base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7" w15:restartNumberingAfterBreak="0">
    <w:nsid w:val="76A739BC"/>
    <w:multiLevelType w:val="multilevel"/>
    <w:tmpl w:val="91760996"/>
    <w:lvl w:ilvl="0">
      <w:start w:val="1"/>
      <w:numFmt w:val="bullet"/>
      <w:pStyle w:val="a6"/>
      <w:lvlText w:val=""/>
      <w:lvlJc w:val="left"/>
      <w:pPr>
        <w:ind w:left="400" w:hanging="400"/>
      </w:pPr>
      <w:rPr>
        <w:rFonts w:ascii="Wingdings" w:hAnsi="Wingding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78" w15:restartNumberingAfterBreak="0">
    <w:nsid w:val="779C70E3"/>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15:restartNumberingAfterBreak="0">
    <w:nsid w:val="77E3028D"/>
    <w:multiLevelType w:val="hybridMultilevel"/>
    <w:tmpl w:val="3306FB56"/>
    <w:lvl w:ilvl="0" w:tplc="C8BA0338">
      <w:start w:val="1"/>
      <w:numFmt w:val="decimal"/>
      <w:lvlText w:val="1.%1"/>
      <w:lvlJc w:val="righ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77E30F98"/>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81" w15:restartNumberingAfterBreak="0">
    <w:nsid w:val="7847080B"/>
    <w:multiLevelType w:val="hybridMultilevel"/>
    <w:tmpl w:val="E45A0BDA"/>
    <w:lvl w:ilvl="0" w:tplc="04090019">
      <w:start w:val="1"/>
      <w:numFmt w:val="lowerLetter"/>
      <w:lvlText w:val="%1."/>
      <w:lvlJc w:val="left"/>
      <w:pPr>
        <w:ind w:left="1350" w:hanging="360"/>
      </w:pPr>
      <w:rPr>
        <w:b w:val="0"/>
        <w:color w:val="auto"/>
        <w:sz w:val="22"/>
        <w:szCs w:val="22"/>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82" w15:restartNumberingAfterBreak="0">
    <w:nsid w:val="78B0521C"/>
    <w:multiLevelType w:val="hybridMultilevel"/>
    <w:tmpl w:val="06C4CAA6"/>
    <w:lvl w:ilvl="0" w:tplc="0409001B">
      <w:start w:val="1"/>
      <w:numFmt w:val="lowerRoman"/>
      <w:lvlText w:val="%1."/>
      <w:lvlJc w:val="right"/>
      <w:pPr>
        <w:ind w:left="1350" w:hanging="360"/>
      </w:pPr>
      <w:rPr>
        <w:b w:val="0"/>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83" w15:restartNumberingAfterBreak="0">
    <w:nsid w:val="78D3798D"/>
    <w:multiLevelType w:val="multilevel"/>
    <w:tmpl w:val="698A46CC"/>
    <w:lvl w:ilvl="0">
      <w:start w:val="3"/>
      <w:numFmt w:val="decimal"/>
      <w:lvlText w:val="%1"/>
      <w:lvlJc w:val="left"/>
      <w:pPr>
        <w:ind w:left="2700" w:hanging="917"/>
      </w:pPr>
      <w:rPr>
        <w:lang w:val="en-US" w:eastAsia="en-US" w:bidi="ar-SA"/>
      </w:rPr>
    </w:lvl>
    <w:lvl w:ilvl="1">
      <w:start w:val="1"/>
      <w:numFmt w:val="decimal"/>
      <w:lvlText w:val="%1.%2"/>
      <w:lvlJc w:val="left"/>
      <w:pPr>
        <w:ind w:left="2717" w:hanging="917"/>
      </w:pPr>
      <w:rPr>
        <w:rFonts w:ascii="Calibri" w:hAnsi="Calibri" w:hint="default"/>
        <w:b w:val="0"/>
        <w:bCs w:val="0"/>
        <w:i w:val="0"/>
        <w:iCs w:val="0"/>
        <w:spacing w:val="-2"/>
        <w:w w:val="100"/>
        <w:sz w:val="22"/>
        <w:szCs w:val="22"/>
        <w:lang w:val="en-US" w:eastAsia="en-US" w:bidi="ar-SA"/>
      </w:rPr>
    </w:lvl>
    <w:lvl w:ilvl="2">
      <w:numFmt w:val="bullet"/>
      <w:lvlText w:val="•"/>
      <w:lvlJc w:val="left"/>
      <w:pPr>
        <w:ind w:left="4608" w:hanging="917"/>
      </w:pPr>
      <w:rPr>
        <w:lang w:val="en-US" w:eastAsia="en-US" w:bidi="ar-SA"/>
      </w:rPr>
    </w:lvl>
    <w:lvl w:ilvl="3">
      <w:numFmt w:val="bullet"/>
      <w:lvlText w:val="•"/>
      <w:lvlJc w:val="left"/>
      <w:pPr>
        <w:ind w:left="5562" w:hanging="917"/>
      </w:pPr>
      <w:rPr>
        <w:lang w:val="en-US" w:eastAsia="en-US" w:bidi="ar-SA"/>
      </w:rPr>
    </w:lvl>
    <w:lvl w:ilvl="4">
      <w:numFmt w:val="bullet"/>
      <w:lvlText w:val="•"/>
      <w:lvlJc w:val="left"/>
      <w:pPr>
        <w:ind w:left="6516" w:hanging="917"/>
      </w:pPr>
      <w:rPr>
        <w:lang w:val="en-US" w:eastAsia="en-US" w:bidi="ar-SA"/>
      </w:rPr>
    </w:lvl>
    <w:lvl w:ilvl="5">
      <w:numFmt w:val="bullet"/>
      <w:lvlText w:val="•"/>
      <w:lvlJc w:val="left"/>
      <w:pPr>
        <w:ind w:left="7470" w:hanging="917"/>
      </w:pPr>
      <w:rPr>
        <w:lang w:val="en-US" w:eastAsia="en-US" w:bidi="ar-SA"/>
      </w:rPr>
    </w:lvl>
    <w:lvl w:ilvl="6">
      <w:numFmt w:val="bullet"/>
      <w:lvlText w:val="•"/>
      <w:lvlJc w:val="left"/>
      <w:pPr>
        <w:ind w:left="8424" w:hanging="917"/>
      </w:pPr>
      <w:rPr>
        <w:lang w:val="en-US" w:eastAsia="en-US" w:bidi="ar-SA"/>
      </w:rPr>
    </w:lvl>
    <w:lvl w:ilvl="7">
      <w:numFmt w:val="bullet"/>
      <w:lvlText w:val="•"/>
      <w:lvlJc w:val="left"/>
      <w:pPr>
        <w:ind w:left="9378" w:hanging="917"/>
      </w:pPr>
      <w:rPr>
        <w:lang w:val="en-US" w:eastAsia="en-US" w:bidi="ar-SA"/>
      </w:rPr>
    </w:lvl>
    <w:lvl w:ilvl="8">
      <w:numFmt w:val="bullet"/>
      <w:lvlText w:val="•"/>
      <w:lvlJc w:val="left"/>
      <w:pPr>
        <w:ind w:left="10332" w:hanging="917"/>
      </w:pPr>
      <w:rPr>
        <w:lang w:val="en-US" w:eastAsia="en-US" w:bidi="ar-SA"/>
      </w:rPr>
    </w:lvl>
  </w:abstractNum>
  <w:abstractNum w:abstractNumId="284" w15:restartNumberingAfterBreak="0">
    <w:nsid w:val="78EE12A7"/>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79093343"/>
    <w:multiLevelType w:val="multilevel"/>
    <w:tmpl w:val="AB94FADE"/>
    <w:lvl w:ilvl="0">
      <w:start w:val="2"/>
      <w:numFmt w:val="upperLetter"/>
      <w:pStyle w:val="AHeading1"/>
      <w:lvlText w:val="Appendix %1."/>
      <w:lvlJc w:val="left"/>
      <w:pPr>
        <w:tabs>
          <w:tab w:val="num" w:pos="432"/>
        </w:tabs>
        <w:ind w:left="432" w:hanging="432"/>
      </w:pPr>
      <w:rPr>
        <w:rFonts w:ascii="Times New Roman" w:hAnsi="Times New Roman" w:cs="Times New Roman" w:hint="default"/>
        <w:b w:val="0"/>
        <w:bCs w:val="0"/>
        <w:i w:val="0"/>
        <w:iCs w:val="0"/>
        <w:caps w:val="0"/>
        <w:smallCaps w:val="0"/>
        <w:strike w:val="0"/>
        <w:dstrike w:val="0"/>
        <w:noProof w:val="0"/>
        <w:vanish w:val="0"/>
        <w:spacing w:val="0"/>
        <w:kern w:val="0"/>
        <w:position w:val="0"/>
        <w:u w:val="none"/>
        <w:vertAlign w:val="baseline"/>
        <w:em w:val="none"/>
      </w:rPr>
    </w:lvl>
    <w:lvl w:ilvl="1">
      <w:start w:val="1"/>
      <w:numFmt w:val="decimal"/>
      <w:pStyle w:val="AHeading2"/>
      <w:lvlText w:val="%1.%2."/>
      <w:lvlJc w:val="left"/>
      <w:pPr>
        <w:tabs>
          <w:tab w:val="num" w:pos="576"/>
        </w:tabs>
        <w:ind w:left="576" w:hanging="576"/>
      </w:pPr>
      <w:rPr>
        <w:rFonts w:hint="default"/>
      </w:rPr>
    </w:lvl>
    <w:lvl w:ilvl="2">
      <w:start w:val="1"/>
      <w:numFmt w:val="decimal"/>
      <w:pStyle w:val="AHeading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6" w15:restartNumberingAfterBreak="0">
    <w:nsid w:val="79521FFB"/>
    <w:multiLevelType w:val="hybridMultilevel"/>
    <w:tmpl w:val="0546A728"/>
    <w:lvl w:ilvl="0" w:tplc="04090019">
      <w:start w:val="1"/>
      <w:numFmt w:val="lowerLetter"/>
      <w:lvlText w:val="%1."/>
      <w:lvlJc w:val="left"/>
      <w:pPr>
        <w:ind w:left="1350" w:hanging="360"/>
      </w:pPr>
      <w:rPr>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87" w15:restartNumberingAfterBreak="0">
    <w:nsid w:val="79767066"/>
    <w:multiLevelType w:val="hybridMultilevel"/>
    <w:tmpl w:val="22D490E6"/>
    <w:lvl w:ilvl="0" w:tplc="43D83F66">
      <w:start w:val="1"/>
      <w:numFmt w:val="decimal"/>
      <w:lvlText w:val="7.%1"/>
      <w:lvlJc w:val="left"/>
      <w:pPr>
        <w:ind w:left="450" w:hanging="360"/>
      </w:pPr>
      <w:rPr>
        <w:rFonts w:ascii="Andes" w:hAnsi="Andes" w:hint="default"/>
        <w:b w:val="0"/>
        <w:i w:val="0"/>
        <w:strike w:val="0"/>
        <w:sz w:val="22"/>
        <w:szCs w:val="22"/>
      </w:rPr>
    </w:lvl>
    <w:lvl w:ilvl="1" w:tplc="14090003">
      <w:start w:val="1"/>
      <w:numFmt w:val="lowerLetter"/>
      <w:lvlText w:val="%2)"/>
      <w:lvlJc w:val="left"/>
      <w:pPr>
        <w:ind w:left="3420" w:hanging="360"/>
      </w:pPr>
    </w:lvl>
    <w:lvl w:ilvl="2" w:tplc="EBDCF4C8">
      <w:start w:val="1"/>
      <w:numFmt w:val="lowerRoman"/>
      <w:lvlText w:val="(%3)"/>
      <w:lvlJc w:val="left"/>
      <w:pPr>
        <w:ind w:left="4680" w:hanging="720"/>
      </w:pPr>
      <w:rPr>
        <w:rFonts w:hint="default"/>
      </w:rPr>
    </w:lvl>
    <w:lvl w:ilvl="3" w:tplc="14090001" w:tentative="1">
      <w:start w:val="1"/>
      <w:numFmt w:val="decimal"/>
      <w:lvlText w:val="%4."/>
      <w:lvlJc w:val="left"/>
      <w:pPr>
        <w:ind w:left="4860" w:hanging="360"/>
      </w:pPr>
    </w:lvl>
    <w:lvl w:ilvl="4" w:tplc="14090003" w:tentative="1">
      <w:start w:val="1"/>
      <w:numFmt w:val="lowerLetter"/>
      <w:lvlText w:val="%5."/>
      <w:lvlJc w:val="left"/>
      <w:pPr>
        <w:ind w:left="5580" w:hanging="360"/>
      </w:pPr>
    </w:lvl>
    <w:lvl w:ilvl="5" w:tplc="14090005" w:tentative="1">
      <w:start w:val="1"/>
      <w:numFmt w:val="lowerRoman"/>
      <w:lvlText w:val="%6."/>
      <w:lvlJc w:val="right"/>
      <w:pPr>
        <w:ind w:left="6300" w:hanging="180"/>
      </w:pPr>
    </w:lvl>
    <w:lvl w:ilvl="6" w:tplc="14090001" w:tentative="1">
      <w:start w:val="1"/>
      <w:numFmt w:val="decimal"/>
      <w:lvlText w:val="%7."/>
      <w:lvlJc w:val="left"/>
      <w:pPr>
        <w:ind w:left="7020" w:hanging="360"/>
      </w:pPr>
    </w:lvl>
    <w:lvl w:ilvl="7" w:tplc="14090003" w:tentative="1">
      <w:start w:val="1"/>
      <w:numFmt w:val="lowerLetter"/>
      <w:lvlText w:val="%8."/>
      <w:lvlJc w:val="left"/>
      <w:pPr>
        <w:ind w:left="7740" w:hanging="360"/>
      </w:pPr>
    </w:lvl>
    <w:lvl w:ilvl="8" w:tplc="14090005" w:tentative="1">
      <w:start w:val="1"/>
      <w:numFmt w:val="lowerRoman"/>
      <w:lvlText w:val="%9."/>
      <w:lvlJc w:val="right"/>
      <w:pPr>
        <w:ind w:left="8460" w:hanging="180"/>
      </w:pPr>
    </w:lvl>
  </w:abstractNum>
  <w:abstractNum w:abstractNumId="288" w15:restartNumberingAfterBreak="0">
    <w:nsid w:val="7B6516E4"/>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7BD333AF"/>
    <w:multiLevelType w:val="hybridMultilevel"/>
    <w:tmpl w:val="77D81EBE"/>
    <w:lvl w:ilvl="0" w:tplc="F8A8FB1E">
      <w:start w:val="1"/>
      <w:numFmt w:val="lowerLetter"/>
      <w:lvlText w:val="%1."/>
      <w:lvlJc w:val="left"/>
      <w:pPr>
        <w:ind w:left="1267" w:hanging="360"/>
      </w:pPr>
      <w:rPr>
        <w:rFonts w:ascii="Andes" w:hAnsi="Ande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7BE30B15"/>
    <w:multiLevelType w:val="hybridMultilevel"/>
    <w:tmpl w:val="E14CCCE8"/>
    <w:lvl w:ilvl="0" w:tplc="822659FC">
      <w:start w:val="1"/>
      <w:numFmt w:val="decimal"/>
      <w:lvlText w:val="1.%1"/>
      <w:lvlJc w:val="right"/>
      <w:pPr>
        <w:ind w:left="450" w:hanging="360"/>
      </w:pPr>
      <w:rPr>
        <w:rFonts w:hint="default"/>
        <w:strike w:val="0"/>
        <w:sz w:val="22"/>
        <w:szCs w:val="22"/>
      </w:rPr>
    </w:lvl>
    <w:lvl w:ilvl="1" w:tplc="14090003">
      <w:start w:val="1"/>
      <w:numFmt w:val="lowerLetter"/>
      <w:lvlText w:val="%2)"/>
      <w:lvlJc w:val="left"/>
      <w:pPr>
        <w:ind w:left="3420" w:hanging="360"/>
      </w:pPr>
    </w:lvl>
    <w:lvl w:ilvl="2" w:tplc="EBDCF4C8">
      <w:start w:val="1"/>
      <w:numFmt w:val="lowerRoman"/>
      <w:lvlText w:val="(%3)"/>
      <w:lvlJc w:val="left"/>
      <w:pPr>
        <w:ind w:left="4680" w:hanging="720"/>
      </w:pPr>
      <w:rPr>
        <w:rFonts w:hint="default"/>
      </w:rPr>
    </w:lvl>
    <w:lvl w:ilvl="3" w:tplc="14090001" w:tentative="1">
      <w:start w:val="1"/>
      <w:numFmt w:val="decimal"/>
      <w:lvlText w:val="%4."/>
      <w:lvlJc w:val="left"/>
      <w:pPr>
        <w:ind w:left="4860" w:hanging="360"/>
      </w:pPr>
    </w:lvl>
    <w:lvl w:ilvl="4" w:tplc="14090003" w:tentative="1">
      <w:start w:val="1"/>
      <w:numFmt w:val="lowerLetter"/>
      <w:lvlText w:val="%5."/>
      <w:lvlJc w:val="left"/>
      <w:pPr>
        <w:ind w:left="5580" w:hanging="360"/>
      </w:pPr>
    </w:lvl>
    <w:lvl w:ilvl="5" w:tplc="14090005" w:tentative="1">
      <w:start w:val="1"/>
      <w:numFmt w:val="lowerRoman"/>
      <w:lvlText w:val="%6."/>
      <w:lvlJc w:val="right"/>
      <w:pPr>
        <w:ind w:left="6300" w:hanging="180"/>
      </w:pPr>
    </w:lvl>
    <w:lvl w:ilvl="6" w:tplc="14090001" w:tentative="1">
      <w:start w:val="1"/>
      <w:numFmt w:val="decimal"/>
      <w:lvlText w:val="%7."/>
      <w:lvlJc w:val="left"/>
      <w:pPr>
        <w:ind w:left="7020" w:hanging="360"/>
      </w:pPr>
    </w:lvl>
    <w:lvl w:ilvl="7" w:tplc="14090003" w:tentative="1">
      <w:start w:val="1"/>
      <w:numFmt w:val="lowerLetter"/>
      <w:lvlText w:val="%8."/>
      <w:lvlJc w:val="left"/>
      <w:pPr>
        <w:ind w:left="7740" w:hanging="360"/>
      </w:pPr>
    </w:lvl>
    <w:lvl w:ilvl="8" w:tplc="14090005" w:tentative="1">
      <w:start w:val="1"/>
      <w:numFmt w:val="lowerRoman"/>
      <w:lvlText w:val="%9."/>
      <w:lvlJc w:val="right"/>
      <w:pPr>
        <w:ind w:left="8460" w:hanging="180"/>
      </w:pPr>
    </w:lvl>
  </w:abstractNum>
  <w:abstractNum w:abstractNumId="291" w15:restartNumberingAfterBreak="0">
    <w:nsid w:val="7C493E35"/>
    <w:multiLevelType w:val="hybridMultilevel"/>
    <w:tmpl w:val="83A6F1B6"/>
    <w:lvl w:ilvl="0" w:tplc="14E6311C">
      <w:start w:val="1"/>
      <w:numFmt w:val="lowerLetter"/>
      <w:lvlText w:val="%1)"/>
      <w:lvlJc w:val="left"/>
      <w:pPr>
        <w:ind w:left="1350" w:hanging="360"/>
      </w:pPr>
      <w:rPr>
        <w:b w:val="0"/>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92" w15:restartNumberingAfterBreak="0">
    <w:nsid w:val="7C801D99"/>
    <w:multiLevelType w:val="hybridMultilevel"/>
    <w:tmpl w:val="5430423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3" w15:restartNumberingAfterBreak="0">
    <w:nsid w:val="7CD95AA0"/>
    <w:multiLevelType w:val="hybridMultilevel"/>
    <w:tmpl w:val="B1F6AE2A"/>
    <w:lvl w:ilvl="0" w:tplc="04090019">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7D2A1460"/>
    <w:multiLevelType w:val="hybridMultilevel"/>
    <w:tmpl w:val="B518F136"/>
    <w:lvl w:ilvl="0" w:tplc="04090017">
      <w:start w:val="1"/>
      <w:numFmt w:val="bullet"/>
      <w:lvlText w:val="○"/>
      <w:lvlJc w:val="left"/>
      <w:pPr>
        <w:tabs>
          <w:tab w:val="num" w:pos="600"/>
        </w:tabs>
        <w:ind w:left="600" w:hanging="400"/>
      </w:pPr>
      <w:rPr>
        <w:rFonts w:ascii="GulimChe" w:eastAsia="GulimChe" w:hAnsi="Batang" w:hint="eastAsia"/>
        <w:color w:val="auto"/>
        <w:sz w:val="20"/>
        <w:szCs w:val="20"/>
      </w:rPr>
    </w:lvl>
    <w:lvl w:ilvl="1" w:tplc="04090019">
      <w:start w:val="1"/>
      <w:numFmt w:val="bullet"/>
      <w:pStyle w:val="-2"/>
      <w:lvlText w:val="–"/>
      <w:lvlJc w:val="left"/>
      <w:pPr>
        <w:tabs>
          <w:tab w:val="num" w:pos="800"/>
        </w:tabs>
        <w:ind w:left="800" w:hanging="400"/>
      </w:pPr>
      <w:rPr>
        <w:rFonts w:ascii="GulimChe" w:eastAsia="GulimChe" w:hAnsi="GulimChe" w:hint="eastAsia"/>
        <w:color w:val="auto"/>
        <w:sz w:val="20"/>
        <w:szCs w:val="20"/>
        <w:lang w:val="en-US"/>
      </w:rPr>
    </w:lvl>
    <w:lvl w:ilvl="2" w:tplc="0409001B">
      <w:start w:val="1"/>
      <w:numFmt w:val="bullet"/>
      <w:lvlText w:val=""/>
      <w:lvlJc w:val="left"/>
      <w:pPr>
        <w:tabs>
          <w:tab w:val="num" w:pos="1200"/>
        </w:tabs>
        <w:ind w:left="1200" w:hanging="400"/>
      </w:pPr>
      <w:rPr>
        <w:rFonts w:ascii="Wingdings" w:hAnsi="Wingdings" w:hint="default"/>
      </w:rPr>
    </w:lvl>
    <w:lvl w:ilvl="3" w:tplc="0409000F">
      <w:start w:val="1"/>
      <w:numFmt w:val="bullet"/>
      <w:lvlText w:val=""/>
      <w:lvlJc w:val="left"/>
      <w:pPr>
        <w:tabs>
          <w:tab w:val="num" w:pos="1600"/>
        </w:tabs>
        <w:ind w:left="1600" w:hanging="400"/>
      </w:pPr>
      <w:rPr>
        <w:rFonts w:ascii="Wingdings" w:hAnsi="Wingdings" w:hint="default"/>
      </w:rPr>
    </w:lvl>
    <w:lvl w:ilvl="4" w:tplc="04090019">
      <w:numFmt w:val="bullet"/>
      <w:lvlText w:val="-"/>
      <w:lvlJc w:val="left"/>
      <w:pPr>
        <w:ind w:left="1960" w:hanging="360"/>
      </w:pPr>
      <w:rPr>
        <w:rFonts w:ascii="Times New Roman" w:eastAsia="GulimChe" w:hAnsi="Times New Roman" w:cs="Times New Roman" w:hint="default"/>
      </w:rPr>
    </w:lvl>
    <w:lvl w:ilvl="5" w:tplc="0409001B">
      <w:start w:val="1"/>
      <w:numFmt w:val="bullet"/>
      <w:lvlText w:val=""/>
      <w:lvlJc w:val="left"/>
      <w:pPr>
        <w:tabs>
          <w:tab w:val="num" w:pos="2400"/>
        </w:tabs>
        <w:ind w:left="2400" w:hanging="400"/>
      </w:pPr>
      <w:rPr>
        <w:rFonts w:ascii="Wingdings" w:hAnsi="Wingdings" w:hint="default"/>
      </w:rPr>
    </w:lvl>
    <w:lvl w:ilvl="6" w:tplc="0409000F">
      <w:start w:val="9"/>
      <w:numFmt w:val="bullet"/>
      <w:lvlText w:val="※"/>
      <w:lvlJc w:val="left"/>
      <w:pPr>
        <w:ind w:left="2760" w:hanging="360"/>
      </w:pPr>
      <w:rPr>
        <w:rFonts w:ascii="Malgun Gothic" w:eastAsia="Malgun Gothic" w:hAnsi="Malgun Gothic" w:cs="Times New Roman" w:hint="eastAsia"/>
      </w:rPr>
    </w:lvl>
    <w:lvl w:ilvl="7" w:tplc="04090019" w:tentative="1">
      <w:start w:val="1"/>
      <w:numFmt w:val="bullet"/>
      <w:lvlText w:val=""/>
      <w:lvlJc w:val="left"/>
      <w:pPr>
        <w:tabs>
          <w:tab w:val="num" w:pos="3200"/>
        </w:tabs>
        <w:ind w:left="3200" w:hanging="400"/>
      </w:pPr>
      <w:rPr>
        <w:rFonts w:ascii="Wingdings" w:hAnsi="Wingdings" w:hint="default"/>
      </w:rPr>
    </w:lvl>
    <w:lvl w:ilvl="8" w:tplc="0409001B" w:tentative="1">
      <w:start w:val="1"/>
      <w:numFmt w:val="bullet"/>
      <w:lvlText w:val=""/>
      <w:lvlJc w:val="left"/>
      <w:pPr>
        <w:tabs>
          <w:tab w:val="num" w:pos="3600"/>
        </w:tabs>
        <w:ind w:left="3600" w:hanging="400"/>
      </w:pPr>
      <w:rPr>
        <w:rFonts w:ascii="Wingdings" w:hAnsi="Wingdings" w:hint="default"/>
      </w:rPr>
    </w:lvl>
  </w:abstractNum>
  <w:abstractNum w:abstractNumId="295" w15:restartNumberingAfterBreak="0">
    <w:nsid w:val="7DBA2901"/>
    <w:multiLevelType w:val="hybridMultilevel"/>
    <w:tmpl w:val="0D54B74A"/>
    <w:lvl w:ilvl="0" w:tplc="DBC6E0A0">
      <w:start w:val="1"/>
      <w:numFmt w:val="bullet"/>
      <w:pStyle w:val="a7"/>
      <w:lvlText w:val=""/>
      <w:lvlJc w:val="left"/>
      <w:pPr>
        <w:ind w:left="800" w:hanging="400"/>
      </w:pPr>
      <w:rPr>
        <w:rFonts w:ascii="Wingdings" w:hAnsi="Wingdings" w:hint="default"/>
      </w:rPr>
    </w:lvl>
    <w:lvl w:ilvl="1" w:tplc="04090019">
      <w:start w:val="1"/>
      <w:numFmt w:val="bullet"/>
      <w:pStyle w:val="a8"/>
      <w:lvlText w:val="—"/>
      <w:lvlJc w:val="left"/>
      <w:pPr>
        <w:ind w:left="1200" w:hanging="400"/>
      </w:pPr>
      <w:rPr>
        <w:rFonts w:ascii="GulimChe" w:eastAsia="GulimChe" w:hAnsi="GulimChe" w:hint="eastAsia"/>
        <w:color w:val="auto"/>
        <w:sz w:val="20"/>
        <w:szCs w:val="20"/>
      </w:rPr>
    </w:lvl>
    <w:lvl w:ilvl="2" w:tplc="0409001B">
      <w:start w:val="1"/>
      <w:numFmt w:val="bullet"/>
      <w:lvlText w:val=""/>
      <w:lvlJc w:val="left"/>
      <w:pPr>
        <w:ind w:left="1600" w:hanging="400"/>
      </w:pPr>
      <w:rPr>
        <w:rFonts w:ascii="Wingdings" w:hAnsi="Wingdings" w:hint="default"/>
      </w:rPr>
    </w:lvl>
    <w:lvl w:ilvl="3" w:tplc="0409000F">
      <w:start w:val="1"/>
      <w:numFmt w:val="bullet"/>
      <w:lvlText w:val=""/>
      <w:lvlJc w:val="left"/>
      <w:pPr>
        <w:ind w:left="2000" w:hanging="400"/>
      </w:pPr>
      <w:rPr>
        <w:rFonts w:ascii="Wingdings" w:hAnsi="Wingdings" w:hint="default"/>
      </w:rPr>
    </w:lvl>
    <w:lvl w:ilvl="4" w:tplc="04090019">
      <w:start w:val="1"/>
      <w:numFmt w:val="bullet"/>
      <w:lvlText w:val=""/>
      <w:lvlJc w:val="left"/>
      <w:pPr>
        <w:ind w:left="2400" w:hanging="400"/>
      </w:pPr>
      <w:rPr>
        <w:rFonts w:ascii="Wingdings" w:hAnsi="Wingdings" w:hint="default"/>
      </w:rPr>
    </w:lvl>
    <w:lvl w:ilvl="5" w:tplc="0409001B" w:tentative="1">
      <w:start w:val="1"/>
      <w:numFmt w:val="bullet"/>
      <w:lvlText w:val=""/>
      <w:lvlJc w:val="left"/>
      <w:pPr>
        <w:ind w:left="2800" w:hanging="400"/>
      </w:pPr>
      <w:rPr>
        <w:rFonts w:ascii="Wingdings" w:hAnsi="Wingdings" w:hint="default"/>
      </w:rPr>
    </w:lvl>
    <w:lvl w:ilvl="6" w:tplc="0409000F" w:tentative="1">
      <w:start w:val="1"/>
      <w:numFmt w:val="bullet"/>
      <w:lvlText w:val=""/>
      <w:lvlJc w:val="left"/>
      <w:pPr>
        <w:ind w:left="3200" w:hanging="400"/>
      </w:pPr>
      <w:rPr>
        <w:rFonts w:ascii="Wingdings" w:hAnsi="Wingdings" w:hint="default"/>
      </w:rPr>
    </w:lvl>
    <w:lvl w:ilvl="7" w:tplc="04090019" w:tentative="1">
      <w:start w:val="1"/>
      <w:numFmt w:val="bullet"/>
      <w:lvlText w:val=""/>
      <w:lvlJc w:val="left"/>
      <w:pPr>
        <w:ind w:left="3600" w:hanging="400"/>
      </w:pPr>
      <w:rPr>
        <w:rFonts w:ascii="Wingdings" w:hAnsi="Wingdings" w:hint="default"/>
      </w:rPr>
    </w:lvl>
    <w:lvl w:ilvl="8" w:tplc="0409001B" w:tentative="1">
      <w:start w:val="1"/>
      <w:numFmt w:val="bullet"/>
      <w:lvlText w:val=""/>
      <w:lvlJc w:val="left"/>
      <w:pPr>
        <w:ind w:left="4000" w:hanging="400"/>
      </w:pPr>
      <w:rPr>
        <w:rFonts w:ascii="Wingdings" w:hAnsi="Wingdings" w:hint="default"/>
      </w:rPr>
    </w:lvl>
  </w:abstractNum>
  <w:abstractNum w:abstractNumId="296" w15:restartNumberingAfterBreak="0">
    <w:nsid w:val="7DCA10CE"/>
    <w:multiLevelType w:val="multilevel"/>
    <w:tmpl w:val="6428DAB6"/>
    <w:lvl w:ilvl="0">
      <w:start w:val="2"/>
      <w:numFmt w:val="decimal"/>
      <w:lvlText w:val="%1"/>
      <w:lvlJc w:val="left"/>
      <w:pPr>
        <w:ind w:left="360" w:hanging="360"/>
      </w:pPr>
      <w:rPr>
        <w:rFonts w:hint="default"/>
      </w:rPr>
    </w:lvl>
    <w:lvl w:ilvl="1">
      <w:start w:val="25"/>
      <w:numFmt w:val="decimal"/>
      <w:lvlText w:val="3.%2"/>
      <w:lvlJc w:val="left"/>
      <w:pPr>
        <w:ind w:left="360" w:hanging="360"/>
      </w:pPr>
      <w:rPr>
        <w:rFonts w:ascii="Andes" w:hAnsi="Andes" w:hint="default"/>
        <w:b w:val="0"/>
        <w:i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7" w15:restartNumberingAfterBreak="0">
    <w:nsid w:val="7E49191A"/>
    <w:multiLevelType w:val="hybridMultilevel"/>
    <w:tmpl w:val="79A88B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15:restartNumberingAfterBreak="0">
    <w:nsid w:val="7F0117DA"/>
    <w:multiLevelType w:val="multilevel"/>
    <w:tmpl w:val="8ED88012"/>
    <w:lvl w:ilvl="0">
      <w:start w:val="1"/>
      <w:numFmt w:val="bullet"/>
      <w:pStyle w:val="PBulletround"/>
      <w:lvlText w:val=""/>
      <w:lvlJc w:val="left"/>
      <w:pPr>
        <w:tabs>
          <w:tab w:val="num" w:pos="720"/>
        </w:tabs>
        <w:ind w:left="648" w:hanging="288"/>
      </w:pPr>
      <w:rPr>
        <w:rFonts w:ascii="Symbol" w:hAnsi="Symbol" w:hint="default"/>
      </w:rPr>
    </w:lvl>
    <w:lvl w:ilvl="1">
      <w:start w:val="1"/>
      <w:numFmt w:val="decimal"/>
      <w:lvlText w:val="%1.%2."/>
      <w:lvlJc w:val="left"/>
      <w:pPr>
        <w:tabs>
          <w:tab w:val="num" w:pos="198"/>
        </w:tabs>
        <w:ind w:left="1844" w:hanging="567"/>
      </w:pPr>
      <w:rPr>
        <w:rFonts w:hint="default"/>
        <w:strike w:val="0"/>
        <w:color w:val="000000"/>
      </w:rPr>
    </w:lvl>
    <w:lvl w:ilvl="2">
      <w:start w:val="1"/>
      <w:numFmt w:val="none"/>
      <w:lvlRestart w:val="0"/>
      <w:lvlText w:val=""/>
      <w:lvlJc w:val="left"/>
      <w:pPr>
        <w:tabs>
          <w:tab w:val="num" w:pos="1440"/>
        </w:tabs>
        <w:ind w:left="3005" w:hanging="567"/>
      </w:pPr>
      <w:rPr>
        <w:rFonts w:hint="default"/>
      </w:rPr>
    </w:lvl>
    <w:lvl w:ilvl="3">
      <w:start w:val="1"/>
      <w:numFmt w:val="decimal"/>
      <w:lvlText w:val="%1.%2.%31"/>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99" w15:restartNumberingAfterBreak="0">
    <w:nsid w:val="7F135FFE"/>
    <w:multiLevelType w:val="hybridMultilevel"/>
    <w:tmpl w:val="5ADC2A9C"/>
    <w:lvl w:ilvl="0" w:tplc="A8A2E7AA">
      <w:start w:val="1"/>
      <w:numFmt w:val="bullet"/>
      <w:pStyle w:val="buttletable"/>
      <w:lvlText w:val=""/>
      <w:lvlJc w:val="left"/>
      <w:pPr>
        <w:ind w:left="792" w:hanging="360"/>
      </w:pPr>
      <w:rPr>
        <w:rFonts w:ascii="Symbol" w:hAnsi="Symbol" w:hint="default"/>
        <w:color w:val="auto"/>
        <w:sz w:val="24"/>
        <w:szCs w:val="20"/>
      </w:rPr>
    </w:lvl>
    <w:lvl w:ilvl="1" w:tplc="27F650B8" w:tentative="1">
      <w:start w:val="1"/>
      <w:numFmt w:val="bullet"/>
      <w:lvlText w:val="o"/>
      <w:lvlJc w:val="left"/>
      <w:pPr>
        <w:ind w:left="1512" w:hanging="360"/>
      </w:pPr>
      <w:rPr>
        <w:rFonts w:ascii="Courier New" w:hAnsi="Courier New" w:cs="Arial" w:hint="default"/>
      </w:rPr>
    </w:lvl>
    <w:lvl w:ilvl="2" w:tplc="F5C6591C" w:tentative="1">
      <w:start w:val="1"/>
      <w:numFmt w:val="bullet"/>
      <w:lvlText w:val=""/>
      <w:lvlJc w:val="left"/>
      <w:pPr>
        <w:ind w:left="2232" w:hanging="360"/>
      </w:pPr>
      <w:rPr>
        <w:rFonts w:ascii="Wingdings" w:hAnsi="Wingdings" w:hint="default"/>
      </w:rPr>
    </w:lvl>
    <w:lvl w:ilvl="3" w:tplc="162E25DA" w:tentative="1">
      <w:start w:val="1"/>
      <w:numFmt w:val="bullet"/>
      <w:lvlText w:val=""/>
      <w:lvlJc w:val="left"/>
      <w:pPr>
        <w:ind w:left="2952" w:hanging="360"/>
      </w:pPr>
      <w:rPr>
        <w:rFonts w:ascii="Symbol" w:hAnsi="Symbol" w:hint="default"/>
      </w:rPr>
    </w:lvl>
    <w:lvl w:ilvl="4" w:tplc="64EC2B8C" w:tentative="1">
      <w:start w:val="1"/>
      <w:numFmt w:val="bullet"/>
      <w:lvlText w:val="o"/>
      <w:lvlJc w:val="left"/>
      <w:pPr>
        <w:ind w:left="3672" w:hanging="360"/>
      </w:pPr>
      <w:rPr>
        <w:rFonts w:ascii="Courier New" w:hAnsi="Courier New" w:cs="Arial" w:hint="default"/>
      </w:rPr>
    </w:lvl>
    <w:lvl w:ilvl="5" w:tplc="0EA04FF4" w:tentative="1">
      <w:start w:val="1"/>
      <w:numFmt w:val="bullet"/>
      <w:lvlText w:val=""/>
      <w:lvlJc w:val="left"/>
      <w:pPr>
        <w:ind w:left="4392" w:hanging="360"/>
      </w:pPr>
      <w:rPr>
        <w:rFonts w:ascii="Wingdings" w:hAnsi="Wingdings" w:hint="default"/>
      </w:rPr>
    </w:lvl>
    <w:lvl w:ilvl="6" w:tplc="9B28C686" w:tentative="1">
      <w:start w:val="1"/>
      <w:numFmt w:val="bullet"/>
      <w:lvlText w:val=""/>
      <w:lvlJc w:val="left"/>
      <w:pPr>
        <w:ind w:left="5112" w:hanging="360"/>
      </w:pPr>
      <w:rPr>
        <w:rFonts w:ascii="Symbol" w:hAnsi="Symbol" w:hint="default"/>
      </w:rPr>
    </w:lvl>
    <w:lvl w:ilvl="7" w:tplc="877E9594" w:tentative="1">
      <w:start w:val="1"/>
      <w:numFmt w:val="bullet"/>
      <w:lvlText w:val="o"/>
      <w:lvlJc w:val="left"/>
      <w:pPr>
        <w:ind w:left="5832" w:hanging="360"/>
      </w:pPr>
      <w:rPr>
        <w:rFonts w:ascii="Courier New" w:hAnsi="Courier New" w:cs="Arial" w:hint="default"/>
      </w:rPr>
    </w:lvl>
    <w:lvl w:ilvl="8" w:tplc="EEB41BEC" w:tentative="1">
      <w:start w:val="1"/>
      <w:numFmt w:val="bullet"/>
      <w:lvlText w:val=""/>
      <w:lvlJc w:val="left"/>
      <w:pPr>
        <w:ind w:left="6552" w:hanging="360"/>
      </w:pPr>
      <w:rPr>
        <w:rFonts w:ascii="Wingdings" w:hAnsi="Wingdings" w:hint="default"/>
      </w:rPr>
    </w:lvl>
  </w:abstractNum>
  <w:abstractNum w:abstractNumId="300" w15:restartNumberingAfterBreak="0">
    <w:nsid w:val="7F3034C6"/>
    <w:multiLevelType w:val="hybridMultilevel"/>
    <w:tmpl w:val="128C0872"/>
    <w:lvl w:ilvl="0" w:tplc="04090019">
      <w:start w:val="1"/>
      <w:numFmt w:val="lowerLetter"/>
      <w:lvlText w:val="%1."/>
      <w:lvlJc w:val="left"/>
      <w:pPr>
        <w:ind w:left="1350" w:hanging="360"/>
      </w:pPr>
      <w:rPr>
        <w:b w:val="0"/>
        <w:lang w:val="en-AU"/>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01" w15:restartNumberingAfterBreak="0">
    <w:nsid w:val="7F5116CB"/>
    <w:multiLevelType w:val="hybridMultilevel"/>
    <w:tmpl w:val="E514DABE"/>
    <w:lvl w:ilvl="0" w:tplc="04090019">
      <w:start w:val="1"/>
      <w:numFmt w:val="lowerLetter"/>
      <w:lvlText w:val="%1."/>
      <w:lvlJc w:val="left"/>
      <w:pPr>
        <w:ind w:left="1267"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7FB21A86"/>
    <w:multiLevelType w:val="hybridMultilevel"/>
    <w:tmpl w:val="7B5AAFFE"/>
    <w:lvl w:ilvl="0" w:tplc="316AFE26">
      <w:start w:val="1"/>
      <w:numFmt w:val="lowerRoman"/>
      <w:lvlText w:val="%1."/>
      <w:lvlJc w:val="right"/>
      <w:pPr>
        <w:ind w:left="1800" w:hanging="144"/>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16cid:durableId="217329200">
    <w:abstractNumId w:val="155"/>
  </w:num>
  <w:num w:numId="2" w16cid:durableId="1525316460">
    <w:abstractNumId w:val="168"/>
  </w:num>
  <w:num w:numId="3" w16cid:durableId="1020551803">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39432738">
    <w:abstractNumId w:val="30"/>
  </w:num>
  <w:num w:numId="5" w16cid:durableId="36129488">
    <w:abstractNumId w:val="240"/>
  </w:num>
  <w:num w:numId="6" w16cid:durableId="557208629">
    <w:abstractNumId w:val="136"/>
  </w:num>
  <w:num w:numId="7" w16cid:durableId="558133945">
    <w:abstractNumId w:val="157"/>
  </w:num>
  <w:num w:numId="8" w16cid:durableId="1465197391">
    <w:abstractNumId w:val="190"/>
  </w:num>
  <w:num w:numId="9" w16cid:durableId="1868641273">
    <w:abstractNumId w:val="113"/>
  </w:num>
  <w:num w:numId="10" w16cid:durableId="1936788614">
    <w:abstractNumId w:val="1"/>
  </w:num>
  <w:num w:numId="11" w16cid:durableId="557980853">
    <w:abstractNumId w:val="0"/>
  </w:num>
  <w:num w:numId="12" w16cid:durableId="99958070">
    <w:abstractNumId w:val="116"/>
  </w:num>
  <w:num w:numId="13" w16cid:durableId="1932742084">
    <w:abstractNumId w:val="13"/>
  </w:num>
  <w:num w:numId="14" w16cid:durableId="2039964093">
    <w:abstractNumId w:val="184"/>
  </w:num>
  <w:num w:numId="15" w16cid:durableId="1666978583">
    <w:abstractNumId w:val="36"/>
  </w:num>
  <w:num w:numId="16" w16cid:durableId="1784617238">
    <w:abstractNumId w:val="195"/>
  </w:num>
  <w:num w:numId="17" w16cid:durableId="556090236">
    <w:abstractNumId w:val="298"/>
  </w:num>
  <w:num w:numId="18" w16cid:durableId="1310092914">
    <w:abstractNumId w:val="70"/>
  </w:num>
  <w:num w:numId="19" w16cid:durableId="1099789077">
    <w:abstractNumId w:val="83"/>
  </w:num>
  <w:num w:numId="20" w16cid:durableId="1067648892">
    <w:abstractNumId w:val="117"/>
  </w:num>
  <w:num w:numId="21" w16cid:durableId="1623152145">
    <w:abstractNumId w:val="213"/>
  </w:num>
  <w:num w:numId="22" w16cid:durableId="1632244630">
    <w:abstractNumId w:val="276"/>
  </w:num>
  <w:num w:numId="23" w16cid:durableId="52705472">
    <w:abstractNumId w:val="31"/>
  </w:num>
  <w:num w:numId="24" w16cid:durableId="1075005354">
    <w:abstractNumId w:val="268"/>
  </w:num>
  <w:num w:numId="25" w16cid:durableId="422149752">
    <w:abstractNumId w:val="153"/>
  </w:num>
  <w:num w:numId="26" w16cid:durableId="1939485851">
    <w:abstractNumId w:val="217"/>
  </w:num>
  <w:num w:numId="27" w16cid:durableId="898445800">
    <w:abstractNumId w:val="221"/>
  </w:num>
  <w:num w:numId="28" w16cid:durableId="867838860">
    <w:abstractNumId w:val="76"/>
  </w:num>
  <w:num w:numId="29" w16cid:durableId="1972634727">
    <w:abstractNumId w:val="3"/>
  </w:num>
  <w:num w:numId="30" w16cid:durableId="1039742959">
    <w:abstractNumId w:val="258"/>
  </w:num>
  <w:num w:numId="31" w16cid:durableId="279797235">
    <w:abstractNumId w:val="35"/>
  </w:num>
  <w:num w:numId="32" w16cid:durableId="1085227356">
    <w:abstractNumId w:val="188"/>
  </w:num>
  <w:num w:numId="33" w16cid:durableId="2000572610">
    <w:abstractNumId w:val="167"/>
  </w:num>
  <w:num w:numId="34" w16cid:durableId="1109156888">
    <w:abstractNumId w:val="132"/>
  </w:num>
  <w:num w:numId="35" w16cid:durableId="1268201253">
    <w:abstractNumId w:val="50"/>
  </w:num>
  <w:num w:numId="36" w16cid:durableId="89207122">
    <w:abstractNumId w:val="285"/>
  </w:num>
  <w:num w:numId="37" w16cid:durableId="1692368164">
    <w:abstractNumId w:val="41"/>
  </w:num>
  <w:num w:numId="38" w16cid:durableId="1362822558">
    <w:abstractNumId w:val="122"/>
  </w:num>
  <w:num w:numId="39" w16cid:durableId="752581973">
    <w:abstractNumId w:val="193"/>
    <w:lvlOverride w:ilvl="0">
      <w:lvl w:ilvl="0">
        <w:numFmt w:val="decimal"/>
        <w:lvlText w:val=""/>
        <w:lvlJc w:val="left"/>
      </w:lvl>
    </w:lvlOverride>
    <w:lvlOverride w:ilvl="1">
      <w:lvl w:ilvl="1">
        <w:start w:val="1"/>
        <w:numFmt w:val="decimal"/>
        <w:pStyle w:val="FormTitle"/>
        <w:lvlText w:val="[%2]"/>
        <w:lvlJc w:val="left"/>
        <w:pPr>
          <w:tabs>
            <w:tab w:val="num" w:pos="1134"/>
          </w:tabs>
          <w:ind w:left="1134" w:hanging="774"/>
        </w:pPr>
        <w:rPr>
          <w:rFonts w:hint="default"/>
        </w:rPr>
      </w:lvl>
    </w:lvlOverride>
  </w:num>
  <w:num w:numId="40" w16cid:durableId="396124505">
    <w:abstractNumId w:val="179"/>
  </w:num>
  <w:num w:numId="41" w16cid:durableId="1258323595">
    <w:abstractNumId w:val="7"/>
  </w:num>
  <w:num w:numId="42" w16cid:durableId="135614155">
    <w:abstractNumId w:val="144"/>
  </w:num>
  <w:num w:numId="43" w16cid:durableId="667367115">
    <w:abstractNumId w:val="237"/>
  </w:num>
  <w:num w:numId="44" w16cid:durableId="1830754922">
    <w:abstractNumId w:val="238"/>
  </w:num>
  <w:num w:numId="45" w16cid:durableId="222447650">
    <w:abstractNumId w:val="21"/>
  </w:num>
  <w:num w:numId="46" w16cid:durableId="1431002561">
    <w:abstractNumId w:val="64"/>
  </w:num>
  <w:num w:numId="47" w16cid:durableId="2041008815">
    <w:abstractNumId w:val="277"/>
  </w:num>
  <w:num w:numId="48" w16cid:durableId="1543862128">
    <w:abstractNumId w:val="239"/>
  </w:num>
  <w:num w:numId="49" w16cid:durableId="1225415537">
    <w:abstractNumId w:val="201"/>
  </w:num>
  <w:num w:numId="50" w16cid:durableId="160196685">
    <w:abstractNumId w:val="81"/>
  </w:num>
  <w:num w:numId="51" w16cid:durableId="187724188">
    <w:abstractNumId w:val="111"/>
  </w:num>
  <w:num w:numId="52" w16cid:durableId="1793017849">
    <w:abstractNumId w:val="14"/>
  </w:num>
  <w:num w:numId="53" w16cid:durableId="1315601112">
    <w:abstractNumId w:val="11"/>
  </w:num>
  <w:num w:numId="54" w16cid:durableId="1170675833">
    <w:abstractNumId w:val="123"/>
  </w:num>
  <w:num w:numId="55" w16cid:durableId="1963925551">
    <w:abstractNumId w:val="161"/>
  </w:num>
  <w:num w:numId="56" w16cid:durableId="509030262">
    <w:abstractNumId w:val="172"/>
  </w:num>
  <w:num w:numId="57" w16cid:durableId="1774474256">
    <w:abstractNumId w:val="295"/>
  </w:num>
  <w:num w:numId="58" w16cid:durableId="1419597718">
    <w:abstractNumId w:val="244"/>
  </w:num>
  <w:num w:numId="59" w16cid:durableId="157309762">
    <w:abstractNumId w:val="135"/>
  </w:num>
  <w:num w:numId="60" w16cid:durableId="1843156070">
    <w:abstractNumId w:val="294"/>
  </w:num>
  <w:num w:numId="61" w16cid:durableId="609627868">
    <w:abstractNumId w:val="24"/>
  </w:num>
  <w:num w:numId="62" w16cid:durableId="1379546066">
    <w:abstractNumId w:val="130"/>
  </w:num>
  <w:num w:numId="63" w16cid:durableId="446120911">
    <w:abstractNumId w:val="8"/>
  </w:num>
  <w:num w:numId="64" w16cid:durableId="962924895">
    <w:abstractNumId w:val="107"/>
  </w:num>
  <w:num w:numId="65" w16cid:durableId="128941858">
    <w:abstractNumId w:val="299"/>
  </w:num>
  <w:num w:numId="66" w16cid:durableId="1569077002">
    <w:abstractNumId w:val="236"/>
  </w:num>
  <w:num w:numId="67" w16cid:durableId="1562011690">
    <w:abstractNumId w:val="92"/>
  </w:num>
  <w:num w:numId="68" w16cid:durableId="1040934717">
    <w:abstractNumId w:val="177"/>
  </w:num>
  <w:num w:numId="69" w16cid:durableId="771582970">
    <w:abstractNumId w:val="147"/>
  </w:num>
  <w:num w:numId="70" w16cid:durableId="771238943">
    <w:abstractNumId w:val="183"/>
  </w:num>
  <w:num w:numId="71" w16cid:durableId="2001693041">
    <w:abstractNumId w:val="194"/>
  </w:num>
  <w:num w:numId="72" w16cid:durableId="1543858877">
    <w:abstractNumId w:val="173"/>
  </w:num>
  <w:num w:numId="73" w16cid:durableId="1705640495">
    <w:abstractNumId w:val="106"/>
  </w:num>
  <w:num w:numId="74" w16cid:durableId="15154755">
    <w:abstractNumId w:val="49"/>
  </w:num>
  <w:num w:numId="75" w16cid:durableId="1042166888">
    <w:abstractNumId w:val="38"/>
  </w:num>
  <w:num w:numId="76" w16cid:durableId="414516155">
    <w:abstractNumId w:val="69"/>
  </w:num>
  <w:num w:numId="77" w16cid:durableId="1675186360">
    <w:abstractNumId w:val="28"/>
  </w:num>
  <w:num w:numId="78" w16cid:durableId="241256835">
    <w:abstractNumId w:val="134"/>
  </w:num>
  <w:num w:numId="79" w16cid:durableId="754286211">
    <w:abstractNumId w:val="269"/>
  </w:num>
  <w:num w:numId="80" w16cid:durableId="1476800478">
    <w:abstractNumId w:val="261"/>
  </w:num>
  <w:num w:numId="81" w16cid:durableId="18623483">
    <w:abstractNumId w:val="10"/>
  </w:num>
  <w:num w:numId="82" w16cid:durableId="1507940974">
    <w:abstractNumId w:val="9"/>
  </w:num>
  <w:num w:numId="83" w16cid:durableId="1711567393">
    <w:abstractNumId w:val="164"/>
  </w:num>
  <w:num w:numId="84" w16cid:durableId="157309715">
    <w:abstractNumId w:val="229"/>
  </w:num>
  <w:num w:numId="85" w16cid:durableId="1431509674">
    <w:abstractNumId w:val="290"/>
  </w:num>
  <w:num w:numId="86" w16cid:durableId="1600797938">
    <w:abstractNumId w:val="143"/>
  </w:num>
  <w:num w:numId="87" w16cid:durableId="1278952162">
    <w:abstractNumId w:val="274"/>
  </w:num>
  <w:num w:numId="88" w16cid:durableId="1859928496">
    <w:abstractNumId w:val="255"/>
  </w:num>
  <w:num w:numId="89" w16cid:durableId="610433600">
    <w:abstractNumId w:val="279"/>
  </w:num>
  <w:num w:numId="90" w16cid:durableId="2107380937">
    <w:abstractNumId w:val="227"/>
  </w:num>
  <w:num w:numId="91" w16cid:durableId="1791967859">
    <w:abstractNumId w:val="55"/>
  </w:num>
  <w:num w:numId="92" w16cid:durableId="890573796">
    <w:abstractNumId w:val="171"/>
  </w:num>
  <w:num w:numId="93" w16cid:durableId="600140592">
    <w:abstractNumId w:val="73"/>
  </w:num>
  <w:num w:numId="94" w16cid:durableId="279840340">
    <w:abstractNumId w:val="52"/>
  </w:num>
  <w:num w:numId="95" w16cid:durableId="299264639">
    <w:abstractNumId w:val="223"/>
  </w:num>
  <w:num w:numId="96" w16cid:durableId="630750286">
    <w:abstractNumId w:val="27"/>
  </w:num>
  <w:num w:numId="97" w16cid:durableId="814376497">
    <w:abstractNumId w:val="102"/>
  </w:num>
  <w:num w:numId="98" w16cid:durableId="1494835118">
    <w:abstractNumId w:val="56"/>
  </w:num>
  <w:num w:numId="99" w16cid:durableId="486559350">
    <w:abstractNumId w:val="142"/>
  </w:num>
  <w:num w:numId="100" w16cid:durableId="2123068733">
    <w:abstractNumId w:val="48"/>
  </w:num>
  <w:num w:numId="101" w16cid:durableId="76832336">
    <w:abstractNumId w:val="33"/>
  </w:num>
  <w:num w:numId="102" w16cid:durableId="1702510551">
    <w:abstractNumId w:val="2"/>
  </w:num>
  <w:num w:numId="103" w16cid:durableId="801658954">
    <w:abstractNumId w:val="216"/>
  </w:num>
  <w:num w:numId="104" w16cid:durableId="86388127">
    <w:abstractNumId w:val="108"/>
  </w:num>
  <w:num w:numId="105" w16cid:durableId="34428046">
    <w:abstractNumId w:val="158"/>
  </w:num>
  <w:num w:numId="106" w16cid:durableId="1162046626">
    <w:abstractNumId w:val="26"/>
  </w:num>
  <w:num w:numId="107" w16cid:durableId="132496641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904827283">
    <w:abstractNumId w:val="187"/>
  </w:num>
  <w:num w:numId="109" w16cid:durableId="852954251">
    <w:abstractNumId w:val="205"/>
  </w:num>
  <w:num w:numId="110" w16cid:durableId="358358911">
    <w:abstractNumId w:val="97"/>
  </w:num>
  <w:num w:numId="111" w16cid:durableId="1496920769">
    <w:abstractNumId w:val="42"/>
  </w:num>
  <w:num w:numId="112" w16cid:durableId="1440757538">
    <w:abstractNumId w:val="137"/>
  </w:num>
  <w:num w:numId="113" w16cid:durableId="791439663">
    <w:abstractNumId w:val="149"/>
  </w:num>
  <w:num w:numId="114" w16cid:durableId="1057900707">
    <w:abstractNumId w:val="210"/>
  </w:num>
  <w:num w:numId="115" w16cid:durableId="1882128777">
    <w:abstractNumId w:val="104"/>
  </w:num>
  <w:num w:numId="116" w16cid:durableId="946545609">
    <w:abstractNumId w:val="282"/>
  </w:num>
  <w:num w:numId="117" w16cid:durableId="999966535">
    <w:abstractNumId w:val="146"/>
  </w:num>
  <w:num w:numId="118" w16cid:durableId="1465270124">
    <w:abstractNumId w:val="61"/>
  </w:num>
  <w:num w:numId="119" w16cid:durableId="1573614126">
    <w:abstractNumId w:val="302"/>
  </w:num>
  <w:num w:numId="120" w16cid:durableId="1420131392">
    <w:abstractNumId w:val="45"/>
  </w:num>
  <w:num w:numId="121" w16cid:durableId="2141411924">
    <w:abstractNumId w:val="262"/>
  </w:num>
  <w:num w:numId="122" w16cid:durableId="565992941">
    <w:abstractNumId w:val="39"/>
  </w:num>
  <w:num w:numId="123" w16cid:durableId="1531332807">
    <w:abstractNumId w:val="141"/>
  </w:num>
  <w:num w:numId="124" w16cid:durableId="137766793">
    <w:abstractNumId w:val="287"/>
  </w:num>
  <w:num w:numId="125" w16cid:durableId="1349723367">
    <w:abstractNumId w:val="291"/>
  </w:num>
  <w:num w:numId="126" w16cid:durableId="180702655">
    <w:abstractNumId w:val="212"/>
  </w:num>
  <w:num w:numId="127" w16cid:durableId="1018120562">
    <w:abstractNumId w:val="219"/>
  </w:num>
  <w:num w:numId="128" w16cid:durableId="315038123">
    <w:abstractNumId w:val="60"/>
  </w:num>
  <w:num w:numId="129" w16cid:durableId="2037924427">
    <w:abstractNumId w:val="169"/>
  </w:num>
  <w:num w:numId="130" w16cid:durableId="2047899585">
    <w:abstractNumId w:val="125"/>
  </w:num>
  <w:num w:numId="131" w16cid:durableId="155653308">
    <w:abstractNumId w:val="22"/>
  </w:num>
  <w:num w:numId="132" w16cid:durableId="2050915924">
    <w:abstractNumId w:val="58"/>
  </w:num>
  <w:num w:numId="133" w16cid:durableId="618024021">
    <w:abstractNumId w:val="17"/>
  </w:num>
  <w:num w:numId="134" w16cid:durableId="555748240">
    <w:abstractNumId w:val="267"/>
  </w:num>
  <w:num w:numId="135" w16cid:durableId="778137035">
    <w:abstractNumId w:val="20"/>
  </w:num>
  <w:num w:numId="136" w16cid:durableId="1685131230">
    <w:abstractNumId w:val="29"/>
  </w:num>
  <w:num w:numId="137" w16cid:durableId="645547304">
    <w:abstractNumId w:val="233"/>
  </w:num>
  <w:num w:numId="138" w16cid:durableId="1676110167">
    <w:abstractNumId w:val="86"/>
  </w:num>
  <w:num w:numId="139" w16cid:durableId="73547793">
    <w:abstractNumId w:val="51"/>
  </w:num>
  <w:num w:numId="140" w16cid:durableId="191041754">
    <w:abstractNumId w:val="185"/>
  </w:num>
  <w:num w:numId="141" w16cid:durableId="1165558764">
    <w:abstractNumId w:val="68"/>
  </w:num>
  <w:num w:numId="142" w16cid:durableId="1985350456">
    <w:abstractNumId w:val="163"/>
  </w:num>
  <w:num w:numId="143" w16cid:durableId="1535121125">
    <w:abstractNumId w:val="245"/>
  </w:num>
  <w:num w:numId="144" w16cid:durableId="2103597899">
    <w:abstractNumId w:val="176"/>
  </w:num>
  <w:num w:numId="145" w16cid:durableId="19212192">
    <w:abstractNumId w:val="34"/>
  </w:num>
  <w:num w:numId="146" w16cid:durableId="1141386716">
    <w:abstractNumId w:val="63"/>
  </w:num>
  <w:num w:numId="147" w16cid:durableId="74978147">
    <w:abstractNumId w:val="288"/>
  </w:num>
  <w:num w:numId="148" w16cid:durableId="1290015979">
    <w:abstractNumId w:val="79"/>
  </w:num>
  <w:num w:numId="149" w16cid:durableId="62533120">
    <w:abstractNumId w:val="89"/>
  </w:num>
  <w:num w:numId="150" w16cid:durableId="578099231">
    <w:abstractNumId w:val="44"/>
  </w:num>
  <w:num w:numId="151" w16cid:durableId="85153372">
    <w:abstractNumId w:val="293"/>
  </w:num>
  <w:num w:numId="152" w16cid:durableId="925655648">
    <w:abstractNumId w:val="263"/>
  </w:num>
  <w:num w:numId="153" w16cid:durableId="598177288">
    <w:abstractNumId w:val="220"/>
  </w:num>
  <w:num w:numId="154" w16cid:durableId="1231840956">
    <w:abstractNumId w:val="37"/>
  </w:num>
  <w:num w:numId="155" w16cid:durableId="1459909604">
    <w:abstractNumId w:val="96"/>
  </w:num>
  <w:num w:numId="156" w16cid:durableId="444617108">
    <w:abstractNumId w:val="84"/>
  </w:num>
  <w:num w:numId="157" w16cid:durableId="1985425312">
    <w:abstractNumId w:val="112"/>
  </w:num>
  <w:num w:numId="158" w16cid:durableId="1006251421">
    <w:abstractNumId w:val="18"/>
  </w:num>
  <w:num w:numId="159" w16cid:durableId="386607504">
    <w:abstractNumId w:val="129"/>
  </w:num>
  <w:num w:numId="160" w16cid:durableId="2024088536">
    <w:abstractNumId w:val="66"/>
  </w:num>
  <w:num w:numId="161" w16cid:durableId="1404991023">
    <w:abstractNumId w:val="204"/>
  </w:num>
  <w:num w:numId="162" w16cid:durableId="1707608443">
    <w:abstractNumId w:val="228"/>
  </w:num>
  <w:num w:numId="163" w16cid:durableId="391512192">
    <w:abstractNumId w:val="224"/>
  </w:num>
  <w:num w:numId="164" w16cid:durableId="306085814">
    <w:abstractNumId w:val="131"/>
  </w:num>
  <w:num w:numId="165" w16cid:durableId="903880171">
    <w:abstractNumId w:val="12"/>
  </w:num>
  <w:num w:numId="166" w16cid:durableId="1067071293">
    <w:abstractNumId w:val="119"/>
  </w:num>
  <w:num w:numId="167" w16cid:durableId="419525483">
    <w:abstractNumId w:val="200"/>
  </w:num>
  <w:num w:numId="168" w16cid:durableId="603070733">
    <w:abstractNumId w:val="128"/>
  </w:num>
  <w:num w:numId="169" w16cid:durableId="1203441676">
    <w:abstractNumId w:val="181"/>
  </w:num>
  <w:num w:numId="170" w16cid:durableId="1217859119">
    <w:abstractNumId w:val="57"/>
  </w:num>
  <w:num w:numId="171" w16cid:durableId="1913732288">
    <w:abstractNumId w:val="91"/>
  </w:num>
  <w:num w:numId="172" w16cid:durableId="914827225">
    <w:abstractNumId w:val="54"/>
  </w:num>
  <w:num w:numId="173" w16cid:durableId="74404695">
    <w:abstractNumId w:val="115"/>
  </w:num>
  <w:num w:numId="174" w16cid:durableId="2066832992">
    <w:abstractNumId w:val="74"/>
  </w:num>
  <w:num w:numId="175" w16cid:durableId="1080099966">
    <w:abstractNumId w:val="192"/>
  </w:num>
  <w:num w:numId="176" w16cid:durableId="2014526183">
    <w:abstractNumId w:val="289"/>
  </w:num>
  <w:num w:numId="177" w16cid:durableId="1900553556">
    <w:abstractNumId w:val="43"/>
  </w:num>
  <w:num w:numId="178" w16cid:durableId="60956384">
    <w:abstractNumId w:val="114"/>
  </w:num>
  <w:num w:numId="179" w16cid:durableId="1408376650">
    <w:abstractNumId w:val="278"/>
  </w:num>
  <w:num w:numId="180" w16cid:durableId="77792603">
    <w:abstractNumId w:val="246"/>
  </w:num>
  <w:num w:numId="181" w16cid:durableId="1055081124">
    <w:abstractNumId w:val="88"/>
  </w:num>
  <w:num w:numId="182" w16cid:durableId="996033778">
    <w:abstractNumId w:val="235"/>
  </w:num>
  <w:num w:numId="183" w16cid:durableId="1325279590">
    <w:abstractNumId w:val="121"/>
  </w:num>
  <w:num w:numId="184" w16cid:durableId="1560945178">
    <w:abstractNumId w:val="271"/>
  </w:num>
  <w:num w:numId="185" w16cid:durableId="1476145236">
    <w:abstractNumId w:val="98"/>
  </w:num>
  <w:num w:numId="186" w16cid:durableId="204415500">
    <w:abstractNumId w:val="197"/>
  </w:num>
  <w:num w:numId="187" w16cid:durableId="1379427639">
    <w:abstractNumId w:val="247"/>
  </w:num>
  <w:num w:numId="188" w16cid:durableId="1485655989">
    <w:abstractNumId w:val="25"/>
  </w:num>
  <w:num w:numId="189" w16cid:durableId="1093477874">
    <w:abstractNumId w:val="19"/>
  </w:num>
  <w:num w:numId="190" w16cid:durableId="222637856">
    <w:abstractNumId w:val="272"/>
  </w:num>
  <w:num w:numId="191" w16cid:durableId="373624390">
    <w:abstractNumId w:val="133"/>
  </w:num>
  <w:num w:numId="192" w16cid:durableId="1010331337">
    <w:abstractNumId w:val="174"/>
  </w:num>
  <w:num w:numId="193" w16cid:durableId="1368483858">
    <w:abstractNumId w:val="275"/>
  </w:num>
  <w:num w:numId="194" w16cid:durableId="1024862462">
    <w:abstractNumId w:val="203"/>
  </w:num>
  <w:num w:numId="195" w16cid:durableId="987594226">
    <w:abstractNumId w:val="160"/>
  </w:num>
  <w:num w:numId="196" w16cid:durableId="502866790">
    <w:abstractNumId w:val="234"/>
  </w:num>
  <w:num w:numId="197" w16cid:durableId="1258175707">
    <w:abstractNumId w:val="40"/>
  </w:num>
  <w:num w:numId="198" w16cid:durableId="352652582">
    <w:abstractNumId w:val="80"/>
  </w:num>
  <w:num w:numId="199" w16cid:durableId="2017801247">
    <w:abstractNumId w:val="16"/>
  </w:num>
  <w:num w:numId="200" w16cid:durableId="1507281149">
    <w:abstractNumId w:val="180"/>
  </w:num>
  <w:num w:numId="201" w16cid:durableId="1949700917">
    <w:abstractNumId w:val="242"/>
  </w:num>
  <w:num w:numId="202" w16cid:durableId="1076709291">
    <w:abstractNumId w:val="186"/>
  </w:num>
  <w:num w:numId="203" w16cid:durableId="1962568296">
    <w:abstractNumId w:val="241"/>
  </w:num>
  <w:num w:numId="204" w16cid:durableId="1738700111">
    <w:abstractNumId w:val="139"/>
  </w:num>
  <w:num w:numId="205" w16cid:durableId="790897149">
    <w:abstractNumId w:val="85"/>
  </w:num>
  <w:num w:numId="206" w16cid:durableId="1032923048">
    <w:abstractNumId w:val="178"/>
  </w:num>
  <w:num w:numId="207" w16cid:durableId="1847212086">
    <w:abstractNumId w:val="118"/>
  </w:num>
  <w:num w:numId="208" w16cid:durableId="1602180320">
    <w:abstractNumId w:val="256"/>
  </w:num>
  <w:num w:numId="209" w16cid:durableId="1854495016">
    <w:abstractNumId w:val="251"/>
  </w:num>
  <w:num w:numId="210" w16cid:durableId="458380483">
    <w:abstractNumId w:val="62"/>
  </w:num>
  <w:num w:numId="211" w16cid:durableId="1694306167">
    <w:abstractNumId w:val="101"/>
  </w:num>
  <w:num w:numId="212" w16cid:durableId="79107914">
    <w:abstractNumId w:val="191"/>
  </w:num>
  <w:num w:numId="213" w16cid:durableId="337970281">
    <w:abstractNumId w:val="154"/>
  </w:num>
  <w:num w:numId="214" w16cid:durableId="879632821">
    <w:abstractNumId w:val="189"/>
  </w:num>
  <w:num w:numId="215" w16cid:durableId="1140920482">
    <w:abstractNumId w:val="257"/>
  </w:num>
  <w:num w:numId="216" w16cid:durableId="1242719454">
    <w:abstractNumId w:val="208"/>
  </w:num>
  <w:num w:numId="217" w16cid:durableId="1010377172">
    <w:abstractNumId w:val="93"/>
  </w:num>
  <w:num w:numId="218" w16cid:durableId="1002858037">
    <w:abstractNumId w:val="100"/>
  </w:num>
  <w:num w:numId="219" w16cid:durableId="807939104">
    <w:abstractNumId w:val="215"/>
  </w:num>
  <w:num w:numId="220" w16cid:durableId="1437560798">
    <w:abstractNumId w:val="32"/>
  </w:num>
  <w:num w:numId="221" w16cid:durableId="108403083">
    <w:abstractNumId w:val="124"/>
  </w:num>
  <w:num w:numId="222" w16cid:durableId="460878477">
    <w:abstractNumId w:val="150"/>
  </w:num>
  <w:num w:numId="223" w16cid:durableId="122163616">
    <w:abstractNumId w:val="170"/>
  </w:num>
  <w:num w:numId="224" w16cid:durableId="881287451">
    <w:abstractNumId w:val="152"/>
  </w:num>
  <w:num w:numId="225" w16cid:durableId="1657881007">
    <w:abstractNumId w:val="126"/>
  </w:num>
  <w:num w:numId="226" w16cid:durableId="1575242654">
    <w:abstractNumId w:val="77"/>
  </w:num>
  <w:num w:numId="227" w16cid:durableId="1227257015">
    <w:abstractNumId w:val="214"/>
  </w:num>
  <w:num w:numId="228" w16cid:durableId="1962953693">
    <w:abstractNumId w:val="252"/>
  </w:num>
  <w:num w:numId="229" w16cid:durableId="1432897888">
    <w:abstractNumId w:val="209"/>
  </w:num>
  <w:num w:numId="230" w16cid:durableId="2102528818">
    <w:abstractNumId w:val="90"/>
  </w:num>
  <w:num w:numId="231" w16cid:durableId="1931502723">
    <w:abstractNumId w:val="281"/>
  </w:num>
  <w:num w:numId="232" w16cid:durableId="2139103744">
    <w:abstractNumId w:val="59"/>
  </w:num>
  <w:num w:numId="233" w16cid:durableId="62144342">
    <w:abstractNumId w:val="248"/>
  </w:num>
  <w:num w:numId="234" w16cid:durableId="1321468325">
    <w:abstractNumId w:val="156"/>
  </w:num>
  <w:num w:numId="235" w16cid:durableId="549417273">
    <w:abstractNumId w:val="87"/>
  </w:num>
  <w:num w:numId="236" w16cid:durableId="944117040">
    <w:abstractNumId w:val="94"/>
  </w:num>
  <w:num w:numId="237" w16cid:durableId="94637276">
    <w:abstractNumId w:val="15"/>
  </w:num>
  <w:num w:numId="238" w16cid:durableId="581330704">
    <w:abstractNumId w:val="270"/>
  </w:num>
  <w:num w:numId="239" w16cid:durableId="326444607">
    <w:abstractNumId w:val="140"/>
  </w:num>
  <w:num w:numId="240" w16cid:durableId="1560097231">
    <w:abstractNumId w:val="175"/>
  </w:num>
  <w:num w:numId="241" w16cid:durableId="1834371249">
    <w:abstractNumId w:val="71"/>
  </w:num>
  <w:num w:numId="242" w16cid:durableId="949776646">
    <w:abstractNumId w:val="95"/>
  </w:num>
  <w:num w:numId="243" w16cid:durableId="1351833380">
    <w:abstractNumId w:val="145"/>
  </w:num>
  <w:num w:numId="244" w16cid:durableId="1312170243">
    <w:abstractNumId w:val="47"/>
  </w:num>
  <w:num w:numId="245" w16cid:durableId="1809198273">
    <w:abstractNumId w:val="301"/>
  </w:num>
  <w:num w:numId="246" w16cid:durableId="1023871291">
    <w:abstractNumId w:val="5"/>
  </w:num>
  <w:num w:numId="247" w16cid:durableId="1829588112">
    <w:abstractNumId w:val="230"/>
  </w:num>
  <w:num w:numId="248" w16cid:durableId="1370035716">
    <w:abstractNumId w:val="249"/>
  </w:num>
  <w:num w:numId="249" w16cid:durableId="1372342901">
    <w:abstractNumId w:val="46"/>
  </w:num>
  <w:num w:numId="250" w16cid:durableId="1479613979">
    <w:abstractNumId w:val="67"/>
  </w:num>
  <w:num w:numId="251" w16cid:durableId="1486314765">
    <w:abstractNumId w:val="105"/>
  </w:num>
  <w:num w:numId="252" w16cid:durableId="873157724">
    <w:abstractNumId w:val="286"/>
  </w:num>
  <w:num w:numId="253" w16cid:durableId="2014724751">
    <w:abstractNumId w:val="254"/>
  </w:num>
  <w:num w:numId="254" w16cid:durableId="211967448">
    <w:abstractNumId w:val="165"/>
  </w:num>
  <w:num w:numId="255" w16cid:durableId="287664185">
    <w:abstractNumId w:val="264"/>
  </w:num>
  <w:num w:numId="256" w16cid:durableId="551385224">
    <w:abstractNumId w:val="300"/>
  </w:num>
  <w:num w:numId="257" w16cid:durableId="2033914374">
    <w:abstractNumId w:val="222"/>
  </w:num>
  <w:num w:numId="258" w16cid:durableId="1286275743">
    <w:abstractNumId w:val="199"/>
  </w:num>
  <w:num w:numId="259" w16cid:durableId="235405616">
    <w:abstractNumId w:val="226"/>
  </w:num>
  <w:num w:numId="260" w16cid:durableId="984511851">
    <w:abstractNumId w:val="259"/>
  </w:num>
  <w:num w:numId="261" w16cid:durableId="1235975189">
    <w:abstractNumId w:val="82"/>
  </w:num>
  <w:num w:numId="262" w16cid:durableId="1877889779">
    <w:abstractNumId w:val="53"/>
  </w:num>
  <w:num w:numId="263" w16cid:durableId="1971127398">
    <w:abstractNumId w:val="148"/>
  </w:num>
  <w:num w:numId="264" w16cid:durableId="1626086385">
    <w:abstractNumId w:val="6"/>
  </w:num>
  <w:num w:numId="265" w16cid:durableId="1940604391">
    <w:abstractNumId w:val="297"/>
  </w:num>
  <w:num w:numId="266" w16cid:durableId="2006471226">
    <w:abstractNumId w:val="284"/>
  </w:num>
  <w:num w:numId="267" w16cid:durableId="1234899465">
    <w:abstractNumId w:val="231"/>
  </w:num>
  <w:num w:numId="268" w16cid:durableId="97070989">
    <w:abstractNumId w:val="253"/>
  </w:num>
  <w:num w:numId="269" w16cid:durableId="1518737618">
    <w:abstractNumId w:val="103"/>
  </w:num>
  <w:num w:numId="270" w16cid:durableId="1295332921">
    <w:abstractNumId w:val="127"/>
  </w:num>
  <w:num w:numId="271" w16cid:durableId="743642947">
    <w:abstractNumId w:val="273"/>
  </w:num>
  <w:num w:numId="272" w16cid:durableId="2119522085">
    <w:abstractNumId w:val="202"/>
  </w:num>
  <w:num w:numId="273" w16cid:durableId="1272317043">
    <w:abstractNumId w:val="292"/>
  </w:num>
  <w:num w:numId="274" w16cid:durableId="142083272">
    <w:abstractNumId w:val="75"/>
  </w:num>
  <w:num w:numId="275" w16cid:durableId="987325683">
    <w:abstractNumId w:val="280"/>
  </w:num>
  <w:num w:numId="276" w16cid:durableId="1231190042">
    <w:abstractNumId w:val="265"/>
  </w:num>
  <w:num w:numId="277" w16cid:durableId="804198576">
    <w:abstractNumId w:val="232"/>
  </w:num>
  <w:num w:numId="278" w16cid:durableId="1097871743">
    <w:abstractNumId w:val="166"/>
  </w:num>
  <w:num w:numId="279" w16cid:durableId="1463814584">
    <w:abstractNumId w:val="162"/>
  </w:num>
  <w:num w:numId="280" w16cid:durableId="1521121162">
    <w:abstractNumId w:val="296"/>
  </w:num>
  <w:num w:numId="281" w16cid:durableId="797186650">
    <w:abstractNumId w:val="138"/>
  </w:num>
  <w:num w:numId="282" w16cid:durableId="1410224617">
    <w:abstractNumId w:val="72"/>
  </w:num>
  <w:num w:numId="283" w16cid:durableId="1003824393">
    <w:abstractNumId w:val="266"/>
  </w:num>
  <w:num w:numId="284" w16cid:durableId="1057120830">
    <w:abstractNumId w:val="99"/>
  </w:num>
  <w:num w:numId="285" w16cid:durableId="126555155">
    <w:abstractNumId w:val="120"/>
  </w:num>
  <w:num w:numId="286" w16cid:durableId="2080135439">
    <w:abstractNumId w:val="196"/>
  </w:num>
  <w:num w:numId="287" w16cid:durableId="1846163517">
    <w:abstractNumId w:val="206"/>
  </w:num>
  <w:num w:numId="288" w16cid:durableId="905383311">
    <w:abstractNumId w:val="250"/>
  </w:num>
  <w:num w:numId="289" w16cid:durableId="1360009136">
    <w:abstractNumId w:val="218"/>
  </w:num>
  <w:num w:numId="290" w16cid:durableId="1507936068">
    <w:abstractNumId w:val="109"/>
  </w:num>
  <w:num w:numId="291" w16cid:durableId="639767847">
    <w:abstractNumId w:val="78"/>
  </w:num>
  <w:num w:numId="292" w16cid:durableId="334380391">
    <w:abstractNumId w:val="207"/>
  </w:num>
  <w:num w:numId="293" w16cid:durableId="234246591">
    <w:abstractNumId w:val="225"/>
  </w:num>
  <w:num w:numId="294" w16cid:durableId="1964580170">
    <w:abstractNumId w:val="65"/>
  </w:num>
  <w:num w:numId="295" w16cid:durableId="1823155112">
    <w:abstractNumId w:val="198"/>
  </w:num>
  <w:num w:numId="296" w16cid:durableId="1427340218">
    <w:abstractNumId w:val="4"/>
  </w:num>
  <w:num w:numId="297" w16cid:durableId="1983339169">
    <w:abstractNumId w:val="283"/>
  </w:num>
  <w:num w:numId="298" w16cid:durableId="898442799">
    <w:abstractNumId w:val="151"/>
  </w:num>
  <w:num w:numId="299" w16cid:durableId="1092511284">
    <w:abstractNumId w:val="23"/>
  </w:num>
  <w:num w:numId="300" w16cid:durableId="1733112940">
    <w:abstractNumId w:val="260"/>
  </w:num>
  <w:num w:numId="301" w16cid:durableId="1293049978">
    <w:abstractNumId w:val="182"/>
  </w:num>
  <w:num w:numId="302" w16cid:durableId="518541800">
    <w:abstractNumId w:val="159"/>
  </w:num>
  <w:numIdMacAtCleanup w:val="3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4"/>
  <w:hyphenationZone w:val="425"/>
  <w:drawingGridHorizontalSpacing w:val="110"/>
  <w:displayHorizontalDrawingGridEvery w:val="2"/>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8F4"/>
    <w:rsid w:val="0000081A"/>
    <w:rsid w:val="00000874"/>
    <w:rsid w:val="00000BBC"/>
    <w:rsid w:val="00000F15"/>
    <w:rsid w:val="00002127"/>
    <w:rsid w:val="000025A8"/>
    <w:rsid w:val="000026ED"/>
    <w:rsid w:val="000031BA"/>
    <w:rsid w:val="00003536"/>
    <w:rsid w:val="00003AD9"/>
    <w:rsid w:val="00003E66"/>
    <w:rsid w:val="00004DA4"/>
    <w:rsid w:val="00004EFF"/>
    <w:rsid w:val="0000526C"/>
    <w:rsid w:val="00005492"/>
    <w:rsid w:val="000055CC"/>
    <w:rsid w:val="00005651"/>
    <w:rsid w:val="000056C2"/>
    <w:rsid w:val="000058B0"/>
    <w:rsid w:val="00005D56"/>
    <w:rsid w:val="00006049"/>
    <w:rsid w:val="00006081"/>
    <w:rsid w:val="0000612E"/>
    <w:rsid w:val="0000643F"/>
    <w:rsid w:val="00006452"/>
    <w:rsid w:val="0000652F"/>
    <w:rsid w:val="00006711"/>
    <w:rsid w:val="000069D7"/>
    <w:rsid w:val="00006F5E"/>
    <w:rsid w:val="00007A2F"/>
    <w:rsid w:val="00007D8E"/>
    <w:rsid w:val="00007F1F"/>
    <w:rsid w:val="00010162"/>
    <w:rsid w:val="00010360"/>
    <w:rsid w:val="0001046C"/>
    <w:rsid w:val="0001061C"/>
    <w:rsid w:val="00010841"/>
    <w:rsid w:val="00010B39"/>
    <w:rsid w:val="00010FF6"/>
    <w:rsid w:val="00011423"/>
    <w:rsid w:val="00011839"/>
    <w:rsid w:val="000119F2"/>
    <w:rsid w:val="00011D3B"/>
    <w:rsid w:val="00011F81"/>
    <w:rsid w:val="00012196"/>
    <w:rsid w:val="000128B2"/>
    <w:rsid w:val="000130CC"/>
    <w:rsid w:val="0001340B"/>
    <w:rsid w:val="00013637"/>
    <w:rsid w:val="0001366B"/>
    <w:rsid w:val="00013FD9"/>
    <w:rsid w:val="00014587"/>
    <w:rsid w:val="00014727"/>
    <w:rsid w:val="00015804"/>
    <w:rsid w:val="00015851"/>
    <w:rsid w:val="00016123"/>
    <w:rsid w:val="000162DE"/>
    <w:rsid w:val="000166CC"/>
    <w:rsid w:val="000167F2"/>
    <w:rsid w:val="000171B9"/>
    <w:rsid w:val="00017A53"/>
    <w:rsid w:val="00017B53"/>
    <w:rsid w:val="00017B72"/>
    <w:rsid w:val="000205AA"/>
    <w:rsid w:val="00020BE4"/>
    <w:rsid w:val="0002155B"/>
    <w:rsid w:val="00021DFF"/>
    <w:rsid w:val="00021E22"/>
    <w:rsid w:val="00021F12"/>
    <w:rsid w:val="0002218D"/>
    <w:rsid w:val="0002268F"/>
    <w:rsid w:val="00022B57"/>
    <w:rsid w:val="00023DE0"/>
    <w:rsid w:val="00024546"/>
    <w:rsid w:val="00024761"/>
    <w:rsid w:val="00024A07"/>
    <w:rsid w:val="00024B90"/>
    <w:rsid w:val="00024C1A"/>
    <w:rsid w:val="000251AB"/>
    <w:rsid w:val="000257F7"/>
    <w:rsid w:val="00025B7F"/>
    <w:rsid w:val="00025E73"/>
    <w:rsid w:val="0002608A"/>
    <w:rsid w:val="000268EB"/>
    <w:rsid w:val="00026C3E"/>
    <w:rsid w:val="000275A2"/>
    <w:rsid w:val="00027E44"/>
    <w:rsid w:val="00027F10"/>
    <w:rsid w:val="0003120B"/>
    <w:rsid w:val="000319B0"/>
    <w:rsid w:val="00032156"/>
    <w:rsid w:val="00032841"/>
    <w:rsid w:val="00032A31"/>
    <w:rsid w:val="00032A3B"/>
    <w:rsid w:val="00032E4F"/>
    <w:rsid w:val="00033585"/>
    <w:rsid w:val="000338A7"/>
    <w:rsid w:val="000338D2"/>
    <w:rsid w:val="00033D8B"/>
    <w:rsid w:val="0003445C"/>
    <w:rsid w:val="00034D54"/>
    <w:rsid w:val="00034EA0"/>
    <w:rsid w:val="00035654"/>
    <w:rsid w:val="000358C0"/>
    <w:rsid w:val="0003648F"/>
    <w:rsid w:val="000372EC"/>
    <w:rsid w:val="000378D7"/>
    <w:rsid w:val="00037AD6"/>
    <w:rsid w:val="00037AFA"/>
    <w:rsid w:val="000400DD"/>
    <w:rsid w:val="000401ED"/>
    <w:rsid w:val="000404AE"/>
    <w:rsid w:val="00040651"/>
    <w:rsid w:val="00040968"/>
    <w:rsid w:val="00040E12"/>
    <w:rsid w:val="00041FED"/>
    <w:rsid w:val="0004305E"/>
    <w:rsid w:val="00043086"/>
    <w:rsid w:val="00043632"/>
    <w:rsid w:val="00043DC6"/>
    <w:rsid w:val="00044820"/>
    <w:rsid w:val="000449B8"/>
    <w:rsid w:val="000449E9"/>
    <w:rsid w:val="00044A06"/>
    <w:rsid w:val="00044D50"/>
    <w:rsid w:val="000456B6"/>
    <w:rsid w:val="00045AE0"/>
    <w:rsid w:val="00046129"/>
    <w:rsid w:val="00046BA5"/>
    <w:rsid w:val="00047212"/>
    <w:rsid w:val="0004764A"/>
    <w:rsid w:val="000477D8"/>
    <w:rsid w:val="00047BDF"/>
    <w:rsid w:val="00047C5F"/>
    <w:rsid w:val="000501CD"/>
    <w:rsid w:val="00050C9C"/>
    <w:rsid w:val="000513B7"/>
    <w:rsid w:val="00051F54"/>
    <w:rsid w:val="00052145"/>
    <w:rsid w:val="0005315A"/>
    <w:rsid w:val="0005325F"/>
    <w:rsid w:val="000533C7"/>
    <w:rsid w:val="000534D6"/>
    <w:rsid w:val="00053BDE"/>
    <w:rsid w:val="00053E3B"/>
    <w:rsid w:val="000543AA"/>
    <w:rsid w:val="00054907"/>
    <w:rsid w:val="00054DD4"/>
    <w:rsid w:val="0005570C"/>
    <w:rsid w:val="000557D4"/>
    <w:rsid w:val="00055B5F"/>
    <w:rsid w:val="00055B93"/>
    <w:rsid w:val="00055CA9"/>
    <w:rsid w:val="000569A7"/>
    <w:rsid w:val="00056E1B"/>
    <w:rsid w:val="00056F5C"/>
    <w:rsid w:val="000573D0"/>
    <w:rsid w:val="000573FA"/>
    <w:rsid w:val="000575C8"/>
    <w:rsid w:val="00057B65"/>
    <w:rsid w:val="00057DCB"/>
    <w:rsid w:val="00057E3F"/>
    <w:rsid w:val="00060A4A"/>
    <w:rsid w:val="00060BAD"/>
    <w:rsid w:val="00060C59"/>
    <w:rsid w:val="00060E70"/>
    <w:rsid w:val="00061306"/>
    <w:rsid w:val="000614AB"/>
    <w:rsid w:val="000616BA"/>
    <w:rsid w:val="00062020"/>
    <w:rsid w:val="00062205"/>
    <w:rsid w:val="0006257B"/>
    <w:rsid w:val="000625AB"/>
    <w:rsid w:val="00062894"/>
    <w:rsid w:val="00062976"/>
    <w:rsid w:val="00063616"/>
    <w:rsid w:val="000649FE"/>
    <w:rsid w:val="00064FD4"/>
    <w:rsid w:val="000653B9"/>
    <w:rsid w:val="00065BA5"/>
    <w:rsid w:val="0006609B"/>
    <w:rsid w:val="000666EE"/>
    <w:rsid w:val="00066A4E"/>
    <w:rsid w:val="00066EBB"/>
    <w:rsid w:val="000671D7"/>
    <w:rsid w:val="0006789E"/>
    <w:rsid w:val="00067D82"/>
    <w:rsid w:val="000700CD"/>
    <w:rsid w:val="00070458"/>
    <w:rsid w:val="00070C2F"/>
    <w:rsid w:val="00070C41"/>
    <w:rsid w:val="0007171C"/>
    <w:rsid w:val="00071DAE"/>
    <w:rsid w:val="00071E0B"/>
    <w:rsid w:val="00071E39"/>
    <w:rsid w:val="000720DA"/>
    <w:rsid w:val="00072FFF"/>
    <w:rsid w:val="000730F6"/>
    <w:rsid w:val="000735AD"/>
    <w:rsid w:val="00073843"/>
    <w:rsid w:val="000743D5"/>
    <w:rsid w:val="000747B0"/>
    <w:rsid w:val="0007499E"/>
    <w:rsid w:val="000752D2"/>
    <w:rsid w:val="000755AC"/>
    <w:rsid w:val="000758E2"/>
    <w:rsid w:val="00075A6C"/>
    <w:rsid w:val="00075ACE"/>
    <w:rsid w:val="00075BAC"/>
    <w:rsid w:val="00075C06"/>
    <w:rsid w:val="00075DD8"/>
    <w:rsid w:val="00076695"/>
    <w:rsid w:val="00076C84"/>
    <w:rsid w:val="00076D1B"/>
    <w:rsid w:val="000775A3"/>
    <w:rsid w:val="00077718"/>
    <w:rsid w:val="00077A3D"/>
    <w:rsid w:val="00077FC5"/>
    <w:rsid w:val="00077FFB"/>
    <w:rsid w:val="0008072E"/>
    <w:rsid w:val="00080898"/>
    <w:rsid w:val="000808B4"/>
    <w:rsid w:val="000817E8"/>
    <w:rsid w:val="00081A36"/>
    <w:rsid w:val="00082A2D"/>
    <w:rsid w:val="00082FED"/>
    <w:rsid w:val="000831B5"/>
    <w:rsid w:val="000834A3"/>
    <w:rsid w:val="00083524"/>
    <w:rsid w:val="00083A92"/>
    <w:rsid w:val="00083C36"/>
    <w:rsid w:val="00083D15"/>
    <w:rsid w:val="00084759"/>
    <w:rsid w:val="000848D7"/>
    <w:rsid w:val="00084B52"/>
    <w:rsid w:val="00084C63"/>
    <w:rsid w:val="00085120"/>
    <w:rsid w:val="000868DB"/>
    <w:rsid w:val="00086EE6"/>
    <w:rsid w:val="0008766B"/>
    <w:rsid w:val="00087720"/>
    <w:rsid w:val="00087A26"/>
    <w:rsid w:val="00087C01"/>
    <w:rsid w:val="00087F32"/>
    <w:rsid w:val="000900B8"/>
    <w:rsid w:val="000905B2"/>
    <w:rsid w:val="00090666"/>
    <w:rsid w:val="00090A90"/>
    <w:rsid w:val="00090AC1"/>
    <w:rsid w:val="00091736"/>
    <w:rsid w:val="000917E3"/>
    <w:rsid w:val="00091ADB"/>
    <w:rsid w:val="0009234C"/>
    <w:rsid w:val="000924B5"/>
    <w:rsid w:val="000929BB"/>
    <w:rsid w:val="00092A9D"/>
    <w:rsid w:val="000930BE"/>
    <w:rsid w:val="000931A7"/>
    <w:rsid w:val="000935FD"/>
    <w:rsid w:val="00093E44"/>
    <w:rsid w:val="0009405B"/>
    <w:rsid w:val="000948BF"/>
    <w:rsid w:val="00094D06"/>
    <w:rsid w:val="00095174"/>
    <w:rsid w:val="000951FF"/>
    <w:rsid w:val="00095D50"/>
    <w:rsid w:val="00095E87"/>
    <w:rsid w:val="0009601C"/>
    <w:rsid w:val="0009640D"/>
    <w:rsid w:val="0009654F"/>
    <w:rsid w:val="00096EAC"/>
    <w:rsid w:val="00096F4B"/>
    <w:rsid w:val="00097762"/>
    <w:rsid w:val="00097778"/>
    <w:rsid w:val="000A00EC"/>
    <w:rsid w:val="000A12EC"/>
    <w:rsid w:val="000A1963"/>
    <w:rsid w:val="000A230E"/>
    <w:rsid w:val="000A2B4D"/>
    <w:rsid w:val="000A2BDB"/>
    <w:rsid w:val="000A378C"/>
    <w:rsid w:val="000A3E3B"/>
    <w:rsid w:val="000A4446"/>
    <w:rsid w:val="000A4ABE"/>
    <w:rsid w:val="000A4BDB"/>
    <w:rsid w:val="000A4BE2"/>
    <w:rsid w:val="000A5071"/>
    <w:rsid w:val="000A5DC6"/>
    <w:rsid w:val="000A68E8"/>
    <w:rsid w:val="000A6A21"/>
    <w:rsid w:val="000A742D"/>
    <w:rsid w:val="000A7E24"/>
    <w:rsid w:val="000A7F1B"/>
    <w:rsid w:val="000B0559"/>
    <w:rsid w:val="000B08CC"/>
    <w:rsid w:val="000B14C0"/>
    <w:rsid w:val="000B17E9"/>
    <w:rsid w:val="000B1C85"/>
    <w:rsid w:val="000B2118"/>
    <w:rsid w:val="000B22CA"/>
    <w:rsid w:val="000B2CFA"/>
    <w:rsid w:val="000B2D32"/>
    <w:rsid w:val="000B34CB"/>
    <w:rsid w:val="000B3BB3"/>
    <w:rsid w:val="000B3CAE"/>
    <w:rsid w:val="000B429C"/>
    <w:rsid w:val="000B4D97"/>
    <w:rsid w:val="000B4EE8"/>
    <w:rsid w:val="000B508D"/>
    <w:rsid w:val="000B5CB2"/>
    <w:rsid w:val="000B5EC0"/>
    <w:rsid w:val="000B65D7"/>
    <w:rsid w:val="000B6972"/>
    <w:rsid w:val="000B6B85"/>
    <w:rsid w:val="000B7772"/>
    <w:rsid w:val="000B7AA4"/>
    <w:rsid w:val="000C065F"/>
    <w:rsid w:val="000C0E20"/>
    <w:rsid w:val="000C1114"/>
    <w:rsid w:val="000C11F1"/>
    <w:rsid w:val="000C1531"/>
    <w:rsid w:val="000C1C6C"/>
    <w:rsid w:val="000C230B"/>
    <w:rsid w:val="000C25C2"/>
    <w:rsid w:val="000C267A"/>
    <w:rsid w:val="000C27A8"/>
    <w:rsid w:val="000C3B06"/>
    <w:rsid w:val="000C3FFA"/>
    <w:rsid w:val="000C49DE"/>
    <w:rsid w:val="000C4C0B"/>
    <w:rsid w:val="000C589E"/>
    <w:rsid w:val="000C5EC5"/>
    <w:rsid w:val="000C62C3"/>
    <w:rsid w:val="000C62CD"/>
    <w:rsid w:val="000C64A7"/>
    <w:rsid w:val="000C6C58"/>
    <w:rsid w:val="000C7967"/>
    <w:rsid w:val="000C7A53"/>
    <w:rsid w:val="000D0522"/>
    <w:rsid w:val="000D0AD8"/>
    <w:rsid w:val="000D0F58"/>
    <w:rsid w:val="000D1558"/>
    <w:rsid w:val="000D18A6"/>
    <w:rsid w:val="000D1FC7"/>
    <w:rsid w:val="000D1FF1"/>
    <w:rsid w:val="000D3777"/>
    <w:rsid w:val="000D38B9"/>
    <w:rsid w:val="000D42B7"/>
    <w:rsid w:val="000D464C"/>
    <w:rsid w:val="000D4836"/>
    <w:rsid w:val="000D553D"/>
    <w:rsid w:val="000D5EF9"/>
    <w:rsid w:val="000D611C"/>
    <w:rsid w:val="000D6A42"/>
    <w:rsid w:val="000D7470"/>
    <w:rsid w:val="000D7498"/>
    <w:rsid w:val="000E0E14"/>
    <w:rsid w:val="000E12E1"/>
    <w:rsid w:val="000E1DCB"/>
    <w:rsid w:val="000E1EE9"/>
    <w:rsid w:val="000E26C0"/>
    <w:rsid w:val="000E2EF3"/>
    <w:rsid w:val="000E3626"/>
    <w:rsid w:val="000E36CD"/>
    <w:rsid w:val="000E3C56"/>
    <w:rsid w:val="000E3C9D"/>
    <w:rsid w:val="000E4168"/>
    <w:rsid w:val="000E4910"/>
    <w:rsid w:val="000E56A7"/>
    <w:rsid w:val="000E6192"/>
    <w:rsid w:val="000E6BB1"/>
    <w:rsid w:val="000E7139"/>
    <w:rsid w:val="000E782D"/>
    <w:rsid w:val="000E78A6"/>
    <w:rsid w:val="000F0D92"/>
    <w:rsid w:val="000F1496"/>
    <w:rsid w:val="000F1526"/>
    <w:rsid w:val="000F1B12"/>
    <w:rsid w:val="000F1CE1"/>
    <w:rsid w:val="000F257D"/>
    <w:rsid w:val="000F2A4A"/>
    <w:rsid w:val="000F2EA7"/>
    <w:rsid w:val="000F2ECD"/>
    <w:rsid w:val="000F36BD"/>
    <w:rsid w:val="000F420B"/>
    <w:rsid w:val="000F5014"/>
    <w:rsid w:val="000F5172"/>
    <w:rsid w:val="000F578D"/>
    <w:rsid w:val="000F6916"/>
    <w:rsid w:val="000F6D5A"/>
    <w:rsid w:val="000F7DD6"/>
    <w:rsid w:val="00100251"/>
    <w:rsid w:val="001002BD"/>
    <w:rsid w:val="00100808"/>
    <w:rsid w:val="0010090E"/>
    <w:rsid w:val="00100B48"/>
    <w:rsid w:val="00100C1C"/>
    <w:rsid w:val="00100D34"/>
    <w:rsid w:val="00100E7D"/>
    <w:rsid w:val="00100F4D"/>
    <w:rsid w:val="00102E19"/>
    <w:rsid w:val="00102F3C"/>
    <w:rsid w:val="00102F4F"/>
    <w:rsid w:val="001030FF"/>
    <w:rsid w:val="00103E69"/>
    <w:rsid w:val="00103F1C"/>
    <w:rsid w:val="00104242"/>
    <w:rsid w:val="00104468"/>
    <w:rsid w:val="0010447C"/>
    <w:rsid w:val="001046E8"/>
    <w:rsid w:val="001050EB"/>
    <w:rsid w:val="001053BD"/>
    <w:rsid w:val="001058AA"/>
    <w:rsid w:val="00105AEE"/>
    <w:rsid w:val="0010613F"/>
    <w:rsid w:val="00106729"/>
    <w:rsid w:val="00106B76"/>
    <w:rsid w:val="00106D38"/>
    <w:rsid w:val="0010704D"/>
    <w:rsid w:val="001078BD"/>
    <w:rsid w:val="001079C0"/>
    <w:rsid w:val="0011017B"/>
    <w:rsid w:val="0011053A"/>
    <w:rsid w:val="001109DD"/>
    <w:rsid w:val="00110FED"/>
    <w:rsid w:val="001113D5"/>
    <w:rsid w:val="001116ED"/>
    <w:rsid w:val="001117DC"/>
    <w:rsid w:val="001119DD"/>
    <w:rsid w:val="00112583"/>
    <w:rsid w:val="001128E2"/>
    <w:rsid w:val="00112ABB"/>
    <w:rsid w:val="00113026"/>
    <w:rsid w:val="00113273"/>
    <w:rsid w:val="00113544"/>
    <w:rsid w:val="00114446"/>
    <w:rsid w:val="001144E9"/>
    <w:rsid w:val="00114566"/>
    <w:rsid w:val="00114D9D"/>
    <w:rsid w:val="00114DD5"/>
    <w:rsid w:val="00115032"/>
    <w:rsid w:val="00115AC6"/>
    <w:rsid w:val="00115C4C"/>
    <w:rsid w:val="00115D13"/>
    <w:rsid w:val="00115D1B"/>
    <w:rsid w:val="00115DC5"/>
    <w:rsid w:val="0011604E"/>
    <w:rsid w:val="00116148"/>
    <w:rsid w:val="00116A4A"/>
    <w:rsid w:val="00116C6A"/>
    <w:rsid w:val="00117197"/>
    <w:rsid w:val="00117532"/>
    <w:rsid w:val="00117967"/>
    <w:rsid w:val="00117ECB"/>
    <w:rsid w:val="00120026"/>
    <w:rsid w:val="001201F7"/>
    <w:rsid w:val="0012046F"/>
    <w:rsid w:val="00120949"/>
    <w:rsid w:val="00121C12"/>
    <w:rsid w:val="001223BA"/>
    <w:rsid w:val="00122446"/>
    <w:rsid w:val="00122A82"/>
    <w:rsid w:val="00122AC6"/>
    <w:rsid w:val="00122E03"/>
    <w:rsid w:val="00122FE2"/>
    <w:rsid w:val="0012347B"/>
    <w:rsid w:val="00123AD8"/>
    <w:rsid w:val="00123B9D"/>
    <w:rsid w:val="00123CED"/>
    <w:rsid w:val="00123E1C"/>
    <w:rsid w:val="00123E26"/>
    <w:rsid w:val="00123FE4"/>
    <w:rsid w:val="00124066"/>
    <w:rsid w:val="00124213"/>
    <w:rsid w:val="001245CC"/>
    <w:rsid w:val="001249F6"/>
    <w:rsid w:val="00124A36"/>
    <w:rsid w:val="00124F3A"/>
    <w:rsid w:val="0012503A"/>
    <w:rsid w:val="001257C3"/>
    <w:rsid w:val="00125DEC"/>
    <w:rsid w:val="00126296"/>
    <w:rsid w:val="001267E2"/>
    <w:rsid w:val="00126957"/>
    <w:rsid w:val="00126A2A"/>
    <w:rsid w:val="001274C2"/>
    <w:rsid w:val="00127847"/>
    <w:rsid w:val="001303C3"/>
    <w:rsid w:val="00130D19"/>
    <w:rsid w:val="00130D80"/>
    <w:rsid w:val="001325F7"/>
    <w:rsid w:val="0013285C"/>
    <w:rsid w:val="001329FA"/>
    <w:rsid w:val="00132A3A"/>
    <w:rsid w:val="00132B15"/>
    <w:rsid w:val="00132C2F"/>
    <w:rsid w:val="00132DD3"/>
    <w:rsid w:val="001331F4"/>
    <w:rsid w:val="00133265"/>
    <w:rsid w:val="00133329"/>
    <w:rsid w:val="0013364C"/>
    <w:rsid w:val="00133693"/>
    <w:rsid w:val="001339CB"/>
    <w:rsid w:val="00133B05"/>
    <w:rsid w:val="00133B69"/>
    <w:rsid w:val="001349A2"/>
    <w:rsid w:val="00134D80"/>
    <w:rsid w:val="00134FC0"/>
    <w:rsid w:val="00135019"/>
    <w:rsid w:val="00135569"/>
    <w:rsid w:val="0013576F"/>
    <w:rsid w:val="00135A06"/>
    <w:rsid w:val="00135A74"/>
    <w:rsid w:val="0013637B"/>
    <w:rsid w:val="001364A2"/>
    <w:rsid w:val="00136714"/>
    <w:rsid w:val="0013679A"/>
    <w:rsid w:val="00137122"/>
    <w:rsid w:val="001401B7"/>
    <w:rsid w:val="0014029A"/>
    <w:rsid w:val="001409A4"/>
    <w:rsid w:val="00140F01"/>
    <w:rsid w:val="00141399"/>
    <w:rsid w:val="0014190D"/>
    <w:rsid w:val="0014194D"/>
    <w:rsid w:val="00141F62"/>
    <w:rsid w:val="001426DB"/>
    <w:rsid w:val="0014298B"/>
    <w:rsid w:val="00142BE5"/>
    <w:rsid w:val="001448B0"/>
    <w:rsid w:val="00144DD8"/>
    <w:rsid w:val="00144E93"/>
    <w:rsid w:val="001451C9"/>
    <w:rsid w:val="001458CE"/>
    <w:rsid w:val="00145BB7"/>
    <w:rsid w:val="001460E0"/>
    <w:rsid w:val="001463FA"/>
    <w:rsid w:val="0014645E"/>
    <w:rsid w:val="0014689A"/>
    <w:rsid w:val="00146B1B"/>
    <w:rsid w:val="00146BBF"/>
    <w:rsid w:val="00146C1B"/>
    <w:rsid w:val="001474AB"/>
    <w:rsid w:val="0014770A"/>
    <w:rsid w:val="00147770"/>
    <w:rsid w:val="00147ADC"/>
    <w:rsid w:val="00147D1C"/>
    <w:rsid w:val="001502AE"/>
    <w:rsid w:val="00150664"/>
    <w:rsid w:val="001509B0"/>
    <w:rsid w:val="00150F73"/>
    <w:rsid w:val="00151658"/>
    <w:rsid w:val="001517C6"/>
    <w:rsid w:val="00151901"/>
    <w:rsid w:val="001520E1"/>
    <w:rsid w:val="0015234B"/>
    <w:rsid w:val="001523D5"/>
    <w:rsid w:val="00152EC1"/>
    <w:rsid w:val="00153068"/>
    <w:rsid w:val="001535DF"/>
    <w:rsid w:val="00153BA7"/>
    <w:rsid w:val="00153EE2"/>
    <w:rsid w:val="00153F41"/>
    <w:rsid w:val="00154514"/>
    <w:rsid w:val="00154766"/>
    <w:rsid w:val="00154B00"/>
    <w:rsid w:val="001555A4"/>
    <w:rsid w:val="0015667D"/>
    <w:rsid w:val="00156D28"/>
    <w:rsid w:val="0015716B"/>
    <w:rsid w:val="001574F8"/>
    <w:rsid w:val="00160503"/>
    <w:rsid w:val="00160553"/>
    <w:rsid w:val="00160603"/>
    <w:rsid w:val="00160E62"/>
    <w:rsid w:val="001612E3"/>
    <w:rsid w:val="0016191E"/>
    <w:rsid w:val="0016200A"/>
    <w:rsid w:val="001631F5"/>
    <w:rsid w:val="00163935"/>
    <w:rsid w:val="0016399D"/>
    <w:rsid w:val="00163AB9"/>
    <w:rsid w:val="001653A0"/>
    <w:rsid w:val="00165C7E"/>
    <w:rsid w:val="00165FB7"/>
    <w:rsid w:val="00166614"/>
    <w:rsid w:val="00166BCE"/>
    <w:rsid w:val="00166EC2"/>
    <w:rsid w:val="001674B0"/>
    <w:rsid w:val="001674C0"/>
    <w:rsid w:val="001674D1"/>
    <w:rsid w:val="00167DB4"/>
    <w:rsid w:val="00170011"/>
    <w:rsid w:val="00170176"/>
    <w:rsid w:val="00170359"/>
    <w:rsid w:val="001707B4"/>
    <w:rsid w:val="00170A82"/>
    <w:rsid w:val="00171365"/>
    <w:rsid w:val="001713A0"/>
    <w:rsid w:val="00171A50"/>
    <w:rsid w:val="00172127"/>
    <w:rsid w:val="001728CB"/>
    <w:rsid w:val="00172BBE"/>
    <w:rsid w:val="00172E48"/>
    <w:rsid w:val="00172F5D"/>
    <w:rsid w:val="001734EF"/>
    <w:rsid w:val="00173876"/>
    <w:rsid w:val="00174FCF"/>
    <w:rsid w:val="00175356"/>
    <w:rsid w:val="00175623"/>
    <w:rsid w:val="0017592B"/>
    <w:rsid w:val="00175A0B"/>
    <w:rsid w:val="00175FEF"/>
    <w:rsid w:val="0017655E"/>
    <w:rsid w:val="00176FE5"/>
    <w:rsid w:val="0017713D"/>
    <w:rsid w:val="00177151"/>
    <w:rsid w:val="0017726B"/>
    <w:rsid w:val="00177C58"/>
    <w:rsid w:val="00180137"/>
    <w:rsid w:val="001804CB"/>
    <w:rsid w:val="00180BF7"/>
    <w:rsid w:val="001812D3"/>
    <w:rsid w:val="001822CC"/>
    <w:rsid w:val="001824FC"/>
    <w:rsid w:val="00182734"/>
    <w:rsid w:val="0018316F"/>
    <w:rsid w:val="0018407E"/>
    <w:rsid w:val="00184562"/>
    <w:rsid w:val="00184D19"/>
    <w:rsid w:val="00185615"/>
    <w:rsid w:val="00185876"/>
    <w:rsid w:val="00185D5F"/>
    <w:rsid w:val="00186B70"/>
    <w:rsid w:val="00186F2F"/>
    <w:rsid w:val="00187283"/>
    <w:rsid w:val="00187508"/>
    <w:rsid w:val="0018759D"/>
    <w:rsid w:val="001876DF"/>
    <w:rsid w:val="00187F50"/>
    <w:rsid w:val="00190162"/>
    <w:rsid w:val="001901DE"/>
    <w:rsid w:val="001902BB"/>
    <w:rsid w:val="00190511"/>
    <w:rsid w:val="001907C4"/>
    <w:rsid w:val="00190A73"/>
    <w:rsid w:val="00190AEA"/>
    <w:rsid w:val="00190CD5"/>
    <w:rsid w:val="00190E58"/>
    <w:rsid w:val="001910C7"/>
    <w:rsid w:val="00191361"/>
    <w:rsid w:val="0019145C"/>
    <w:rsid w:val="001914CC"/>
    <w:rsid w:val="0019155E"/>
    <w:rsid w:val="00191B18"/>
    <w:rsid w:val="0019215E"/>
    <w:rsid w:val="001922A8"/>
    <w:rsid w:val="00192D40"/>
    <w:rsid w:val="001943A9"/>
    <w:rsid w:val="00194FDC"/>
    <w:rsid w:val="0019595D"/>
    <w:rsid w:val="00195B72"/>
    <w:rsid w:val="00195FB7"/>
    <w:rsid w:val="00196A6E"/>
    <w:rsid w:val="00196E47"/>
    <w:rsid w:val="001979B6"/>
    <w:rsid w:val="00197B02"/>
    <w:rsid w:val="00197E47"/>
    <w:rsid w:val="001A0BF5"/>
    <w:rsid w:val="001A0C7A"/>
    <w:rsid w:val="001A0DFA"/>
    <w:rsid w:val="001A1900"/>
    <w:rsid w:val="001A23CF"/>
    <w:rsid w:val="001A293D"/>
    <w:rsid w:val="001A296E"/>
    <w:rsid w:val="001A2A44"/>
    <w:rsid w:val="001A307C"/>
    <w:rsid w:val="001A3B04"/>
    <w:rsid w:val="001A3B15"/>
    <w:rsid w:val="001A422A"/>
    <w:rsid w:val="001A5091"/>
    <w:rsid w:val="001A50C4"/>
    <w:rsid w:val="001A55FA"/>
    <w:rsid w:val="001A5629"/>
    <w:rsid w:val="001A5681"/>
    <w:rsid w:val="001A6276"/>
    <w:rsid w:val="001A6367"/>
    <w:rsid w:val="001A6841"/>
    <w:rsid w:val="001A6A1A"/>
    <w:rsid w:val="001A6B10"/>
    <w:rsid w:val="001A712E"/>
    <w:rsid w:val="001A7149"/>
    <w:rsid w:val="001B088A"/>
    <w:rsid w:val="001B0CD4"/>
    <w:rsid w:val="001B1DF6"/>
    <w:rsid w:val="001B1E81"/>
    <w:rsid w:val="001B21BF"/>
    <w:rsid w:val="001B28B9"/>
    <w:rsid w:val="001B31F9"/>
    <w:rsid w:val="001B3998"/>
    <w:rsid w:val="001B4306"/>
    <w:rsid w:val="001B4447"/>
    <w:rsid w:val="001B4AA0"/>
    <w:rsid w:val="001B5BCC"/>
    <w:rsid w:val="001B5D03"/>
    <w:rsid w:val="001B5EB1"/>
    <w:rsid w:val="001B605C"/>
    <w:rsid w:val="001B6060"/>
    <w:rsid w:val="001B6109"/>
    <w:rsid w:val="001B64BE"/>
    <w:rsid w:val="001B6D4E"/>
    <w:rsid w:val="001B7341"/>
    <w:rsid w:val="001B76F1"/>
    <w:rsid w:val="001B7F0D"/>
    <w:rsid w:val="001C02F8"/>
    <w:rsid w:val="001C044F"/>
    <w:rsid w:val="001C05BE"/>
    <w:rsid w:val="001C0A2C"/>
    <w:rsid w:val="001C0D46"/>
    <w:rsid w:val="001C0E94"/>
    <w:rsid w:val="001C0FA9"/>
    <w:rsid w:val="001C1A7D"/>
    <w:rsid w:val="001C1FAB"/>
    <w:rsid w:val="001C23BE"/>
    <w:rsid w:val="001C2F9F"/>
    <w:rsid w:val="001C480C"/>
    <w:rsid w:val="001C48DD"/>
    <w:rsid w:val="001C4E09"/>
    <w:rsid w:val="001C4E72"/>
    <w:rsid w:val="001C522D"/>
    <w:rsid w:val="001C5CA5"/>
    <w:rsid w:val="001C704C"/>
    <w:rsid w:val="001C735B"/>
    <w:rsid w:val="001C75B2"/>
    <w:rsid w:val="001C7DA5"/>
    <w:rsid w:val="001D06DD"/>
    <w:rsid w:val="001D0A67"/>
    <w:rsid w:val="001D0A69"/>
    <w:rsid w:val="001D0B91"/>
    <w:rsid w:val="001D0F3E"/>
    <w:rsid w:val="001D179E"/>
    <w:rsid w:val="001D1A54"/>
    <w:rsid w:val="001D1F01"/>
    <w:rsid w:val="001D1F52"/>
    <w:rsid w:val="001D209A"/>
    <w:rsid w:val="001D24E6"/>
    <w:rsid w:val="001D32B7"/>
    <w:rsid w:val="001D3506"/>
    <w:rsid w:val="001D3AC7"/>
    <w:rsid w:val="001D3D26"/>
    <w:rsid w:val="001D4292"/>
    <w:rsid w:val="001D59EE"/>
    <w:rsid w:val="001D5E06"/>
    <w:rsid w:val="001D60DB"/>
    <w:rsid w:val="001D623B"/>
    <w:rsid w:val="001D69FC"/>
    <w:rsid w:val="001D7675"/>
    <w:rsid w:val="001D7A36"/>
    <w:rsid w:val="001D7C8A"/>
    <w:rsid w:val="001D7FD7"/>
    <w:rsid w:val="001E0548"/>
    <w:rsid w:val="001E0730"/>
    <w:rsid w:val="001E09B9"/>
    <w:rsid w:val="001E1431"/>
    <w:rsid w:val="001E24B2"/>
    <w:rsid w:val="001E2A57"/>
    <w:rsid w:val="001E2B22"/>
    <w:rsid w:val="001E2B3D"/>
    <w:rsid w:val="001E3FFA"/>
    <w:rsid w:val="001E4B09"/>
    <w:rsid w:val="001E4C4F"/>
    <w:rsid w:val="001E4F6D"/>
    <w:rsid w:val="001E5098"/>
    <w:rsid w:val="001E5704"/>
    <w:rsid w:val="001E5F81"/>
    <w:rsid w:val="001E6F01"/>
    <w:rsid w:val="001F0604"/>
    <w:rsid w:val="001F135C"/>
    <w:rsid w:val="001F1BF6"/>
    <w:rsid w:val="001F1C1B"/>
    <w:rsid w:val="001F1C3C"/>
    <w:rsid w:val="001F1C4A"/>
    <w:rsid w:val="001F2B9B"/>
    <w:rsid w:val="001F45DA"/>
    <w:rsid w:val="001F6490"/>
    <w:rsid w:val="001F6748"/>
    <w:rsid w:val="001F6850"/>
    <w:rsid w:val="001F6980"/>
    <w:rsid w:val="001F6A63"/>
    <w:rsid w:val="001F6BC8"/>
    <w:rsid w:val="001F6DB5"/>
    <w:rsid w:val="001F7EA2"/>
    <w:rsid w:val="0020005B"/>
    <w:rsid w:val="002003B7"/>
    <w:rsid w:val="002009D9"/>
    <w:rsid w:val="002021CF"/>
    <w:rsid w:val="00202803"/>
    <w:rsid w:val="00202914"/>
    <w:rsid w:val="00202DA5"/>
    <w:rsid w:val="0020300C"/>
    <w:rsid w:val="002033BD"/>
    <w:rsid w:val="00203402"/>
    <w:rsid w:val="00204653"/>
    <w:rsid w:val="00204829"/>
    <w:rsid w:val="002049EC"/>
    <w:rsid w:val="00205205"/>
    <w:rsid w:val="00205258"/>
    <w:rsid w:val="0020537A"/>
    <w:rsid w:val="0020560C"/>
    <w:rsid w:val="00205F32"/>
    <w:rsid w:val="0020636E"/>
    <w:rsid w:val="00206F4A"/>
    <w:rsid w:val="00207121"/>
    <w:rsid w:val="00207415"/>
    <w:rsid w:val="00207449"/>
    <w:rsid w:val="00210119"/>
    <w:rsid w:val="002104FF"/>
    <w:rsid w:val="00211888"/>
    <w:rsid w:val="00211946"/>
    <w:rsid w:val="00213153"/>
    <w:rsid w:val="002131CC"/>
    <w:rsid w:val="00213336"/>
    <w:rsid w:val="00213640"/>
    <w:rsid w:val="002139D1"/>
    <w:rsid w:val="00213ABD"/>
    <w:rsid w:val="00213B22"/>
    <w:rsid w:val="00213F59"/>
    <w:rsid w:val="00214312"/>
    <w:rsid w:val="002144BD"/>
    <w:rsid w:val="00214817"/>
    <w:rsid w:val="002152E6"/>
    <w:rsid w:val="00215770"/>
    <w:rsid w:val="002158A4"/>
    <w:rsid w:val="002159A8"/>
    <w:rsid w:val="002160EB"/>
    <w:rsid w:val="002162E9"/>
    <w:rsid w:val="0021645D"/>
    <w:rsid w:val="002165D1"/>
    <w:rsid w:val="002167D0"/>
    <w:rsid w:val="002168EA"/>
    <w:rsid w:val="00216B4B"/>
    <w:rsid w:val="00217CE6"/>
    <w:rsid w:val="00217F64"/>
    <w:rsid w:val="002200E0"/>
    <w:rsid w:val="00220210"/>
    <w:rsid w:val="002207C7"/>
    <w:rsid w:val="00220C30"/>
    <w:rsid w:val="002210D7"/>
    <w:rsid w:val="00222F82"/>
    <w:rsid w:val="00223392"/>
    <w:rsid w:val="002236BC"/>
    <w:rsid w:val="0022383B"/>
    <w:rsid w:val="00223A56"/>
    <w:rsid w:val="00224189"/>
    <w:rsid w:val="00224493"/>
    <w:rsid w:val="00224621"/>
    <w:rsid w:val="00224746"/>
    <w:rsid w:val="00224AE6"/>
    <w:rsid w:val="00224BFB"/>
    <w:rsid w:val="0022517C"/>
    <w:rsid w:val="0022541C"/>
    <w:rsid w:val="00225C7E"/>
    <w:rsid w:val="00225E02"/>
    <w:rsid w:val="00226068"/>
    <w:rsid w:val="00226424"/>
    <w:rsid w:val="002268CB"/>
    <w:rsid w:val="00226B51"/>
    <w:rsid w:val="002277BE"/>
    <w:rsid w:val="00227CF2"/>
    <w:rsid w:val="00230525"/>
    <w:rsid w:val="002306DE"/>
    <w:rsid w:val="00230719"/>
    <w:rsid w:val="00230C55"/>
    <w:rsid w:val="0023145E"/>
    <w:rsid w:val="002314A5"/>
    <w:rsid w:val="00231A8E"/>
    <w:rsid w:val="00231F55"/>
    <w:rsid w:val="00232B4A"/>
    <w:rsid w:val="00232ED9"/>
    <w:rsid w:val="00233070"/>
    <w:rsid w:val="002330F1"/>
    <w:rsid w:val="00233496"/>
    <w:rsid w:val="0023395D"/>
    <w:rsid w:val="00233985"/>
    <w:rsid w:val="00233A5D"/>
    <w:rsid w:val="00233EE4"/>
    <w:rsid w:val="00234707"/>
    <w:rsid w:val="002349DF"/>
    <w:rsid w:val="00234A78"/>
    <w:rsid w:val="00234C56"/>
    <w:rsid w:val="00234CFA"/>
    <w:rsid w:val="00235244"/>
    <w:rsid w:val="002355DE"/>
    <w:rsid w:val="00235818"/>
    <w:rsid w:val="00235C65"/>
    <w:rsid w:val="00236750"/>
    <w:rsid w:val="0023680B"/>
    <w:rsid w:val="00236B43"/>
    <w:rsid w:val="0023732C"/>
    <w:rsid w:val="00237454"/>
    <w:rsid w:val="00237668"/>
    <w:rsid w:val="002377F0"/>
    <w:rsid w:val="00237C4B"/>
    <w:rsid w:val="00237CE5"/>
    <w:rsid w:val="00237D3A"/>
    <w:rsid w:val="002401A3"/>
    <w:rsid w:val="00240658"/>
    <w:rsid w:val="002408B1"/>
    <w:rsid w:val="00240CB8"/>
    <w:rsid w:val="00240DDF"/>
    <w:rsid w:val="0024234A"/>
    <w:rsid w:val="00242408"/>
    <w:rsid w:val="0024283F"/>
    <w:rsid w:val="00242CEB"/>
    <w:rsid w:val="00243238"/>
    <w:rsid w:val="00243A49"/>
    <w:rsid w:val="00243CA7"/>
    <w:rsid w:val="00243FF9"/>
    <w:rsid w:val="00244C4A"/>
    <w:rsid w:val="0024546B"/>
    <w:rsid w:val="002459A2"/>
    <w:rsid w:val="00245FD2"/>
    <w:rsid w:val="002465B8"/>
    <w:rsid w:val="0024698A"/>
    <w:rsid w:val="00246B48"/>
    <w:rsid w:val="002473F8"/>
    <w:rsid w:val="00247C9A"/>
    <w:rsid w:val="00247DDC"/>
    <w:rsid w:val="0025014B"/>
    <w:rsid w:val="0025106A"/>
    <w:rsid w:val="00251284"/>
    <w:rsid w:val="0025192B"/>
    <w:rsid w:val="00251C67"/>
    <w:rsid w:val="00251E54"/>
    <w:rsid w:val="00251EEB"/>
    <w:rsid w:val="002523E8"/>
    <w:rsid w:val="002528A0"/>
    <w:rsid w:val="00252AE4"/>
    <w:rsid w:val="002532A5"/>
    <w:rsid w:val="00253392"/>
    <w:rsid w:val="002535B5"/>
    <w:rsid w:val="0025399C"/>
    <w:rsid w:val="00253B43"/>
    <w:rsid w:val="00253CBB"/>
    <w:rsid w:val="0025486F"/>
    <w:rsid w:val="002550A8"/>
    <w:rsid w:val="00255143"/>
    <w:rsid w:val="0025536A"/>
    <w:rsid w:val="002554F6"/>
    <w:rsid w:val="00255A4E"/>
    <w:rsid w:val="00255B65"/>
    <w:rsid w:val="00255D89"/>
    <w:rsid w:val="0025745D"/>
    <w:rsid w:val="00257790"/>
    <w:rsid w:val="00257A29"/>
    <w:rsid w:val="00257D97"/>
    <w:rsid w:val="00257D9B"/>
    <w:rsid w:val="00260066"/>
    <w:rsid w:val="00260396"/>
    <w:rsid w:val="00260503"/>
    <w:rsid w:val="00260726"/>
    <w:rsid w:val="00260839"/>
    <w:rsid w:val="00260F8F"/>
    <w:rsid w:val="00262C0A"/>
    <w:rsid w:val="00262C74"/>
    <w:rsid w:val="00262F27"/>
    <w:rsid w:val="002634B6"/>
    <w:rsid w:val="002639AF"/>
    <w:rsid w:val="0026409F"/>
    <w:rsid w:val="00264102"/>
    <w:rsid w:val="00264160"/>
    <w:rsid w:val="002645CC"/>
    <w:rsid w:val="0026488D"/>
    <w:rsid w:val="00264C1A"/>
    <w:rsid w:val="00264D68"/>
    <w:rsid w:val="002651F1"/>
    <w:rsid w:val="002665A2"/>
    <w:rsid w:val="00266CDE"/>
    <w:rsid w:val="00266EF4"/>
    <w:rsid w:val="002670C3"/>
    <w:rsid w:val="00267226"/>
    <w:rsid w:val="00267459"/>
    <w:rsid w:val="002675A8"/>
    <w:rsid w:val="00267856"/>
    <w:rsid w:val="00267B2F"/>
    <w:rsid w:val="00267CA7"/>
    <w:rsid w:val="002702F6"/>
    <w:rsid w:val="0027044C"/>
    <w:rsid w:val="00270C81"/>
    <w:rsid w:val="00270E5C"/>
    <w:rsid w:val="002712EB"/>
    <w:rsid w:val="00271382"/>
    <w:rsid w:val="002714D7"/>
    <w:rsid w:val="00272357"/>
    <w:rsid w:val="00272848"/>
    <w:rsid w:val="00272E1A"/>
    <w:rsid w:val="00273254"/>
    <w:rsid w:val="00273E24"/>
    <w:rsid w:val="00273E54"/>
    <w:rsid w:val="00274C55"/>
    <w:rsid w:val="002752B3"/>
    <w:rsid w:val="00275304"/>
    <w:rsid w:val="00275365"/>
    <w:rsid w:val="002757D7"/>
    <w:rsid w:val="00275D45"/>
    <w:rsid w:val="00276469"/>
    <w:rsid w:val="0027687E"/>
    <w:rsid w:val="00276BA4"/>
    <w:rsid w:val="00276BF2"/>
    <w:rsid w:val="00276EDF"/>
    <w:rsid w:val="00277047"/>
    <w:rsid w:val="00277185"/>
    <w:rsid w:val="002772E0"/>
    <w:rsid w:val="002778C0"/>
    <w:rsid w:val="00277A3F"/>
    <w:rsid w:val="00277D15"/>
    <w:rsid w:val="00277D4E"/>
    <w:rsid w:val="002800BF"/>
    <w:rsid w:val="00280452"/>
    <w:rsid w:val="00280A39"/>
    <w:rsid w:val="00280AD1"/>
    <w:rsid w:val="00281581"/>
    <w:rsid w:val="00281762"/>
    <w:rsid w:val="00281B69"/>
    <w:rsid w:val="00281C0C"/>
    <w:rsid w:val="0028201C"/>
    <w:rsid w:val="0028248E"/>
    <w:rsid w:val="0028317F"/>
    <w:rsid w:val="002841BB"/>
    <w:rsid w:val="002845C6"/>
    <w:rsid w:val="00284DB8"/>
    <w:rsid w:val="0028540E"/>
    <w:rsid w:val="00285831"/>
    <w:rsid w:val="002859A7"/>
    <w:rsid w:val="002859FD"/>
    <w:rsid w:val="00285A4D"/>
    <w:rsid w:val="00286221"/>
    <w:rsid w:val="002865BC"/>
    <w:rsid w:val="002869D0"/>
    <w:rsid w:val="00286E53"/>
    <w:rsid w:val="00287356"/>
    <w:rsid w:val="002876E1"/>
    <w:rsid w:val="00287768"/>
    <w:rsid w:val="00287C22"/>
    <w:rsid w:val="0029011C"/>
    <w:rsid w:val="002907FF"/>
    <w:rsid w:val="002908C7"/>
    <w:rsid w:val="00290E23"/>
    <w:rsid w:val="002911A5"/>
    <w:rsid w:val="00291644"/>
    <w:rsid w:val="0029175A"/>
    <w:rsid w:val="0029283E"/>
    <w:rsid w:val="00292CD6"/>
    <w:rsid w:val="00292F4E"/>
    <w:rsid w:val="00293B32"/>
    <w:rsid w:val="00293B61"/>
    <w:rsid w:val="00293BF7"/>
    <w:rsid w:val="00293C26"/>
    <w:rsid w:val="002940FB"/>
    <w:rsid w:val="0029471D"/>
    <w:rsid w:val="00294903"/>
    <w:rsid w:val="00295285"/>
    <w:rsid w:val="002952DD"/>
    <w:rsid w:val="002952EC"/>
    <w:rsid w:val="00295AB7"/>
    <w:rsid w:val="00295CE9"/>
    <w:rsid w:val="00295DF7"/>
    <w:rsid w:val="00295EAE"/>
    <w:rsid w:val="00296633"/>
    <w:rsid w:val="0029763E"/>
    <w:rsid w:val="00297710"/>
    <w:rsid w:val="00297DF9"/>
    <w:rsid w:val="00297F27"/>
    <w:rsid w:val="00297FBB"/>
    <w:rsid w:val="002A0705"/>
    <w:rsid w:val="002A0CDC"/>
    <w:rsid w:val="002A0FA4"/>
    <w:rsid w:val="002A1545"/>
    <w:rsid w:val="002A1EF8"/>
    <w:rsid w:val="002A1FB4"/>
    <w:rsid w:val="002A27C4"/>
    <w:rsid w:val="002A282F"/>
    <w:rsid w:val="002A2C2C"/>
    <w:rsid w:val="002A2CF1"/>
    <w:rsid w:val="002A2F24"/>
    <w:rsid w:val="002A30CD"/>
    <w:rsid w:val="002A3340"/>
    <w:rsid w:val="002A413E"/>
    <w:rsid w:val="002A4987"/>
    <w:rsid w:val="002A4B88"/>
    <w:rsid w:val="002A4B9C"/>
    <w:rsid w:val="002A5339"/>
    <w:rsid w:val="002A569F"/>
    <w:rsid w:val="002A5953"/>
    <w:rsid w:val="002A5C3B"/>
    <w:rsid w:val="002A5EA1"/>
    <w:rsid w:val="002A606D"/>
    <w:rsid w:val="002A6257"/>
    <w:rsid w:val="002A630A"/>
    <w:rsid w:val="002A661C"/>
    <w:rsid w:val="002A6AF4"/>
    <w:rsid w:val="002A6C03"/>
    <w:rsid w:val="002A6D6D"/>
    <w:rsid w:val="002A6D8D"/>
    <w:rsid w:val="002A6EEB"/>
    <w:rsid w:val="002A72A3"/>
    <w:rsid w:val="002A75F0"/>
    <w:rsid w:val="002A77B9"/>
    <w:rsid w:val="002B003F"/>
    <w:rsid w:val="002B03CE"/>
    <w:rsid w:val="002B0568"/>
    <w:rsid w:val="002B10F2"/>
    <w:rsid w:val="002B209C"/>
    <w:rsid w:val="002B2800"/>
    <w:rsid w:val="002B28F5"/>
    <w:rsid w:val="002B2CDD"/>
    <w:rsid w:val="002B331A"/>
    <w:rsid w:val="002B3808"/>
    <w:rsid w:val="002B38D4"/>
    <w:rsid w:val="002B4C66"/>
    <w:rsid w:val="002B5581"/>
    <w:rsid w:val="002B55E4"/>
    <w:rsid w:val="002B5AA7"/>
    <w:rsid w:val="002B636E"/>
    <w:rsid w:val="002B65EE"/>
    <w:rsid w:val="002B67B2"/>
    <w:rsid w:val="002B6AD3"/>
    <w:rsid w:val="002B6B0B"/>
    <w:rsid w:val="002B6C2A"/>
    <w:rsid w:val="002B704B"/>
    <w:rsid w:val="002B77DC"/>
    <w:rsid w:val="002B780E"/>
    <w:rsid w:val="002B79AD"/>
    <w:rsid w:val="002B7EBA"/>
    <w:rsid w:val="002C02D3"/>
    <w:rsid w:val="002C03D3"/>
    <w:rsid w:val="002C0ACC"/>
    <w:rsid w:val="002C0CE9"/>
    <w:rsid w:val="002C106D"/>
    <w:rsid w:val="002C10E9"/>
    <w:rsid w:val="002C1116"/>
    <w:rsid w:val="002C1B79"/>
    <w:rsid w:val="002C1CCC"/>
    <w:rsid w:val="002C1D5E"/>
    <w:rsid w:val="002C242C"/>
    <w:rsid w:val="002C2456"/>
    <w:rsid w:val="002C2B28"/>
    <w:rsid w:val="002C2C0D"/>
    <w:rsid w:val="002C3076"/>
    <w:rsid w:val="002C3764"/>
    <w:rsid w:val="002C3AD1"/>
    <w:rsid w:val="002C3C62"/>
    <w:rsid w:val="002C3E56"/>
    <w:rsid w:val="002C3E92"/>
    <w:rsid w:val="002C3F6B"/>
    <w:rsid w:val="002C4C38"/>
    <w:rsid w:val="002C4EEA"/>
    <w:rsid w:val="002C4F58"/>
    <w:rsid w:val="002C4F99"/>
    <w:rsid w:val="002C52AD"/>
    <w:rsid w:val="002C55EB"/>
    <w:rsid w:val="002C58B6"/>
    <w:rsid w:val="002C6A89"/>
    <w:rsid w:val="002C7117"/>
    <w:rsid w:val="002C778A"/>
    <w:rsid w:val="002C7A03"/>
    <w:rsid w:val="002C7BD2"/>
    <w:rsid w:val="002C7FE8"/>
    <w:rsid w:val="002D0013"/>
    <w:rsid w:val="002D0386"/>
    <w:rsid w:val="002D0893"/>
    <w:rsid w:val="002D0BE8"/>
    <w:rsid w:val="002D1445"/>
    <w:rsid w:val="002D1744"/>
    <w:rsid w:val="002D1EB4"/>
    <w:rsid w:val="002D1F73"/>
    <w:rsid w:val="002D1F8C"/>
    <w:rsid w:val="002D24B4"/>
    <w:rsid w:val="002D2966"/>
    <w:rsid w:val="002D2FA5"/>
    <w:rsid w:val="002D3117"/>
    <w:rsid w:val="002D32D2"/>
    <w:rsid w:val="002D34EA"/>
    <w:rsid w:val="002D352A"/>
    <w:rsid w:val="002D4216"/>
    <w:rsid w:val="002D486E"/>
    <w:rsid w:val="002D4C87"/>
    <w:rsid w:val="002D4CA4"/>
    <w:rsid w:val="002D4FD5"/>
    <w:rsid w:val="002D5A65"/>
    <w:rsid w:val="002D5C86"/>
    <w:rsid w:val="002D608E"/>
    <w:rsid w:val="002D66A8"/>
    <w:rsid w:val="002D68F4"/>
    <w:rsid w:val="002D6A38"/>
    <w:rsid w:val="002D6DB6"/>
    <w:rsid w:val="002D78ED"/>
    <w:rsid w:val="002E04B7"/>
    <w:rsid w:val="002E0D73"/>
    <w:rsid w:val="002E1035"/>
    <w:rsid w:val="002E1134"/>
    <w:rsid w:val="002E191A"/>
    <w:rsid w:val="002E1956"/>
    <w:rsid w:val="002E1D90"/>
    <w:rsid w:val="002E2239"/>
    <w:rsid w:val="002E2558"/>
    <w:rsid w:val="002E2B60"/>
    <w:rsid w:val="002E3122"/>
    <w:rsid w:val="002E3799"/>
    <w:rsid w:val="002E3C54"/>
    <w:rsid w:val="002E3FCC"/>
    <w:rsid w:val="002E41E5"/>
    <w:rsid w:val="002E4A87"/>
    <w:rsid w:val="002E4DFA"/>
    <w:rsid w:val="002E4F7A"/>
    <w:rsid w:val="002E58F9"/>
    <w:rsid w:val="002E5975"/>
    <w:rsid w:val="002E5AD8"/>
    <w:rsid w:val="002E5F5C"/>
    <w:rsid w:val="002E6378"/>
    <w:rsid w:val="002E6795"/>
    <w:rsid w:val="002E6AB4"/>
    <w:rsid w:val="002E6C96"/>
    <w:rsid w:val="002E7077"/>
    <w:rsid w:val="002E7CF8"/>
    <w:rsid w:val="002F0042"/>
    <w:rsid w:val="002F05E6"/>
    <w:rsid w:val="002F0786"/>
    <w:rsid w:val="002F08F6"/>
    <w:rsid w:val="002F0F3C"/>
    <w:rsid w:val="002F191F"/>
    <w:rsid w:val="002F1CAA"/>
    <w:rsid w:val="002F1DDC"/>
    <w:rsid w:val="002F227D"/>
    <w:rsid w:val="002F2334"/>
    <w:rsid w:val="002F27A6"/>
    <w:rsid w:val="002F2B5B"/>
    <w:rsid w:val="002F3360"/>
    <w:rsid w:val="002F3E32"/>
    <w:rsid w:val="002F3F67"/>
    <w:rsid w:val="002F3F9F"/>
    <w:rsid w:val="002F40E7"/>
    <w:rsid w:val="002F4578"/>
    <w:rsid w:val="002F4A90"/>
    <w:rsid w:val="002F4DEE"/>
    <w:rsid w:val="002F4E0F"/>
    <w:rsid w:val="002F4E61"/>
    <w:rsid w:val="002F562B"/>
    <w:rsid w:val="002F5704"/>
    <w:rsid w:val="002F5800"/>
    <w:rsid w:val="002F5945"/>
    <w:rsid w:val="002F5B23"/>
    <w:rsid w:val="002F5B63"/>
    <w:rsid w:val="002F5F02"/>
    <w:rsid w:val="002F60E6"/>
    <w:rsid w:val="002F66A5"/>
    <w:rsid w:val="002F6A05"/>
    <w:rsid w:val="002F756D"/>
    <w:rsid w:val="003000E4"/>
    <w:rsid w:val="0030044C"/>
    <w:rsid w:val="00300732"/>
    <w:rsid w:val="00300D34"/>
    <w:rsid w:val="00301538"/>
    <w:rsid w:val="00301883"/>
    <w:rsid w:val="00301E08"/>
    <w:rsid w:val="00301E0F"/>
    <w:rsid w:val="00301F8D"/>
    <w:rsid w:val="00302638"/>
    <w:rsid w:val="003028B3"/>
    <w:rsid w:val="00302B90"/>
    <w:rsid w:val="003033A4"/>
    <w:rsid w:val="00303822"/>
    <w:rsid w:val="003038A5"/>
    <w:rsid w:val="0030437C"/>
    <w:rsid w:val="003044B3"/>
    <w:rsid w:val="0030458B"/>
    <w:rsid w:val="00304A45"/>
    <w:rsid w:val="00304E93"/>
    <w:rsid w:val="00304EBC"/>
    <w:rsid w:val="00304FE2"/>
    <w:rsid w:val="00305553"/>
    <w:rsid w:val="00306020"/>
    <w:rsid w:val="003063B6"/>
    <w:rsid w:val="0030651A"/>
    <w:rsid w:val="003066CE"/>
    <w:rsid w:val="003067AA"/>
    <w:rsid w:val="00306D59"/>
    <w:rsid w:val="003070E8"/>
    <w:rsid w:val="0030791E"/>
    <w:rsid w:val="00307A8B"/>
    <w:rsid w:val="00307D98"/>
    <w:rsid w:val="003100DC"/>
    <w:rsid w:val="0031049B"/>
    <w:rsid w:val="003105E2"/>
    <w:rsid w:val="0031116E"/>
    <w:rsid w:val="00311AE7"/>
    <w:rsid w:val="003120EA"/>
    <w:rsid w:val="00312AC9"/>
    <w:rsid w:val="00312BAD"/>
    <w:rsid w:val="00312C52"/>
    <w:rsid w:val="00313287"/>
    <w:rsid w:val="00313CC0"/>
    <w:rsid w:val="00313D47"/>
    <w:rsid w:val="003146B3"/>
    <w:rsid w:val="00314A49"/>
    <w:rsid w:val="00314E46"/>
    <w:rsid w:val="00315503"/>
    <w:rsid w:val="003158A3"/>
    <w:rsid w:val="00316B1C"/>
    <w:rsid w:val="00317039"/>
    <w:rsid w:val="00317B24"/>
    <w:rsid w:val="00317BF7"/>
    <w:rsid w:val="0032003C"/>
    <w:rsid w:val="00320B6A"/>
    <w:rsid w:val="00320EFC"/>
    <w:rsid w:val="0032118B"/>
    <w:rsid w:val="00321521"/>
    <w:rsid w:val="00321545"/>
    <w:rsid w:val="00321987"/>
    <w:rsid w:val="00322883"/>
    <w:rsid w:val="00322BCD"/>
    <w:rsid w:val="00322D61"/>
    <w:rsid w:val="00322E0C"/>
    <w:rsid w:val="00323211"/>
    <w:rsid w:val="00323339"/>
    <w:rsid w:val="003237D4"/>
    <w:rsid w:val="00324379"/>
    <w:rsid w:val="00324756"/>
    <w:rsid w:val="00325748"/>
    <w:rsid w:val="00325921"/>
    <w:rsid w:val="00325992"/>
    <w:rsid w:val="00325C04"/>
    <w:rsid w:val="00326099"/>
    <w:rsid w:val="00326215"/>
    <w:rsid w:val="00326646"/>
    <w:rsid w:val="00326CEC"/>
    <w:rsid w:val="0032720D"/>
    <w:rsid w:val="003276A5"/>
    <w:rsid w:val="00327BE5"/>
    <w:rsid w:val="0033038F"/>
    <w:rsid w:val="003306ED"/>
    <w:rsid w:val="0033086A"/>
    <w:rsid w:val="00330944"/>
    <w:rsid w:val="003309A1"/>
    <w:rsid w:val="00330F46"/>
    <w:rsid w:val="0033112F"/>
    <w:rsid w:val="00332620"/>
    <w:rsid w:val="00332989"/>
    <w:rsid w:val="00332A9D"/>
    <w:rsid w:val="00332C81"/>
    <w:rsid w:val="00332FCD"/>
    <w:rsid w:val="003335F6"/>
    <w:rsid w:val="00333783"/>
    <w:rsid w:val="00333B7C"/>
    <w:rsid w:val="00333C7B"/>
    <w:rsid w:val="003348FA"/>
    <w:rsid w:val="00334FE9"/>
    <w:rsid w:val="003354DA"/>
    <w:rsid w:val="00335BAE"/>
    <w:rsid w:val="0033629F"/>
    <w:rsid w:val="00336526"/>
    <w:rsid w:val="00336605"/>
    <w:rsid w:val="00336669"/>
    <w:rsid w:val="00336719"/>
    <w:rsid w:val="003371B6"/>
    <w:rsid w:val="00337293"/>
    <w:rsid w:val="00337C3D"/>
    <w:rsid w:val="003400EE"/>
    <w:rsid w:val="0034021C"/>
    <w:rsid w:val="00340248"/>
    <w:rsid w:val="0034047E"/>
    <w:rsid w:val="00341BFE"/>
    <w:rsid w:val="00341E34"/>
    <w:rsid w:val="00341E9F"/>
    <w:rsid w:val="00342303"/>
    <w:rsid w:val="0034437A"/>
    <w:rsid w:val="00344407"/>
    <w:rsid w:val="00344471"/>
    <w:rsid w:val="00344836"/>
    <w:rsid w:val="0034491B"/>
    <w:rsid w:val="0034543A"/>
    <w:rsid w:val="00345484"/>
    <w:rsid w:val="003455BB"/>
    <w:rsid w:val="00345BF4"/>
    <w:rsid w:val="00345EE6"/>
    <w:rsid w:val="00345EF8"/>
    <w:rsid w:val="00346D69"/>
    <w:rsid w:val="00346D85"/>
    <w:rsid w:val="00347568"/>
    <w:rsid w:val="0035018F"/>
    <w:rsid w:val="00350C69"/>
    <w:rsid w:val="003518FE"/>
    <w:rsid w:val="003519C4"/>
    <w:rsid w:val="00351A64"/>
    <w:rsid w:val="00351C7C"/>
    <w:rsid w:val="00351DC4"/>
    <w:rsid w:val="00352229"/>
    <w:rsid w:val="0035250A"/>
    <w:rsid w:val="003527A2"/>
    <w:rsid w:val="003527FE"/>
    <w:rsid w:val="00352984"/>
    <w:rsid w:val="00353652"/>
    <w:rsid w:val="00353BE6"/>
    <w:rsid w:val="003544E4"/>
    <w:rsid w:val="003550E8"/>
    <w:rsid w:val="00355495"/>
    <w:rsid w:val="003554E7"/>
    <w:rsid w:val="00355E4A"/>
    <w:rsid w:val="0035679B"/>
    <w:rsid w:val="00356A9B"/>
    <w:rsid w:val="00357184"/>
    <w:rsid w:val="0036099B"/>
    <w:rsid w:val="00360F40"/>
    <w:rsid w:val="003616EC"/>
    <w:rsid w:val="00361BDE"/>
    <w:rsid w:val="003622DF"/>
    <w:rsid w:val="0036286B"/>
    <w:rsid w:val="003628A0"/>
    <w:rsid w:val="00362C3C"/>
    <w:rsid w:val="003632CC"/>
    <w:rsid w:val="00363C74"/>
    <w:rsid w:val="0036453A"/>
    <w:rsid w:val="003646A2"/>
    <w:rsid w:val="00364F5B"/>
    <w:rsid w:val="00365392"/>
    <w:rsid w:val="0036540D"/>
    <w:rsid w:val="00365B8C"/>
    <w:rsid w:val="00365C02"/>
    <w:rsid w:val="00366051"/>
    <w:rsid w:val="00367B51"/>
    <w:rsid w:val="00367DA7"/>
    <w:rsid w:val="00367F47"/>
    <w:rsid w:val="003704E8"/>
    <w:rsid w:val="00370D1A"/>
    <w:rsid w:val="0037191D"/>
    <w:rsid w:val="00371B06"/>
    <w:rsid w:val="00371BA7"/>
    <w:rsid w:val="00371DFF"/>
    <w:rsid w:val="003726A5"/>
    <w:rsid w:val="00372704"/>
    <w:rsid w:val="00372B73"/>
    <w:rsid w:val="00373417"/>
    <w:rsid w:val="003744AD"/>
    <w:rsid w:val="00374CA3"/>
    <w:rsid w:val="00374DA7"/>
    <w:rsid w:val="00375562"/>
    <w:rsid w:val="0037563C"/>
    <w:rsid w:val="003756CA"/>
    <w:rsid w:val="00375919"/>
    <w:rsid w:val="00376600"/>
    <w:rsid w:val="003766F0"/>
    <w:rsid w:val="003772ED"/>
    <w:rsid w:val="00377913"/>
    <w:rsid w:val="00377CE5"/>
    <w:rsid w:val="00377D41"/>
    <w:rsid w:val="00377E77"/>
    <w:rsid w:val="00380012"/>
    <w:rsid w:val="00380C5B"/>
    <w:rsid w:val="0038124C"/>
    <w:rsid w:val="003815CA"/>
    <w:rsid w:val="003816D9"/>
    <w:rsid w:val="00381965"/>
    <w:rsid w:val="00382137"/>
    <w:rsid w:val="003828B6"/>
    <w:rsid w:val="00382ACB"/>
    <w:rsid w:val="00383362"/>
    <w:rsid w:val="003837D5"/>
    <w:rsid w:val="00383D4C"/>
    <w:rsid w:val="0038435F"/>
    <w:rsid w:val="00384366"/>
    <w:rsid w:val="00384367"/>
    <w:rsid w:val="003843C8"/>
    <w:rsid w:val="00384ACC"/>
    <w:rsid w:val="00384AFE"/>
    <w:rsid w:val="00384FAE"/>
    <w:rsid w:val="0038533E"/>
    <w:rsid w:val="00386076"/>
    <w:rsid w:val="0038619D"/>
    <w:rsid w:val="00386721"/>
    <w:rsid w:val="00386CA2"/>
    <w:rsid w:val="00386F6D"/>
    <w:rsid w:val="00387CEC"/>
    <w:rsid w:val="00387E7A"/>
    <w:rsid w:val="003900FE"/>
    <w:rsid w:val="00390133"/>
    <w:rsid w:val="0039158C"/>
    <w:rsid w:val="003916AC"/>
    <w:rsid w:val="00392009"/>
    <w:rsid w:val="0039210E"/>
    <w:rsid w:val="0039238B"/>
    <w:rsid w:val="003927C0"/>
    <w:rsid w:val="003932B5"/>
    <w:rsid w:val="003938B5"/>
    <w:rsid w:val="003944F0"/>
    <w:rsid w:val="00394692"/>
    <w:rsid w:val="00394EA2"/>
    <w:rsid w:val="003964B7"/>
    <w:rsid w:val="003964EC"/>
    <w:rsid w:val="0039728D"/>
    <w:rsid w:val="003974CA"/>
    <w:rsid w:val="003974F8"/>
    <w:rsid w:val="00397607"/>
    <w:rsid w:val="00397AAC"/>
    <w:rsid w:val="003A0706"/>
    <w:rsid w:val="003A07A0"/>
    <w:rsid w:val="003A0995"/>
    <w:rsid w:val="003A0C26"/>
    <w:rsid w:val="003A1042"/>
    <w:rsid w:val="003A133B"/>
    <w:rsid w:val="003A1B03"/>
    <w:rsid w:val="003A1F1A"/>
    <w:rsid w:val="003A2347"/>
    <w:rsid w:val="003A280B"/>
    <w:rsid w:val="003A2948"/>
    <w:rsid w:val="003A33D7"/>
    <w:rsid w:val="003A35E3"/>
    <w:rsid w:val="003A3892"/>
    <w:rsid w:val="003A497D"/>
    <w:rsid w:val="003A58D0"/>
    <w:rsid w:val="003A5BC2"/>
    <w:rsid w:val="003A5EA0"/>
    <w:rsid w:val="003A5EB5"/>
    <w:rsid w:val="003A63A8"/>
    <w:rsid w:val="003A72FC"/>
    <w:rsid w:val="003B00DE"/>
    <w:rsid w:val="003B0589"/>
    <w:rsid w:val="003B0B3E"/>
    <w:rsid w:val="003B0D68"/>
    <w:rsid w:val="003B0F92"/>
    <w:rsid w:val="003B2044"/>
    <w:rsid w:val="003B23F0"/>
    <w:rsid w:val="003B2683"/>
    <w:rsid w:val="003B3008"/>
    <w:rsid w:val="003B365F"/>
    <w:rsid w:val="003B41F5"/>
    <w:rsid w:val="003B4818"/>
    <w:rsid w:val="003B4D2E"/>
    <w:rsid w:val="003B514D"/>
    <w:rsid w:val="003B5172"/>
    <w:rsid w:val="003B5363"/>
    <w:rsid w:val="003B5ADC"/>
    <w:rsid w:val="003B60C7"/>
    <w:rsid w:val="003B63B9"/>
    <w:rsid w:val="003B64BE"/>
    <w:rsid w:val="003B6509"/>
    <w:rsid w:val="003B67B4"/>
    <w:rsid w:val="003B7570"/>
    <w:rsid w:val="003B7600"/>
    <w:rsid w:val="003B7C73"/>
    <w:rsid w:val="003C0115"/>
    <w:rsid w:val="003C0B3D"/>
    <w:rsid w:val="003C0C34"/>
    <w:rsid w:val="003C1C37"/>
    <w:rsid w:val="003C2020"/>
    <w:rsid w:val="003C267E"/>
    <w:rsid w:val="003C2A1E"/>
    <w:rsid w:val="003C30CC"/>
    <w:rsid w:val="003C31DF"/>
    <w:rsid w:val="003C3312"/>
    <w:rsid w:val="003C35F6"/>
    <w:rsid w:val="003C377A"/>
    <w:rsid w:val="003C3FD3"/>
    <w:rsid w:val="003C41B7"/>
    <w:rsid w:val="003C4A91"/>
    <w:rsid w:val="003C540B"/>
    <w:rsid w:val="003C5C80"/>
    <w:rsid w:val="003C66A7"/>
    <w:rsid w:val="003C6919"/>
    <w:rsid w:val="003C6C7B"/>
    <w:rsid w:val="003C7318"/>
    <w:rsid w:val="003C762F"/>
    <w:rsid w:val="003C76DD"/>
    <w:rsid w:val="003D0005"/>
    <w:rsid w:val="003D0F69"/>
    <w:rsid w:val="003D2161"/>
    <w:rsid w:val="003D24A3"/>
    <w:rsid w:val="003D269D"/>
    <w:rsid w:val="003D2D0F"/>
    <w:rsid w:val="003D372D"/>
    <w:rsid w:val="003D3A3F"/>
    <w:rsid w:val="003D3F0A"/>
    <w:rsid w:val="003D4144"/>
    <w:rsid w:val="003D455D"/>
    <w:rsid w:val="003D46EF"/>
    <w:rsid w:val="003D55DA"/>
    <w:rsid w:val="003D5756"/>
    <w:rsid w:val="003D5CBB"/>
    <w:rsid w:val="003D5D0B"/>
    <w:rsid w:val="003D5F09"/>
    <w:rsid w:val="003D606C"/>
    <w:rsid w:val="003D61E6"/>
    <w:rsid w:val="003D656C"/>
    <w:rsid w:val="003D65AD"/>
    <w:rsid w:val="003D6BCD"/>
    <w:rsid w:val="003D6FB6"/>
    <w:rsid w:val="003D7903"/>
    <w:rsid w:val="003D7D66"/>
    <w:rsid w:val="003E0012"/>
    <w:rsid w:val="003E014C"/>
    <w:rsid w:val="003E153C"/>
    <w:rsid w:val="003E1C89"/>
    <w:rsid w:val="003E1F0E"/>
    <w:rsid w:val="003E2458"/>
    <w:rsid w:val="003E2B07"/>
    <w:rsid w:val="003E2CB5"/>
    <w:rsid w:val="003E2D3F"/>
    <w:rsid w:val="003E39AF"/>
    <w:rsid w:val="003E39CE"/>
    <w:rsid w:val="003E3BB0"/>
    <w:rsid w:val="003E41C7"/>
    <w:rsid w:val="003E428E"/>
    <w:rsid w:val="003E4725"/>
    <w:rsid w:val="003E4920"/>
    <w:rsid w:val="003E4CB7"/>
    <w:rsid w:val="003E57FA"/>
    <w:rsid w:val="003E643A"/>
    <w:rsid w:val="003E6D7F"/>
    <w:rsid w:val="003E7192"/>
    <w:rsid w:val="003E72E6"/>
    <w:rsid w:val="003E795D"/>
    <w:rsid w:val="003E7F66"/>
    <w:rsid w:val="003E7F6D"/>
    <w:rsid w:val="003E7F7D"/>
    <w:rsid w:val="003F00AD"/>
    <w:rsid w:val="003F0435"/>
    <w:rsid w:val="003F055E"/>
    <w:rsid w:val="003F0588"/>
    <w:rsid w:val="003F0CE9"/>
    <w:rsid w:val="003F121F"/>
    <w:rsid w:val="003F12E2"/>
    <w:rsid w:val="003F1606"/>
    <w:rsid w:val="003F1A1C"/>
    <w:rsid w:val="003F2194"/>
    <w:rsid w:val="003F2CC5"/>
    <w:rsid w:val="003F2FC0"/>
    <w:rsid w:val="003F3CA8"/>
    <w:rsid w:val="003F4A51"/>
    <w:rsid w:val="003F4B32"/>
    <w:rsid w:val="003F5C68"/>
    <w:rsid w:val="003F5E85"/>
    <w:rsid w:val="003F6630"/>
    <w:rsid w:val="003F67FB"/>
    <w:rsid w:val="003F6C68"/>
    <w:rsid w:val="003F6CDD"/>
    <w:rsid w:val="003F73FD"/>
    <w:rsid w:val="003F78EB"/>
    <w:rsid w:val="003F7FCF"/>
    <w:rsid w:val="00400033"/>
    <w:rsid w:val="0040030E"/>
    <w:rsid w:val="00401351"/>
    <w:rsid w:val="00401559"/>
    <w:rsid w:val="00401DAA"/>
    <w:rsid w:val="00402484"/>
    <w:rsid w:val="004029D5"/>
    <w:rsid w:val="00402B32"/>
    <w:rsid w:val="00402D79"/>
    <w:rsid w:val="00402EBD"/>
    <w:rsid w:val="00403A48"/>
    <w:rsid w:val="00403B20"/>
    <w:rsid w:val="00403D3B"/>
    <w:rsid w:val="00403E6F"/>
    <w:rsid w:val="00403F69"/>
    <w:rsid w:val="00404102"/>
    <w:rsid w:val="00404AE1"/>
    <w:rsid w:val="00404BE3"/>
    <w:rsid w:val="0040523A"/>
    <w:rsid w:val="004058E2"/>
    <w:rsid w:val="00405B2C"/>
    <w:rsid w:val="00406703"/>
    <w:rsid w:val="00407019"/>
    <w:rsid w:val="0040712D"/>
    <w:rsid w:val="0041007C"/>
    <w:rsid w:val="004104A1"/>
    <w:rsid w:val="004104CC"/>
    <w:rsid w:val="004104FD"/>
    <w:rsid w:val="00410834"/>
    <w:rsid w:val="00410B25"/>
    <w:rsid w:val="00410E09"/>
    <w:rsid w:val="00410F47"/>
    <w:rsid w:val="00411004"/>
    <w:rsid w:val="00411E3D"/>
    <w:rsid w:val="00412645"/>
    <w:rsid w:val="004129A1"/>
    <w:rsid w:val="00412F43"/>
    <w:rsid w:val="004132CA"/>
    <w:rsid w:val="00413517"/>
    <w:rsid w:val="00413A7C"/>
    <w:rsid w:val="00413C8A"/>
    <w:rsid w:val="00414C53"/>
    <w:rsid w:val="004157A3"/>
    <w:rsid w:val="0041607A"/>
    <w:rsid w:val="0041652E"/>
    <w:rsid w:val="004171EA"/>
    <w:rsid w:val="004200DB"/>
    <w:rsid w:val="00420690"/>
    <w:rsid w:val="00420CA3"/>
    <w:rsid w:val="00420E71"/>
    <w:rsid w:val="00421448"/>
    <w:rsid w:val="00421614"/>
    <w:rsid w:val="00421812"/>
    <w:rsid w:val="00421827"/>
    <w:rsid w:val="00421892"/>
    <w:rsid w:val="00421965"/>
    <w:rsid w:val="004221B2"/>
    <w:rsid w:val="0042250A"/>
    <w:rsid w:val="004228A1"/>
    <w:rsid w:val="00422E76"/>
    <w:rsid w:val="00422E8A"/>
    <w:rsid w:val="0042308C"/>
    <w:rsid w:val="00423792"/>
    <w:rsid w:val="0042380B"/>
    <w:rsid w:val="00423817"/>
    <w:rsid w:val="004238AB"/>
    <w:rsid w:val="00423B98"/>
    <w:rsid w:val="00423D49"/>
    <w:rsid w:val="00423EB9"/>
    <w:rsid w:val="00424947"/>
    <w:rsid w:val="00424997"/>
    <w:rsid w:val="00424CD9"/>
    <w:rsid w:val="00425062"/>
    <w:rsid w:val="004252F5"/>
    <w:rsid w:val="0042626F"/>
    <w:rsid w:val="004267B6"/>
    <w:rsid w:val="004268D5"/>
    <w:rsid w:val="00427546"/>
    <w:rsid w:val="00427611"/>
    <w:rsid w:val="00427A54"/>
    <w:rsid w:val="00427C85"/>
    <w:rsid w:val="00430293"/>
    <w:rsid w:val="00430906"/>
    <w:rsid w:val="004315B6"/>
    <w:rsid w:val="0043166C"/>
    <w:rsid w:val="00431A1B"/>
    <w:rsid w:val="00431BC3"/>
    <w:rsid w:val="0043227D"/>
    <w:rsid w:val="004322D6"/>
    <w:rsid w:val="0043233D"/>
    <w:rsid w:val="00432A85"/>
    <w:rsid w:val="00432AAD"/>
    <w:rsid w:val="00433743"/>
    <w:rsid w:val="0043407A"/>
    <w:rsid w:val="00434427"/>
    <w:rsid w:val="00434520"/>
    <w:rsid w:val="00434897"/>
    <w:rsid w:val="00434A5F"/>
    <w:rsid w:val="00434FE3"/>
    <w:rsid w:val="004350D9"/>
    <w:rsid w:val="00435DD1"/>
    <w:rsid w:val="00436153"/>
    <w:rsid w:val="00436A32"/>
    <w:rsid w:val="00436CAC"/>
    <w:rsid w:val="00437004"/>
    <w:rsid w:val="0043774A"/>
    <w:rsid w:val="0043793D"/>
    <w:rsid w:val="00437E0A"/>
    <w:rsid w:val="00437FBD"/>
    <w:rsid w:val="00440074"/>
    <w:rsid w:val="00440154"/>
    <w:rsid w:val="004401B3"/>
    <w:rsid w:val="0044040C"/>
    <w:rsid w:val="00440674"/>
    <w:rsid w:val="004406D8"/>
    <w:rsid w:val="00440AE3"/>
    <w:rsid w:val="00441027"/>
    <w:rsid w:val="00441F10"/>
    <w:rsid w:val="0044282A"/>
    <w:rsid w:val="004429D4"/>
    <w:rsid w:val="00442D9D"/>
    <w:rsid w:val="00443055"/>
    <w:rsid w:val="00443211"/>
    <w:rsid w:val="00443B69"/>
    <w:rsid w:val="00443B74"/>
    <w:rsid w:val="00443F4D"/>
    <w:rsid w:val="00444375"/>
    <w:rsid w:val="00445358"/>
    <w:rsid w:val="00445607"/>
    <w:rsid w:val="00445CD9"/>
    <w:rsid w:val="004468FA"/>
    <w:rsid w:val="00446AA5"/>
    <w:rsid w:val="00447358"/>
    <w:rsid w:val="004479A1"/>
    <w:rsid w:val="00447CD8"/>
    <w:rsid w:val="00450033"/>
    <w:rsid w:val="004504E6"/>
    <w:rsid w:val="004508C9"/>
    <w:rsid w:val="00450B9E"/>
    <w:rsid w:val="00450C1E"/>
    <w:rsid w:val="00451434"/>
    <w:rsid w:val="00451CDF"/>
    <w:rsid w:val="00451CEF"/>
    <w:rsid w:val="00451E68"/>
    <w:rsid w:val="00452767"/>
    <w:rsid w:val="00452B18"/>
    <w:rsid w:val="00452B5C"/>
    <w:rsid w:val="0045361A"/>
    <w:rsid w:val="004538B9"/>
    <w:rsid w:val="00454341"/>
    <w:rsid w:val="00454426"/>
    <w:rsid w:val="004544CB"/>
    <w:rsid w:val="00454726"/>
    <w:rsid w:val="00454DC7"/>
    <w:rsid w:val="00455944"/>
    <w:rsid w:val="00455C5C"/>
    <w:rsid w:val="004561D9"/>
    <w:rsid w:val="00456B0F"/>
    <w:rsid w:val="00456BBC"/>
    <w:rsid w:val="00456DAB"/>
    <w:rsid w:val="00456DE4"/>
    <w:rsid w:val="00457378"/>
    <w:rsid w:val="0045743A"/>
    <w:rsid w:val="004576DF"/>
    <w:rsid w:val="004578D5"/>
    <w:rsid w:val="00457949"/>
    <w:rsid w:val="00457A1B"/>
    <w:rsid w:val="004601C8"/>
    <w:rsid w:val="004606A0"/>
    <w:rsid w:val="0046142E"/>
    <w:rsid w:val="004619D1"/>
    <w:rsid w:val="00461A56"/>
    <w:rsid w:val="00461D11"/>
    <w:rsid w:val="00462A9C"/>
    <w:rsid w:val="0046387A"/>
    <w:rsid w:val="00463889"/>
    <w:rsid w:val="00463926"/>
    <w:rsid w:val="00463FA4"/>
    <w:rsid w:val="00464136"/>
    <w:rsid w:val="004642AA"/>
    <w:rsid w:val="004666E4"/>
    <w:rsid w:val="00466C15"/>
    <w:rsid w:val="00467A0F"/>
    <w:rsid w:val="00467C62"/>
    <w:rsid w:val="00467DBA"/>
    <w:rsid w:val="004707DC"/>
    <w:rsid w:val="00470DE5"/>
    <w:rsid w:val="0047154C"/>
    <w:rsid w:val="00471889"/>
    <w:rsid w:val="00471F57"/>
    <w:rsid w:val="004724E9"/>
    <w:rsid w:val="00472840"/>
    <w:rsid w:val="004728BA"/>
    <w:rsid w:val="00472B22"/>
    <w:rsid w:val="00473197"/>
    <w:rsid w:val="0047319D"/>
    <w:rsid w:val="00473C72"/>
    <w:rsid w:val="00473D36"/>
    <w:rsid w:val="00473DB2"/>
    <w:rsid w:val="00474042"/>
    <w:rsid w:val="004740E7"/>
    <w:rsid w:val="00474129"/>
    <w:rsid w:val="004743C4"/>
    <w:rsid w:val="00474715"/>
    <w:rsid w:val="0047480A"/>
    <w:rsid w:val="0047496B"/>
    <w:rsid w:val="00474E46"/>
    <w:rsid w:val="00475150"/>
    <w:rsid w:val="004754EB"/>
    <w:rsid w:val="00475AA0"/>
    <w:rsid w:val="00476231"/>
    <w:rsid w:val="004762EE"/>
    <w:rsid w:val="0047650D"/>
    <w:rsid w:val="00476706"/>
    <w:rsid w:val="004767C1"/>
    <w:rsid w:val="00476A8C"/>
    <w:rsid w:val="00476A9C"/>
    <w:rsid w:val="00476ED3"/>
    <w:rsid w:val="004770F5"/>
    <w:rsid w:val="004777CD"/>
    <w:rsid w:val="00477C3F"/>
    <w:rsid w:val="00477F58"/>
    <w:rsid w:val="00480075"/>
    <w:rsid w:val="004807AD"/>
    <w:rsid w:val="00480849"/>
    <w:rsid w:val="0048144B"/>
    <w:rsid w:val="004815CF"/>
    <w:rsid w:val="00482217"/>
    <w:rsid w:val="0048232D"/>
    <w:rsid w:val="004824C6"/>
    <w:rsid w:val="004826B3"/>
    <w:rsid w:val="00482DBC"/>
    <w:rsid w:val="00482DD1"/>
    <w:rsid w:val="0048304E"/>
    <w:rsid w:val="004830E0"/>
    <w:rsid w:val="004832A6"/>
    <w:rsid w:val="00483511"/>
    <w:rsid w:val="00484078"/>
    <w:rsid w:val="00484B00"/>
    <w:rsid w:val="00484CF6"/>
    <w:rsid w:val="00484DC5"/>
    <w:rsid w:val="0048538F"/>
    <w:rsid w:val="004853A3"/>
    <w:rsid w:val="0048673C"/>
    <w:rsid w:val="00486ED2"/>
    <w:rsid w:val="004872B5"/>
    <w:rsid w:val="0048730D"/>
    <w:rsid w:val="004900F2"/>
    <w:rsid w:val="0049035D"/>
    <w:rsid w:val="004905F8"/>
    <w:rsid w:val="004909DD"/>
    <w:rsid w:val="004909E7"/>
    <w:rsid w:val="00490A6E"/>
    <w:rsid w:val="00490CC7"/>
    <w:rsid w:val="00491B53"/>
    <w:rsid w:val="00491BF3"/>
    <w:rsid w:val="004922CA"/>
    <w:rsid w:val="00492382"/>
    <w:rsid w:val="00492557"/>
    <w:rsid w:val="004930E8"/>
    <w:rsid w:val="0049338A"/>
    <w:rsid w:val="00493C01"/>
    <w:rsid w:val="00493C09"/>
    <w:rsid w:val="00494162"/>
    <w:rsid w:val="0049424E"/>
    <w:rsid w:val="0049426A"/>
    <w:rsid w:val="0049444F"/>
    <w:rsid w:val="0049488F"/>
    <w:rsid w:val="00494D86"/>
    <w:rsid w:val="004951A9"/>
    <w:rsid w:val="00496757"/>
    <w:rsid w:val="004967F3"/>
    <w:rsid w:val="00496A05"/>
    <w:rsid w:val="00496AE1"/>
    <w:rsid w:val="00496B51"/>
    <w:rsid w:val="00497247"/>
    <w:rsid w:val="004A06F1"/>
    <w:rsid w:val="004A0F6C"/>
    <w:rsid w:val="004A0FBC"/>
    <w:rsid w:val="004A1151"/>
    <w:rsid w:val="004A138D"/>
    <w:rsid w:val="004A1420"/>
    <w:rsid w:val="004A27E6"/>
    <w:rsid w:val="004A283E"/>
    <w:rsid w:val="004A28D5"/>
    <w:rsid w:val="004A3796"/>
    <w:rsid w:val="004A37EB"/>
    <w:rsid w:val="004A408B"/>
    <w:rsid w:val="004A43AC"/>
    <w:rsid w:val="004A4CDA"/>
    <w:rsid w:val="004A50F3"/>
    <w:rsid w:val="004A515E"/>
    <w:rsid w:val="004A5258"/>
    <w:rsid w:val="004A538A"/>
    <w:rsid w:val="004A540B"/>
    <w:rsid w:val="004A585B"/>
    <w:rsid w:val="004A58B8"/>
    <w:rsid w:val="004A596E"/>
    <w:rsid w:val="004A5D48"/>
    <w:rsid w:val="004A6CBD"/>
    <w:rsid w:val="004A6F82"/>
    <w:rsid w:val="004A7375"/>
    <w:rsid w:val="004B0235"/>
    <w:rsid w:val="004B0240"/>
    <w:rsid w:val="004B049F"/>
    <w:rsid w:val="004B085B"/>
    <w:rsid w:val="004B0946"/>
    <w:rsid w:val="004B099D"/>
    <w:rsid w:val="004B0CAC"/>
    <w:rsid w:val="004B1E34"/>
    <w:rsid w:val="004B246D"/>
    <w:rsid w:val="004B2C90"/>
    <w:rsid w:val="004B2EDC"/>
    <w:rsid w:val="004B31F6"/>
    <w:rsid w:val="004B36E5"/>
    <w:rsid w:val="004B37C2"/>
    <w:rsid w:val="004B3996"/>
    <w:rsid w:val="004B41B7"/>
    <w:rsid w:val="004B45AD"/>
    <w:rsid w:val="004B4CA6"/>
    <w:rsid w:val="004B4E1F"/>
    <w:rsid w:val="004B547F"/>
    <w:rsid w:val="004B5699"/>
    <w:rsid w:val="004B5CA9"/>
    <w:rsid w:val="004B6347"/>
    <w:rsid w:val="004B6558"/>
    <w:rsid w:val="004B656A"/>
    <w:rsid w:val="004B7239"/>
    <w:rsid w:val="004B739F"/>
    <w:rsid w:val="004B7778"/>
    <w:rsid w:val="004C047B"/>
    <w:rsid w:val="004C0539"/>
    <w:rsid w:val="004C153F"/>
    <w:rsid w:val="004C1DD0"/>
    <w:rsid w:val="004C1E83"/>
    <w:rsid w:val="004C2602"/>
    <w:rsid w:val="004C2818"/>
    <w:rsid w:val="004C2AE2"/>
    <w:rsid w:val="004C31FB"/>
    <w:rsid w:val="004C383A"/>
    <w:rsid w:val="004C3CB4"/>
    <w:rsid w:val="004C414C"/>
    <w:rsid w:val="004C48E3"/>
    <w:rsid w:val="004C4E0B"/>
    <w:rsid w:val="004C521C"/>
    <w:rsid w:val="004C60A7"/>
    <w:rsid w:val="004C685D"/>
    <w:rsid w:val="004C6ABD"/>
    <w:rsid w:val="004C793F"/>
    <w:rsid w:val="004C7CD1"/>
    <w:rsid w:val="004C7E91"/>
    <w:rsid w:val="004D0028"/>
    <w:rsid w:val="004D00DF"/>
    <w:rsid w:val="004D015E"/>
    <w:rsid w:val="004D04DE"/>
    <w:rsid w:val="004D1036"/>
    <w:rsid w:val="004D10E4"/>
    <w:rsid w:val="004D111D"/>
    <w:rsid w:val="004D14B6"/>
    <w:rsid w:val="004D18C9"/>
    <w:rsid w:val="004D1C4A"/>
    <w:rsid w:val="004D1D57"/>
    <w:rsid w:val="004D23DC"/>
    <w:rsid w:val="004D2681"/>
    <w:rsid w:val="004D2C13"/>
    <w:rsid w:val="004D2E83"/>
    <w:rsid w:val="004D30FA"/>
    <w:rsid w:val="004D3310"/>
    <w:rsid w:val="004D34E9"/>
    <w:rsid w:val="004D3528"/>
    <w:rsid w:val="004D38FD"/>
    <w:rsid w:val="004D3D32"/>
    <w:rsid w:val="004D3D5C"/>
    <w:rsid w:val="004D3F29"/>
    <w:rsid w:val="004D43C1"/>
    <w:rsid w:val="004D4444"/>
    <w:rsid w:val="004D475A"/>
    <w:rsid w:val="004D47F4"/>
    <w:rsid w:val="004D499C"/>
    <w:rsid w:val="004D5C5A"/>
    <w:rsid w:val="004D6064"/>
    <w:rsid w:val="004D62D1"/>
    <w:rsid w:val="004D634D"/>
    <w:rsid w:val="004D690F"/>
    <w:rsid w:val="004D7220"/>
    <w:rsid w:val="004D7E3D"/>
    <w:rsid w:val="004D7EA8"/>
    <w:rsid w:val="004E0A90"/>
    <w:rsid w:val="004E10B7"/>
    <w:rsid w:val="004E1689"/>
    <w:rsid w:val="004E1C2F"/>
    <w:rsid w:val="004E288D"/>
    <w:rsid w:val="004E2994"/>
    <w:rsid w:val="004E2ADA"/>
    <w:rsid w:val="004E392D"/>
    <w:rsid w:val="004E3CA9"/>
    <w:rsid w:val="004E403D"/>
    <w:rsid w:val="004E4185"/>
    <w:rsid w:val="004E4281"/>
    <w:rsid w:val="004E42F5"/>
    <w:rsid w:val="004E4A5C"/>
    <w:rsid w:val="004E5340"/>
    <w:rsid w:val="004E549A"/>
    <w:rsid w:val="004E5794"/>
    <w:rsid w:val="004E58B6"/>
    <w:rsid w:val="004E5CD5"/>
    <w:rsid w:val="004E6AC3"/>
    <w:rsid w:val="004E780E"/>
    <w:rsid w:val="004E7A02"/>
    <w:rsid w:val="004F0466"/>
    <w:rsid w:val="004F04E4"/>
    <w:rsid w:val="004F11D5"/>
    <w:rsid w:val="004F167F"/>
    <w:rsid w:val="004F1C69"/>
    <w:rsid w:val="004F1F39"/>
    <w:rsid w:val="004F250C"/>
    <w:rsid w:val="004F2F1D"/>
    <w:rsid w:val="004F37DD"/>
    <w:rsid w:val="004F38E5"/>
    <w:rsid w:val="004F3F94"/>
    <w:rsid w:val="004F3FFB"/>
    <w:rsid w:val="004F47E9"/>
    <w:rsid w:val="004F4E72"/>
    <w:rsid w:val="004F534B"/>
    <w:rsid w:val="004F5779"/>
    <w:rsid w:val="004F5D1D"/>
    <w:rsid w:val="004F69B2"/>
    <w:rsid w:val="004F6C32"/>
    <w:rsid w:val="004F6E9F"/>
    <w:rsid w:val="004F7E02"/>
    <w:rsid w:val="00500ED2"/>
    <w:rsid w:val="00500F5A"/>
    <w:rsid w:val="00501375"/>
    <w:rsid w:val="00501C90"/>
    <w:rsid w:val="005020F4"/>
    <w:rsid w:val="00502122"/>
    <w:rsid w:val="00502174"/>
    <w:rsid w:val="00502193"/>
    <w:rsid w:val="00502663"/>
    <w:rsid w:val="00502CAD"/>
    <w:rsid w:val="00502FBA"/>
    <w:rsid w:val="00503AA8"/>
    <w:rsid w:val="00503CCF"/>
    <w:rsid w:val="00503EA7"/>
    <w:rsid w:val="00503F3F"/>
    <w:rsid w:val="005041BA"/>
    <w:rsid w:val="005049DD"/>
    <w:rsid w:val="00504A9D"/>
    <w:rsid w:val="0050621C"/>
    <w:rsid w:val="0050639D"/>
    <w:rsid w:val="00506662"/>
    <w:rsid w:val="0050697D"/>
    <w:rsid w:val="00506C84"/>
    <w:rsid w:val="0050724E"/>
    <w:rsid w:val="00510848"/>
    <w:rsid w:val="005108E9"/>
    <w:rsid w:val="00510B49"/>
    <w:rsid w:val="00510D5A"/>
    <w:rsid w:val="00510D72"/>
    <w:rsid w:val="005112F5"/>
    <w:rsid w:val="005118FB"/>
    <w:rsid w:val="00511C1E"/>
    <w:rsid w:val="00511E58"/>
    <w:rsid w:val="005123E5"/>
    <w:rsid w:val="00512FEE"/>
    <w:rsid w:val="00513186"/>
    <w:rsid w:val="0051318B"/>
    <w:rsid w:val="0051357F"/>
    <w:rsid w:val="005138E1"/>
    <w:rsid w:val="005138EF"/>
    <w:rsid w:val="00513B8C"/>
    <w:rsid w:val="0051436B"/>
    <w:rsid w:val="005143B3"/>
    <w:rsid w:val="00514890"/>
    <w:rsid w:val="00515138"/>
    <w:rsid w:val="005154B3"/>
    <w:rsid w:val="00515D30"/>
    <w:rsid w:val="005163E6"/>
    <w:rsid w:val="0051692B"/>
    <w:rsid w:val="00516D3F"/>
    <w:rsid w:val="00516EF9"/>
    <w:rsid w:val="005178F8"/>
    <w:rsid w:val="00517AD7"/>
    <w:rsid w:val="0052025E"/>
    <w:rsid w:val="00520F86"/>
    <w:rsid w:val="005211C1"/>
    <w:rsid w:val="00521701"/>
    <w:rsid w:val="00521975"/>
    <w:rsid w:val="00521B79"/>
    <w:rsid w:val="00522259"/>
    <w:rsid w:val="005225C1"/>
    <w:rsid w:val="00522A6A"/>
    <w:rsid w:val="00522C12"/>
    <w:rsid w:val="00522E6B"/>
    <w:rsid w:val="00523062"/>
    <w:rsid w:val="00523149"/>
    <w:rsid w:val="00523185"/>
    <w:rsid w:val="0052342C"/>
    <w:rsid w:val="0052353B"/>
    <w:rsid w:val="00524134"/>
    <w:rsid w:val="00524863"/>
    <w:rsid w:val="005255EC"/>
    <w:rsid w:val="005267D0"/>
    <w:rsid w:val="00526F00"/>
    <w:rsid w:val="005277A4"/>
    <w:rsid w:val="00527812"/>
    <w:rsid w:val="00527E4D"/>
    <w:rsid w:val="00527FC9"/>
    <w:rsid w:val="005304BA"/>
    <w:rsid w:val="00530509"/>
    <w:rsid w:val="00531827"/>
    <w:rsid w:val="005318FA"/>
    <w:rsid w:val="00531AF6"/>
    <w:rsid w:val="005323CC"/>
    <w:rsid w:val="0053263C"/>
    <w:rsid w:val="005329DE"/>
    <w:rsid w:val="00532DE7"/>
    <w:rsid w:val="00532EC7"/>
    <w:rsid w:val="005332C1"/>
    <w:rsid w:val="005339A3"/>
    <w:rsid w:val="00535124"/>
    <w:rsid w:val="0053549E"/>
    <w:rsid w:val="005358AB"/>
    <w:rsid w:val="00535E15"/>
    <w:rsid w:val="00535E52"/>
    <w:rsid w:val="005365C0"/>
    <w:rsid w:val="00537124"/>
    <w:rsid w:val="00537337"/>
    <w:rsid w:val="005373F1"/>
    <w:rsid w:val="00537D01"/>
    <w:rsid w:val="00540630"/>
    <w:rsid w:val="00540829"/>
    <w:rsid w:val="005409EB"/>
    <w:rsid w:val="00540B59"/>
    <w:rsid w:val="005432CF"/>
    <w:rsid w:val="0054377C"/>
    <w:rsid w:val="005439FB"/>
    <w:rsid w:val="00543C8C"/>
    <w:rsid w:val="00544A90"/>
    <w:rsid w:val="00544A92"/>
    <w:rsid w:val="00544FC3"/>
    <w:rsid w:val="00546C87"/>
    <w:rsid w:val="00546CFD"/>
    <w:rsid w:val="005470A5"/>
    <w:rsid w:val="0054717D"/>
    <w:rsid w:val="005471EA"/>
    <w:rsid w:val="005476C5"/>
    <w:rsid w:val="00547A71"/>
    <w:rsid w:val="00547AB9"/>
    <w:rsid w:val="00547F6F"/>
    <w:rsid w:val="005502BB"/>
    <w:rsid w:val="00550C21"/>
    <w:rsid w:val="00550F13"/>
    <w:rsid w:val="00551A13"/>
    <w:rsid w:val="00551AB0"/>
    <w:rsid w:val="00552589"/>
    <w:rsid w:val="00552684"/>
    <w:rsid w:val="005528AB"/>
    <w:rsid w:val="005529CF"/>
    <w:rsid w:val="00552F34"/>
    <w:rsid w:val="00553003"/>
    <w:rsid w:val="005532CA"/>
    <w:rsid w:val="005533F8"/>
    <w:rsid w:val="005547C9"/>
    <w:rsid w:val="005548CA"/>
    <w:rsid w:val="00555124"/>
    <w:rsid w:val="00555337"/>
    <w:rsid w:val="00556963"/>
    <w:rsid w:val="00556C81"/>
    <w:rsid w:val="00556E49"/>
    <w:rsid w:val="00556EC6"/>
    <w:rsid w:val="0055732F"/>
    <w:rsid w:val="005574C0"/>
    <w:rsid w:val="00557608"/>
    <w:rsid w:val="00557F20"/>
    <w:rsid w:val="00560015"/>
    <w:rsid w:val="0056092B"/>
    <w:rsid w:val="00560C3C"/>
    <w:rsid w:val="0056135A"/>
    <w:rsid w:val="005613B8"/>
    <w:rsid w:val="0056144C"/>
    <w:rsid w:val="005619F2"/>
    <w:rsid w:val="00561A04"/>
    <w:rsid w:val="00561FA3"/>
    <w:rsid w:val="005621E2"/>
    <w:rsid w:val="00562B8F"/>
    <w:rsid w:val="00562F25"/>
    <w:rsid w:val="00562FF9"/>
    <w:rsid w:val="0056300C"/>
    <w:rsid w:val="0056338A"/>
    <w:rsid w:val="005634D8"/>
    <w:rsid w:val="00563662"/>
    <w:rsid w:val="00563AD3"/>
    <w:rsid w:val="0056415A"/>
    <w:rsid w:val="005645BC"/>
    <w:rsid w:val="00564D74"/>
    <w:rsid w:val="00565626"/>
    <w:rsid w:val="00565984"/>
    <w:rsid w:val="00565AC3"/>
    <w:rsid w:val="00565FB1"/>
    <w:rsid w:val="0056640A"/>
    <w:rsid w:val="005665B8"/>
    <w:rsid w:val="00566882"/>
    <w:rsid w:val="00566DF5"/>
    <w:rsid w:val="00566FC5"/>
    <w:rsid w:val="00567137"/>
    <w:rsid w:val="005676CE"/>
    <w:rsid w:val="00567AB9"/>
    <w:rsid w:val="00567E7C"/>
    <w:rsid w:val="00567FF6"/>
    <w:rsid w:val="0057088F"/>
    <w:rsid w:val="00570B76"/>
    <w:rsid w:val="00570C09"/>
    <w:rsid w:val="00570EA9"/>
    <w:rsid w:val="00571310"/>
    <w:rsid w:val="0057138E"/>
    <w:rsid w:val="00571543"/>
    <w:rsid w:val="00571711"/>
    <w:rsid w:val="00571781"/>
    <w:rsid w:val="0057199A"/>
    <w:rsid w:val="00571C29"/>
    <w:rsid w:val="00571E1B"/>
    <w:rsid w:val="00571E34"/>
    <w:rsid w:val="00572144"/>
    <w:rsid w:val="005721E6"/>
    <w:rsid w:val="00572250"/>
    <w:rsid w:val="00572463"/>
    <w:rsid w:val="00572760"/>
    <w:rsid w:val="00572890"/>
    <w:rsid w:val="00572DBC"/>
    <w:rsid w:val="005731F0"/>
    <w:rsid w:val="0057353A"/>
    <w:rsid w:val="00573942"/>
    <w:rsid w:val="00573B88"/>
    <w:rsid w:val="005742F4"/>
    <w:rsid w:val="00574BF3"/>
    <w:rsid w:val="00574C2D"/>
    <w:rsid w:val="005751A0"/>
    <w:rsid w:val="00575C2C"/>
    <w:rsid w:val="00575DF2"/>
    <w:rsid w:val="00576154"/>
    <w:rsid w:val="0057645B"/>
    <w:rsid w:val="00576E5C"/>
    <w:rsid w:val="00576F77"/>
    <w:rsid w:val="00577540"/>
    <w:rsid w:val="005778B1"/>
    <w:rsid w:val="0058002B"/>
    <w:rsid w:val="0058035A"/>
    <w:rsid w:val="005812B0"/>
    <w:rsid w:val="00581BC9"/>
    <w:rsid w:val="00581D6C"/>
    <w:rsid w:val="00582DA9"/>
    <w:rsid w:val="005831D7"/>
    <w:rsid w:val="005838A7"/>
    <w:rsid w:val="00584856"/>
    <w:rsid w:val="00584BD5"/>
    <w:rsid w:val="00584BE2"/>
    <w:rsid w:val="005857FE"/>
    <w:rsid w:val="005858D6"/>
    <w:rsid w:val="00585906"/>
    <w:rsid w:val="00585DF6"/>
    <w:rsid w:val="00585E34"/>
    <w:rsid w:val="005861A4"/>
    <w:rsid w:val="005866E7"/>
    <w:rsid w:val="00586F9F"/>
    <w:rsid w:val="0058719D"/>
    <w:rsid w:val="00587D32"/>
    <w:rsid w:val="00587DBC"/>
    <w:rsid w:val="00590156"/>
    <w:rsid w:val="00590302"/>
    <w:rsid w:val="00590367"/>
    <w:rsid w:val="005903E7"/>
    <w:rsid w:val="00590402"/>
    <w:rsid w:val="005905F0"/>
    <w:rsid w:val="0059079E"/>
    <w:rsid w:val="00591368"/>
    <w:rsid w:val="00591A78"/>
    <w:rsid w:val="00591DA0"/>
    <w:rsid w:val="005920AC"/>
    <w:rsid w:val="00592ABE"/>
    <w:rsid w:val="00592EAB"/>
    <w:rsid w:val="0059323C"/>
    <w:rsid w:val="00593578"/>
    <w:rsid w:val="005937F0"/>
    <w:rsid w:val="00593870"/>
    <w:rsid w:val="00593910"/>
    <w:rsid w:val="00594505"/>
    <w:rsid w:val="00594B96"/>
    <w:rsid w:val="00594BB2"/>
    <w:rsid w:val="00594C00"/>
    <w:rsid w:val="00594F16"/>
    <w:rsid w:val="00594FA7"/>
    <w:rsid w:val="00595985"/>
    <w:rsid w:val="00595DDC"/>
    <w:rsid w:val="005962E4"/>
    <w:rsid w:val="00596FF2"/>
    <w:rsid w:val="005978BA"/>
    <w:rsid w:val="00597B06"/>
    <w:rsid w:val="00597BDD"/>
    <w:rsid w:val="005A0126"/>
    <w:rsid w:val="005A0CA5"/>
    <w:rsid w:val="005A0FC5"/>
    <w:rsid w:val="005A1B94"/>
    <w:rsid w:val="005A1CD6"/>
    <w:rsid w:val="005A1F8D"/>
    <w:rsid w:val="005A237B"/>
    <w:rsid w:val="005A2715"/>
    <w:rsid w:val="005A3B04"/>
    <w:rsid w:val="005A3C12"/>
    <w:rsid w:val="005A3D06"/>
    <w:rsid w:val="005A4392"/>
    <w:rsid w:val="005A46BC"/>
    <w:rsid w:val="005A46F0"/>
    <w:rsid w:val="005A5978"/>
    <w:rsid w:val="005A5AAD"/>
    <w:rsid w:val="005A5CEF"/>
    <w:rsid w:val="005A5FE4"/>
    <w:rsid w:val="005A60DC"/>
    <w:rsid w:val="005A60DF"/>
    <w:rsid w:val="005A703D"/>
    <w:rsid w:val="005A76F3"/>
    <w:rsid w:val="005B0305"/>
    <w:rsid w:val="005B0369"/>
    <w:rsid w:val="005B048C"/>
    <w:rsid w:val="005B144F"/>
    <w:rsid w:val="005B187D"/>
    <w:rsid w:val="005B187E"/>
    <w:rsid w:val="005B1B13"/>
    <w:rsid w:val="005B23D8"/>
    <w:rsid w:val="005B366C"/>
    <w:rsid w:val="005B3B5C"/>
    <w:rsid w:val="005B433D"/>
    <w:rsid w:val="005B47C9"/>
    <w:rsid w:val="005B5313"/>
    <w:rsid w:val="005B5BA0"/>
    <w:rsid w:val="005B5F4B"/>
    <w:rsid w:val="005B676B"/>
    <w:rsid w:val="005B6AB6"/>
    <w:rsid w:val="005B6B1A"/>
    <w:rsid w:val="005B6D0E"/>
    <w:rsid w:val="005B7063"/>
    <w:rsid w:val="005B7426"/>
    <w:rsid w:val="005C172E"/>
    <w:rsid w:val="005C1CA2"/>
    <w:rsid w:val="005C1EA5"/>
    <w:rsid w:val="005C2260"/>
    <w:rsid w:val="005C2C8C"/>
    <w:rsid w:val="005C2CCE"/>
    <w:rsid w:val="005C2EA8"/>
    <w:rsid w:val="005C2EE0"/>
    <w:rsid w:val="005C34BF"/>
    <w:rsid w:val="005C380D"/>
    <w:rsid w:val="005C44C9"/>
    <w:rsid w:val="005C44DA"/>
    <w:rsid w:val="005C49E9"/>
    <w:rsid w:val="005C51A0"/>
    <w:rsid w:val="005C52AD"/>
    <w:rsid w:val="005C54A8"/>
    <w:rsid w:val="005C5BB9"/>
    <w:rsid w:val="005C5CFC"/>
    <w:rsid w:val="005C5DD4"/>
    <w:rsid w:val="005C5F00"/>
    <w:rsid w:val="005C6B80"/>
    <w:rsid w:val="005C7063"/>
    <w:rsid w:val="005C732C"/>
    <w:rsid w:val="005C780B"/>
    <w:rsid w:val="005D01AA"/>
    <w:rsid w:val="005D05DC"/>
    <w:rsid w:val="005D0FC2"/>
    <w:rsid w:val="005D11F0"/>
    <w:rsid w:val="005D1BEA"/>
    <w:rsid w:val="005D1FE1"/>
    <w:rsid w:val="005D2126"/>
    <w:rsid w:val="005D2825"/>
    <w:rsid w:val="005D31E5"/>
    <w:rsid w:val="005D3FAF"/>
    <w:rsid w:val="005D434E"/>
    <w:rsid w:val="005D44A2"/>
    <w:rsid w:val="005D46DD"/>
    <w:rsid w:val="005D4962"/>
    <w:rsid w:val="005D4A1C"/>
    <w:rsid w:val="005D4C4D"/>
    <w:rsid w:val="005D5A99"/>
    <w:rsid w:val="005D62AD"/>
    <w:rsid w:val="005D688F"/>
    <w:rsid w:val="005D6CB6"/>
    <w:rsid w:val="005D7250"/>
    <w:rsid w:val="005D7370"/>
    <w:rsid w:val="005D79B1"/>
    <w:rsid w:val="005D7F9B"/>
    <w:rsid w:val="005E0531"/>
    <w:rsid w:val="005E06C9"/>
    <w:rsid w:val="005E08F1"/>
    <w:rsid w:val="005E17ED"/>
    <w:rsid w:val="005E1A15"/>
    <w:rsid w:val="005E1F4D"/>
    <w:rsid w:val="005E2862"/>
    <w:rsid w:val="005E3159"/>
    <w:rsid w:val="005E34CD"/>
    <w:rsid w:val="005E3577"/>
    <w:rsid w:val="005E3907"/>
    <w:rsid w:val="005E3FBE"/>
    <w:rsid w:val="005E4809"/>
    <w:rsid w:val="005E4E70"/>
    <w:rsid w:val="005E51EF"/>
    <w:rsid w:val="005E54D2"/>
    <w:rsid w:val="005E58E9"/>
    <w:rsid w:val="005E5F74"/>
    <w:rsid w:val="005E63DC"/>
    <w:rsid w:val="005E65E6"/>
    <w:rsid w:val="005E7073"/>
    <w:rsid w:val="005E71DB"/>
    <w:rsid w:val="005E7C4E"/>
    <w:rsid w:val="005E7C6C"/>
    <w:rsid w:val="005F004A"/>
    <w:rsid w:val="005F0055"/>
    <w:rsid w:val="005F02EF"/>
    <w:rsid w:val="005F07F2"/>
    <w:rsid w:val="005F0B94"/>
    <w:rsid w:val="005F0FA9"/>
    <w:rsid w:val="005F1593"/>
    <w:rsid w:val="005F1AC3"/>
    <w:rsid w:val="005F1E35"/>
    <w:rsid w:val="005F20E5"/>
    <w:rsid w:val="005F21EE"/>
    <w:rsid w:val="005F28A5"/>
    <w:rsid w:val="005F3150"/>
    <w:rsid w:val="005F36D9"/>
    <w:rsid w:val="005F3948"/>
    <w:rsid w:val="005F39FB"/>
    <w:rsid w:val="005F3B14"/>
    <w:rsid w:val="005F40C7"/>
    <w:rsid w:val="005F465F"/>
    <w:rsid w:val="005F58B3"/>
    <w:rsid w:val="005F6262"/>
    <w:rsid w:val="005F665F"/>
    <w:rsid w:val="005F68ED"/>
    <w:rsid w:val="005F6934"/>
    <w:rsid w:val="005F6CA7"/>
    <w:rsid w:val="005F71FA"/>
    <w:rsid w:val="005F76A5"/>
    <w:rsid w:val="005F7A6A"/>
    <w:rsid w:val="006000CB"/>
    <w:rsid w:val="0060016C"/>
    <w:rsid w:val="00600830"/>
    <w:rsid w:val="00600BEC"/>
    <w:rsid w:val="006012A1"/>
    <w:rsid w:val="00601560"/>
    <w:rsid w:val="006016D0"/>
    <w:rsid w:val="006017EA"/>
    <w:rsid w:val="00601BF5"/>
    <w:rsid w:val="00601E8A"/>
    <w:rsid w:val="00602D5E"/>
    <w:rsid w:val="006034F7"/>
    <w:rsid w:val="00603668"/>
    <w:rsid w:val="006037BA"/>
    <w:rsid w:val="006041E8"/>
    <w:rsid w:val="006057F8"/>
    <w:rsid w:val="006059E0"/>
    <w:rsid w:val="00605F72"/>
    <w:rsid w:val="00605FDE"/>
    <w:rsid w:val="00606673"/>
    <w:rsid w:val="0060782C"/>
    <w:rsid w:val="00607DF7"/>
    <w:rsid w:val="00607FAF"/>
    <w:rsid w:val="00610469"/>
    <w:rsid w:val="00610670"/>
    <w:rsid w:val="00610958"/>
    <w:rsid w:val="00610ED3"/>
    <w:rsid w:val="00611708"/>
    <w:rsid w:val="006117B1"/>
    <w:rsid w:val="00611990"/>
    <w:rsid w:val="00611A8E"/>
    <w:rsid w:val="00611FC9"/>
    <w:rsid w:val="00612803"/>
    <w:rsid w:val="00612934"/>
    <w:rsid w:val="00612985"/>
    <w:rsid w:val="00612D84"/>
    <w:rsid w:val="00612E51"/>
    <w:rsid w:val="0061341A"/>
    <w:rsid w:val="00613913"/>
    <w:rsid w:val="00613C42"/>
    <w:rsid w:val="00614653"/>
    <w:rsid w:val="006146A6"/>
    <w:rsid w:val="00614754"/>
    <w:rsid w:val="006148A1"/>
    <w:rsid w:val="00614EDB"/>
    <w:rsid w:val="00615973"/>
    <w:rsid w:val="0061612B"/>
    <w:rsid w:val="00616850"/>
    <w:rsid w:val="00616DA3"/>
    <w:rsid w:val="006176C6"/>
    <w:rsid w:val="006176EC"/>
    <w:rsid w:val="00617B03"/>
    <w:rsid w:val="00620020"/>
    <w:rsid w:val="00620726"/>
    <w:rsid w:val="00620A42"/>
    <w:rsid w:val="00622501"/>
    <w:rsid w:val="006229C8"/>
    <w:rsid w:val="0062324F"/>
    <w:rsid w:val="0062390D"/>
    <w:rsid w:val="006241D4"/>
    <w:rsid w:val="006246B3"/>
    <w:rsid w:val="00624CF8"/>
    <w:rsid w:val="00625AC5"/>
    <w:rsid w:val="006265A6"/>
    <w:rsid w:val="006267F5"/>
    <w:rsid w:val="00626AA2"/>
    <w:rsid w:val="00626E14"/>
    <w:rsid w:val="00626F28"/>
    <w:rsid w:val="00627461"/>
    <w:rsid w:val="006275A0"/>
    <w:rsid w:val="006279ED"/>
    <w:rsid w:val="006307B9"/>
    <w:rsid w:val="00630A8E"/>
    <w:rsid w:val="00630F39"/>
    <w:rsid w:val="00631343"/>
    <w:rsid w:val="00631587"/>
    <w:rsid w:val="006318E4"/>
    <w:rsid w:val="00631ED2"/>
    <w:rsid w:val="006322B4"/>
    <w:rsid w:val="00632397"/>
    <w:rsid w:val="0063250A"/>
    <w:rsid w:val="00632C05"/>
    <w:rsid w:val="00632C78"/>
    <w:rsid w:val="0063357D"/>
    <w:rsid w:val="0063369F"/>
    <w:rsid w:val="00633F19"/>
    <w:rsid w:val="0063430B"/>
    <w:rsid w:val="0063513B"/>
    <w:rsid w:val="00635202"/>
    <w:rsid w:val="00635299"/>
    <w:rsid w:val="00635454"/>
    <w:rsid w:val="0063589F"/>
    <w:rsid w:val="006358CF"/>
    <w:rsid w:val="00635B8F"/>
    <w:rsid w:val="00635E92"/>
    <w:rsid w:val="00636896"/>
    <w:rsid w:val="00636C10"/>
    <w:rsid w:val="00636F22"/>
    <w:rsid w:val="006370C6"/>
    <w:rsid w:val="006371AB"/>
    <w:rsid w:val="00637B7E"/>
    <w:rsid w:val="00637D6D"/>
    <w:rsid w:val="00637DFD"/>
    <w:rsid w:val="006408A4"/>
    <w:rsid w:val="006408AE"/>
    <w:rsid w:val="00640C31"/>
    <w:rsid w:val="00640E7F"/>
    <w:rsid w:val="00641E96"/>
    <w:rsid w:val="0064266F"/>
    <w:rsid w:val="00643519"/>
    <w:rsid w:val="00643D2F"/>
    <w:rsid w:val="00643F8B"/>
    <w:rsid w:val="006448C5"/>
    <w:rsid w:val="00644A28"/>
    <w:rsid w:val="00645220"/>
    <w:rsid w:val="00645427"/>
    <w:rsid w:val="00645F22"/>
    <w:rsid w:val="0064605C"/>
    <w:rsid w:val="0064672B"/>
    <w:rsid w:val="00646A55"/>
    <w:rsid w:val="00647992"/>
    <w:rsid w:val="00647D90"/>
    <w:rsid w:val="00647FA9"/>
    <w:rsid w:val="00650968"/>
    <w:rsid w:val="00650C12"/>
    <w:rsid w:val="00651764"/>
    <w:rsid w:val="006519B5"/>
    <w:rsid w:val="00651A58"/>
    <w:rsid w:val="00651C55"/>
    <w:rsid w:val="00651D8C"/>
    <w:rsid w:val="0065215E"/>
    <w:rsid w:val="00652502"/>
    <w:rsid w:val="00652842"/>
    <w:rsid w:val="00652BF4"/>
    <w:rsid w:val="0065344C"/>
    <w:rsid w:val="00653DAB"/>
    <w:rsid w:val="00654343"/>
    <w:rsid w:val="0065454C"/>
    <w:rsid w:val="00654DC2"/>
    <w:rsid w:val="0065501A"/>
    <w:rsid w:val="0065545B"/>
    <w:rsid w:val="0065548B"/>
    <w:rsid w:val="00655ACA"/>
    <w:rsid w:val="00655BD0"/>
    <w:rsid w:val="00655C7F"/>
    <w:rsid w:val="006565B4"/>
    <w:rsid w:val="00656754"/>
    <w:rsid w:val="00656A8D"/>
    <w:rsid w:val="00656BF0"/>
    <w:rsid w:val="0065724A"/>
    <w:rsid w:val="00657377"/>
    <w:rsid w:val="006576F4"/>
    <w:rsid w:val="006600B3"/>
    <w:rsid w:val="00660720"/>
    <w:rsid w:val="00660BB5"/>
    <w:rsid w:val="006614AC"/>
    <w:rsid w:val="0066179C"/>
    <w:rsid w:val="006618C2"/>
    <w:rsid w:val="00662D43"/>
    <w:rsid w:val="00663462"/>
    <w:rsid w:val="006634EF"/>
    <w:rsid w:val="006637C3"/>
    <w:rsid w:val="006642F2"/>
    <w:rsid w:val="00664908"/>
    <w:rsid w:val="0066566D"/>
    <w:rsid w:val="00665887"/>
    <w:rsid w:val="00665C5A"/>
    <w:rsid w:val="00665C9D"/>
    <w:rsid w:val="00665DB1"/>
    <w:rsid w:val="00666465"/>
    <w:rsid w:val="0066699F"/>
    <w:rsid w:val="00666DBC"/>
    <w:rsid w:val="00666DFC"/>
    <w:rsid w:val="0066737F"/>
    <w:rsid w:val="006673E7"/>
    <w:rsid w:val="00667428"/>
    <w:rsid w:val="00667C75"/>
    <w:rsid w:val="00667F46"/>
    <w:rsid w:val="006703D9"/>
    <w:rsid w:val="00670788"/>
    <w:rsid w:val="00670D52"/>
    <w:rsid w:val="00670F4C"/>
    <w:rsid w:val="0067108B"/>
    <w:rsid w:val="006716B6"/>
    <w:rsid w:val="00671A9D"/>
    <w:rsid w:val="00671F2D"/>
    <w:rsid w:val="0067222D"/>
    <w:rsid w:val="006730A3"/>
    <w:rsid w:val="006730D5"/>
    <w:rsid w:val="006735FE"/>
    <w:rsid w:val="00674168"/>
    <w:rsid w:val="006745D0"/>
    <w:rsid w:val="0067487D"/>
    <w:rsid w:val="00674BF7"/>
    <w:rsid w:val="00674BFB"/>
    <w:rsid w:val="00674FC3"/>
    <w:rsid w:val="00675407"/>
    <w:rsid w:val="0067580A"/>
    <w:rsid w:val="00675D94"/>
    <w:rsid w:val="006760E8"/>
    <w:rsid w:val="006764A1"/>
    <w:rsid w:val="00677397"/>
    <w:rsid w:val="00677858"/>
    <w:rsid w:val="00677C91"/>
    <w:rsid w:val="006807D0"/>
    <w:rsid w:val="00680D17"/>
    <w:rsid w:val="00680E5E"/>
    <w:rsid w:val="00680F87"/>
    <w:rsid w:val="006811DB"/>
    <w:rsid w:val="00681557"/>
    <w:rsid w:val="006815EC"/>
    <w:rsid w:val="0068183F"/>
    <w:rsid w:val="006818B5"/>
    <w:rsid w:val="00681977"/>
    <w:rsid w:val="00681D5F"/>
    <w:rsid w:val="00682084"/>
    <w:rsid w:val="0068217F"/>
    <w:rsid w:val="006825C8"/>
    <w:rsid w:val="00682935"/>
    <w:rsid w:val="006829D6"/>
    <w:rsid w:val="00682C00"/>
    <w:rsid w:val="00683134"/>
    <w:rsid w:val="00683450"/>
    <w:rsid w:val="0068378B"/>
    <w:rsid w:val="00683B76"/>
    <w:rsid w:val="00683C5B"/>
    <w:rsid w:val="006841BD"/>
    <w:rsid w:val="0068457C"/>
    <w:rsid w:val="00684605"/>
    <w:rsid w:val="0068475A"/>
    <w:rsid w:val="00684E0C"/>
    <w:rsid w:val="006850DE"/>
    <w:rsid w:val="0068562C"/>
    <w:rsid w:val="00686E1F"/>
    <w:rsid w:val="00687669"/>
    <w:rsid w:val="00687D00"/>
    <w:rsid w:val="006902F8"/>
    <w:rsid w:val="00690E6D"/>
    <w:rsid w:val="006917F6"/>
    <w:rsid w:val="00691A19"/>
    <w:rsid w:val="00692029"/>
    <w:rsid w:val="006923CB"/>
    <w:rsid w:val="006923F8"/>
    <w:rsid w:val="00692788"/>
    <w:rsid w:val="006934A1"/>
    <w:rsid w:val="00693BAF"/>
    <w:rsid w:val="006940D5"/>
    <w:rsid w:val="0069417B"/>
    <w:rsid w:val="006942AD"/>
    <w:rsid w:val="00694372"/>
    <w:rsid w:val="00694646"/>
    <w:rsid w:val="0069505A"/>
    <w:rsid w:val="006959CD"/>
    <w:rsid w:val="00695A1D"/>
    <w:rsid w:val="0069658E"/>
    <w:rsid w:val="00696950"/>
    <w:rsid w:val="00697165"/>
    <w:rsid w:val="00697515"/>
    <w:rsid w:val="006A0195"/>
    <w:rsid w:val="006A046A"/>
    <w:rsid w:val="006A0483"/>
    <w:rsid w:val="006A05F6"/>
    <w:rsid w:val="006A0E4E"/>
    <w:rsid w:val="006A0E7C"/>
    <w:rsid w:val="006A171A"/>
    <w:rsid w:val="006A18C5"/>
    <w:rsid w:val="006A1E97"/>
    <w:rsid w:val="006A20E8"/>
    <w:rsid w:val="006A227D"/>
    <w:rsid w:val="006A23A1"/>
    <w:rsid w:val="006A2F9A"/>
    <w:rsid w:val="006A2FDA"/>
    <w:rsid w:val="006A3648"/>
    <w:rsid w:val="006A3AC5"/>
    <w:rsid w:val="006A4BBD"/>
    <w:rsid w:val="006A4CE6"/>
    <w:rsid w:val="006A4DC0"/>
    <w:rsid w:val="006A5A76"/>
    <w:rsid w:val="006A61BC"/>
    <w:rsid w:val="006A67D4"/>
    <w:rsid w:val="006A7005"/>
    <w:rsid w:val="006A7CD1"/>
    <w:rsid w:val="006A7F70"/>
    <w:rsid w:val="006B132B"/>
    <w:rsid w:val="006B1364"/>
    <w:rsid w:val="006B142B"/>
    <w:rsid w:val="006B1D89"/>
    <w:rsid w:val="006B2282"/>
    <w:rsid w:val="006B2C93"/>
    <w:rsid w:val="006B30F0"/>
    <w:rsid w:val="006B3904"/>
    <w:rsid w:val="006B3AC4"/>
    <w:rsid w:val="006B40BF"/>
    <w:rsid w:val="006B4107"/>
    <w:rsid w:val="006B46BE"/>
    <w:rsid w:val="006B5C11"/>
    <w:rsid w:val="006B5EA5"/>
    <w:rsid w:val="006B5F9D"/>
    <w:rsid w:val="006B6BA1"/>
    <w:rsid w:val="006B72E9"/>
    <w:rsid w:val="006B7490"/>
    <w:rsid w:val="006B7880"/>
    <w:rsid w:val="006B789B"/>
    <w:rsid w:val="006B7965"/>
    <w:rsid w:val="006B7FCC"/>
    <w:rsid w:val="006C0323"/>
    <w:rsid w:val="006C03CD"/>
    <w:rsid w:val="006C0A2C"/>
    <w:rsid w:val="006C19A7"/>
    <w:rsid w:val="006C37F5"/>
    <w:rsid w:val="006C3AF4"/>
    <w:rsid w:val="006C43B7"/>
    <w:rsid w:val="006C45A8"/>
    <w:rsid w:val="006C4AE2"/>
    <w:rsid w:val="006C4C98"/>
    <w:rsid w:val="006C4F46"/>
    <w:rsid w:val="006C50F1"/>
    <w:rsid w:val="006C513F"/>
    <w:rsid w:val="006C5953"/>
    <w:rsid w:val="006C5965"/>
    <w:rsid w:val="006C6BCF"/>
    <w:rsid w:val="006C6EF7"/>
    <w:rsid w:val="006C70D6"/>
    <w:rsid w:val="006C74CA"/>
    <w:rsid w:val="006C76EB"/>
    <w:rsid w:val="006C7798"/>
    <w:rsid w:val="006C7B62"/>
    <w:rsid w:val="006C7D2E"/>
    <w:rsid w:val="006D058E"/>
    <w:rsid w:val="006D0AF8"/>
    <w:rsid w:val="006D0FFD"/>
    <w:rsid w:val="006D11C3"/>
    <w:rsid w:val="006D128F"/>
    <w:rsid w:val="006D18F8"/>
    <w:rsid w:val="006D19EB"/>
    <w:rsid w:val="006D1B2D"/>
    <w:rsid w:val="006D1C46"/>
    <w:rsid w:val="006D1EC0"/>
    <w:rsid w:val="006D20E5"/>
    <w:rsid w:val="006D26EB"/>
    <w:rsid w:val="006D29D2"/>
    <w:rsid w:val="006D2CE0"/>
    <w:rsid w:val="006D2E79"/>
    <w:rsid w:val="006D3643"/>
    <w:rsid w:val="006D3761"/>
    <w:rsid w:val="006D39CB"/>
    <w:rsid w:val="006D44C2"/>
    <w:rsid w:val="006D472D"/>
    <w:rsid w:val="006D4C6C"/>
    <w:rsid w:val="006D50CB"/>
    <w:rsid w:val="006D5257"/>
    <w:rsid w:val="006D600B"/>
    <w:rsid w:val="006D784D"/>
    <w:rsid w:val="006D7A0F"/>
    <w:rsid w:val="006D7B77"/>
    <w:rsid w:val="006D7BDF"/>
    <w:rsid w:val="006D7D31"/>
    <w:rsid w:val="006E0C44"/>
    <w:rsid w:val="006E0CED"/>
    <w:rsid w:val="006E1212"/>
    <w:rsid w:val="006E16F6"/>
    <w:rsid w:val="006E2693"/>
    <w:rsid w:val="006E32BB"/>
    <w:rsid w:val="006E344A"/>
    <w:rsid w:val="006E46D5"/>
    <w:rsid w:val="006E4FEA"/>
    <w:rsid w:val="006E5530"/>
    <w:rsid w:val="006E583B"/>
    <w:rsid w:val="006E611A"/>
    <w:rsid w:val="006E61E1"/>
    <w:rsid w:val="006E6AED"/>
    <w:rsid w:val="006E6C76"/>
    <w:rsid w:val="006E6EA2"/>
    <w:rsid w:val="006E72AC"/>
    <w:rsid w:val="006E72B9"/>
    <w:rsid w:val="006E7379"/>
    <w:rsid w:val="006E768D"/>
    <w:rsid w:val="006E7841"/>
    <w:rsid w:val="006E784D"/>
    <w:rsid w:val="006E7C60"/>
    <w:rsid w:val="006F00D5"/>
    <w:rsid w:val="006F0199"/>
    <w:rsid w:val="006F053D"/>
    <w:rsid w:val="006F0975"/>
    <w:rsid w:val="006F1005"/>
    <w:rsid w:val="006F14B7"/>
    <w:rsid w:val="006F1529"/>
    <w:rsid w:val="006F174B"/>
    <w:rsid w:val="006F1D58"/>
    <w:rsid w:val="006F29E0"/>
    <w:rsid w:val="006F2E90"/>
    <w:rsid w:val="006F3581"/>
    <w:rsid w:val="006F3AD7"/>
    <w:rsid w:val="006F3DC2"/>
    <w:rsid w:val="006F461C"/>
    <w:rsid w:val="006F492A"/>
    <w:rsid w:val="006F4B0B"/>
    <w:rsid w:val="006F555D"/>
    <w:rsid w:val="006F56D0"/>
    <w:rsid w:val="006F58F7"/>
    <w:rsid w:val="006F5B17"/>
    <w:rsid w:val="006F6252"/>
    <w:rsid w:val="006F635A"/>
    <w:rsid w:val="006F6593"/>
    <w:rsid w:val="006F6A7C"/>
    <w:rsid w:val="006F6E83"/>
    <w:rsid w:val="006F751D"/>
    <w:rsid w:val="006F7867"/>
    <w:rsid w:val="006F78B1"/>
    <w:rsid w:val="006F7900"/>
    <w:rsid w:val="006F7A46"/>
    <w:rsid w:val="006F7E85"/>
    <w:rsid w:val="0070083C"/>
    <w:rsid w:val="0070115E"/>
    <w:rsid w:val="00701468"/>
    <w:rsid w:val="007015D7"/>
    <w:rsid w:val="007024E1"/>
    <w:rsid w:val="007024F8"/>
    <w:rsid w:val="007025B1"/>
    <w:rsid w:val="007029AC"/>
    <w:rsid w:val="00702A3F"/>
    <w:rsid w:val="00702D38"/>
    <w:rsid w:val="00702FB2"/>
    <w:rsid w:val="00703783"/>
    <w:rsid w:val="00704AB8"/>
    <w:rsid w:val="007056C6"/>
    <w:rsid w:val="007057FA"/>
    <w:rsid w:val="007058F0"/>
    <w:rsid w:val="00706575"/>
    <w:rsid w:val="007066C3"/>
    <w:rsid w:val="00706709"/>
    <w:rsid w:val="00706A24"/>
    <w:rsid w:val="00706C4D"/>
    <w:rsid w:val="007072F1"/>
    <w:rsid w:val="0070742B"/>
    <w:rsid w:val="00707EFD"/>
    <w:rsid w:val="007108FE"/>
    <w:rsid w:val="00710A04"/>
    <w:rsid w:val="00710B41"/>
    <w:rsid w:val="00710EA7"/>
    <w:rsid w:val="007111E8"/>
    <w:rsid w:val="0071173B"/>
    <w:rsid w:val="0071181C"/>
    <w:rsid w:val="00711DF2"/>
    <w:rsid w:val="00711E93"/>
    <w:rsid w:val="00712079"/>
    <w:rsid w:val="00712142"/>
    <w:rsid w:val="00712403"/>
    <w:rsid w:val="007124C1"/>
    <w:rsid w:val="00712691"/>
    <w:rsid w:val="00712AD7"/>
    <w:rsid w:val="00712AFA"/>
    <w:rsid w:val="00712CB8"/>
    <w:rsid w:val="00712DC9"/>
    <w:rsid w:val="007137EA"/>
    <w:rsid w:val="00713BAC"/>
    <w:rsid w:val="00713D65"/>
    <w:rsid w:val="0071433C"/>
    <w:rsid w:val="00714ECF"/>
    <w:rsid w:val="00715213"/>
    <w:rsid w:val="007152D3"/>
    <w:rsid w:val="00715D7A"/>
    <w:rsid w:val="00716098"/>
    <w:rsid w:val="0071677D"/>
    <w:rsid w:val="00716893"/>
    <w:rsid w:val="00716D28"/>
    <w:rsid w:val="00717062"/>
    <w:rsid w:val="0071734B"/>
    <w:rsid w:val="00717607"/>
    <w:rsid w:val="00717D6C"/>
    <w:rsid w:val="00717F2A"/>
    <w:rsid w:val="0072073B"/>
    <w:rsid w:val="0072094D"/>
    <w:rsid w:val="00720A64"/>
    <w:rsid w:val="00720B39"/>
    <w:rsid w:val="00721A6A"/>
    <w:rsid w:val="00721ABC"/>
    <w:rsid w:val="00721DB2"/>
    <w:rsid w:val="00721E85"/>
    <w:rsid w:val="00722DFF"/>
    <w:rsid w:val="00723048"/>
    <w:rsid w:val="00723465"/>
    <w:rsid w:val="007234CC"/>
    <w:rsid w:val="00723C67"/>
    <w:rsid w:val="00724000"/>
    <w:rsid w:val="00724116"/>
    <w:rsid w:val="00724566"/>
    <w:rsid w:val="007247EE"/>
    <w:rsid w:val="00724DAE"/>
    <w:rsid w:val="00724F89"/>
    <w:rsid w:val="007252FF"/>
    <w:rsid w:val="007254C7"/>
    <w:rsid w:val="007254D7"/>
    <w:rsid w:val="00725944"/>
    <w:rsid w:val="00725D1D"/>
    <w:rsid w:val="00725F46"/>
    <w:rsid w:val="0072638E"/>
    <w:rsid w:val="00726918"/>
    <w:rsid w:val="00726BFB"/>
    <w:rsid w:val="00727247"/>
    <w:rsid w:val="0072726C"/>
    <w:rsid w:val="0072752C"/>
    <w:rsid w:val="00727CC0"/>
    <w:rsid w:val="007307E0"/>
    <w:rsid w:val="0073081A"/>
    <w:rsid w:val="00730909"/>
    <w:rsid w:val="00730BDF"/>
    <w:rsid w:val="00730D18"/>
    <w:rsid w:val="00731A53"/>
    <w:rsid w:val="00731B4B"/>
    <w:rsid w:val="00731FF6"/>
    <w:rsid w:val="0073213D"/>
    <w:rsid w:val="007321EB"/>
    <w:rsid w:val="007322D8"/>
    <w:rsid w:val="007324E7"/>
    <w:rsid w:val="00732740"/>
    <w:rsid w:val="00733048"/>
    <w:rsid w:val="00733055"/>
    <w:rsid w:val="00733917"/>
    <w:rsid w:val="00734A98"/>
    <w:rsid w:val="00734BDB"/>
    <w:rsid w:val="00734CCD"/>
    <w:rsid w:val="007351DF"/>
    <w:rsid w:val="007351E2"/>
    <w:rsid w:val="00735224"/>
    <w:rsid w:val="00735705"/>
    <w:rsid w:val="0073575C"/>
    <w:rsid w:val="00735795"/>
    <w:rsid w:val="00736908"/>
    <w:rsid w:val="00737675"/>
    <w:rsid w:val="0073767B"/>
    <w:rsid w:val="007376A2"/>
    <w:rsid w:val="007377CB"/>
    <w:rsid w:val="00737B31"/>
    <w:rsid w:val="00737D4A"/>
    <w:rsid w:val="00740348"/>
    <w:rsid w:val="0074058A"/>
    <w:rsid w:val="00741187"/>
    <w:rsid w:val="00741811"/>
    <w:rsid w:val="00741F94"/>
    <w:rsid w:val="00741FD7"/>
    <w:rsid w:val="007420CB"/>
    <w:rsid w:val="00742452"/>
    <w:rsid w:val="00742906"/>
    <w:rsid w:val="007429ED"/>
    <w:rsid w:val="00742E4D"/>
    <w:rsid w:val="007434F9"/>
    <w:rsid w:val="00743514"/>
    <w:rsid w:val="007436AB"/>
    <w:rsid w:val="007439CE"/>
    <w:rsid w:val="00744070"/>
    <w:rsid w:val="0074420B"/>
    <w:rsid w:val="00744415"/>
    <w:rsid w:val="0074497F"/>
    <w:rsid w:val="00744D9B"/>
    <w:rsid w:val="00745345"/>
    <w:rsid w:val="00745BC6"/>
    <w:rsid w:val="00746500"/>
    <w:rsid w:val="00746A5D"/>
    <w:rsid w:val="00746C36"/>
    <w:rsid w:val="00746DF8"/>
    <w:rsid w:val="007471C1"/>
    <w:rsid w:val="007475C2"/>
    <w:rsid w:val="0074771E"/>
    <w:rsid w:val="0074789E"/>
    <w:rsid w:val="007478E2"/>
    <w:rsid w:val="00747B02"/>
    <w:rsid w:val="00747E2D"/>
    <w:rsid w:val="00747E9A"/>
    <w:rsid w:val="007504F9"/>
    <w:rsid w:val="00750F4A"/>
    <w:rsid w:val="007510AE"/>
    <w:rsid w:val="0075221A"/>
    <w:rsid w:val="007525E5"/>
    <w:rsid w:val="00752D77"/>
    <w:rsid w:val="00753330"/>
    <w:rsid w:val="007535E4"/>
    <w:rsid w:val="007538D0"/>
    <w:rsid w:val="00753DAC"/>
    <w:rsid w:val="00753FCE"/>
    <w:rsid w:val="0075408C"/>
    <w:rsid w:val="00754258"/>
    <w:rsid w:val="00754F37"/>
    <w:rsid w:val="00755FF7"/>
    <w:rsid w:val="00756093"/>
    <w:rsid w:val="0075619F"/>
    <w:rsid w:val="007561CE"/>
    <w:rsid w:val="007563AF"/>
    <w:rsid w:val="007565C4"/>
    <w:rsid w:val="00756BBC"/>
    <w:rsid w:val="00756C7C"/>
    <w:rsid w:val="00757FAD"/>
    <w:rsid w:val="007603FA"/>
    <w:rsid w:val="00760CA3"/>
    <w:rsid w:val="00761063"/>
    <w:rsid w:val="007614F5"/>
    <w:rsid w:val="00761B10"/>
    <w:rsid w:val="00761E0D"/>
    <w:rsid w:val="00761ECE"/>
    <w:rsid w:val="00762152"/>
    <w:rsid w:val="0076239D"/>
    <w:rsid w:val="00763296"/>
    <w:rsid w:val="007635DB"/>
    <w:rsid w:val="00764217"/>
    <w:rsid w:val="007646AB"/>
    <w:rsid w:val="0076515F"/>
    <w:rsid w:val="00765337"/>
    <w:rsid w:val="00765338"/>
    <w:rsid w:val="0076537D"/>
    <w:rsid w:val="00765524"/>
    <w:rsid w:val="007656EB"/>
    <w:rsid w:val="007657A4"/>
    <w:rsid w:val="00765A34"/>
    <w:rsid w:val="00765E55"/>
    <w:rsid w:val="007660D9"/>
    <w:rsid w:val="007664F0"/>
    <w:rsid w:val="00766C86"/>
    <w:rsid w:val="007672AD"/>
    <w:rsid w:val="00767863"/>
    <w:rsid w:val="00770234"/>
    <w:rsid w:val="00770BBF"/>
    <w:rsid w:val="00770D34"/>
    <w:rsid w:val="00771FA7"/>
    <w:rsid w:val="007726F6"/>
    <w:rsid w:val="00772765"/>
    <w:rsid w:val="00772BAB"/>
    <w:rsid w:val="0077361E"/>
    <w:rsid w:val="0077419A"/>
    <w:rsid w:val="007743F9"/>
    <w:rsid w:val="00774562"/>
    <w:rsid w:val="0077474B"/>
    <w:rsid w:val="007749F0"/>
    <w:rsid w:val="00775247"/>
    <w:rsid w:val="007752AC"/>
    <w:rsid w:val="00775AF7"/>
    <w:rsid w:val="007760C9"/>
    <w:rsid w:val="0077678C"/>
    <w:rsid w:val="00776904"/>
    <w:rsid w:val="00776C05"/>
    <w:rsid w:val="007803D3"/>
    <w:rsid w:val="00780429"/>
    <w:rsid w:val="0078054A"/>
    <w:rsid w:val="00780D45"/>
    <w:rsid w:val="00780E21"/>
    <w:rsid w:val="00780E47"/>
    <w:rsid w:val="0078212A"/>
    <w:rsid w:val="007821FD"/>
    <w:rsid w:val="0078232D"/>
    <w:rsid w:val="007824E3"/>
    <w:rsid w:val="0078250E"/>
    <w:rsid w:val="00782515"/>
    <w:rsid w:val="00782943"/>
    <w:rsid w:val="007830CD"/>
    <w:rsid w:val="00783186"/>
    <w:rsid w:val="0078339A"/>
    <w:rsid w:val="0078348E"/>
    <w:rsid w:val="00783C4F"/>
    <w:rsid w:val="00783F6C"/>
    <w:rsid w:val="00784239"/>
    <w:rsid w:val="00784382"/>
    <w:rsid w:val="00784CDB"/>
    <w:rsid w:val="007851C0"/>
    <w:rsid w:val="00785459"/>
    <w:rsid w:val="0078548F"/>
    <w:rsid w:val="007854C5"/>
    <w:rsid w:val="007859BB"/>
    <w:rsid w:val="00787982"/>
    <w:rsid w:val="00787AE2"/>
    <w:rsid w:val="00787BD9"/>
    <w:rsid w:val="00787D88"/>
    <w:rsid w:val="00787F7D"/>
    <w:rsid w:val="00790296"/>
    <w:rsid w:val="00790EAC"/>
    <w:rsid w:val="007910B8"/>
    <w:rsid w:val="00791F7D"/>
    <w:rsid w:val="00792570"/>
    <w:rsid w:val="007926CD"/>
    <w:rsid w:val="007929CB"/>
    <w:rsid w:val="00792DD4"/>
    <w:rsid w:val="0079316E"/>
    <w:rsid w:val="00793A03"/>
    <w:rsid w:val="00793B91"/>
    <w:rsid w:val="00794321"/>
    <w:rsid w:val="007946C8"/>
    <w:rsid w:val="00794A34"/>
    <w:rsid w:val="00794DB5"/>
    <w:rsid w:val="00794DCC"/>
    <w:rsid w:val="00794E6A"/>
    <w:rsid w:val="00797D75"/>
    <w:rsid w:val="007A01D8"/>
    <w:rsid w:val="007A028F"/>
    <w:rsid w:val="007A08B9"/>
    <w:rsid w:val="007A0BAC"/>
    <w:rsid w:val="007A0FD4"/>
    <w:rsid w:val="007A166F"/>
    <w:rsid w:val="007A2418"/>
    <w:rsid w:val="007A249C"/>
    <w:rsid w:val="007A2E23"/>
    <w:rsid w:val="007A3009"/>
    <w:rsid w:val="007A38E7"/>
    <w:rsid w:val="007A390A"/>
    <w:rsid w:val="007A3DEE"/>
    <w:rsid w:val="007A40CF"/>
    <w:rsid w:val="007A47C7"/>
    <w:rsid w:val="007A4AB3"/>
    <w:rsid w:val="007A4E62"/>
    <w:rsid w:val="007A55A5"/>
    <w:rsid w:val="007A58F9"/>
    <w:rsid w:val="007A619C"/>
    <w:rsid w:val="007A675A"/>
    <w:rsid w:val="007A6B16"/>
    <w:rsid w:val="007A6B88"/>
    <w:rsid w:val="007A6C09"/>
    <w:rsid w:val="007A6F1F"/>
    <w:rsid w:val="007A730E"/>
    <w:rsid w:val="007A734E"/>
    <w:rsid w:val="007A7560"/>
    <w:rsid w:val="007A7D1F"/>
    <w:rsid w:val="007A7EEF"/>
    <w:rsid w:val="007B10EB"/>
    <w:rsid w:val="007B12F4"/>
    <w:rsid w:val="007B151D"/>
    <w:rsid w:val="007B1698"/>
    <w:rsid w:val="007B219D"/>
    <w:rsid w:val="007B2357"/>
    <w:rsid w:val="007B2434"/>
    <w:rsid w:val="007B2DDD"/>
    <w:rsid w:val="007B333B"/>
    <w:rsid w:val="007B33A3"/>
    <w:rsid w:val="007B3C79"/>
    <w:rsid w:val="007B41B4"/>
    <w:rsid w:val="007B42A6"/>
    <w:rsid w:val="007B4749"/>
    <w:rsid w:val="007B4AB7"/>
    <w:rsid w:val="007B5330"/>
    <w:rsid w:val="007B55BA"/>
    <w:rsid w:val="007B5656"/>
    <w:rsid w:val="007B5A51"/>
    <w:rsid w:val="007B5AE5"/>
    <w:rsid w:val="007B5F61"/>
    <w:rsid w:val="007B600F"/>
    <w:rsid w:val="007B6109"/>
    <w:rsid w:val="007B6935"/>
    <w:rsid w:val="007B6F0E"/>
    <w:rsid w:val="007B714F"/>
    <w:rsid w:val="007B7822"/>
    <w:rsid w:val="007B7B91"/>
    <w:rsid w:val="007B7DE1"/>
    <w:rsid w:val="007B7E7E"/>
    <w:rsid w:val="007C0006"/>
    <w:rsid w:val="007C00A4"/>
    <w:rsid w:val="007C089A"/>
    <w:rsid w:val="007C09E1"/>
    <w:rsid w:val="007C10D8"/>
    <w:rsid w:val="007C1364"/>
    <w:rsid w:val="007C1CE2"/>
    <w:rsid w:val="007C1F0E"/>
    <w:rsid w:val="007C1F31"/>
    <w:rsid w:val="007C236E"/>
    <w:rsid w:val="007C26B5"/>
    <w:rsid w:val="007C2F03"/>
    <w:rsid w:val="007C2F3B"/>
    <w:rsid w:val="007C360C"/>
    <w:rsid w:val="007C3903"/>
    <w:rsid w:val="007C39B4"/>
    <w:rsid w:val="007C3CF8"/>
    <w:rsid w:val="007C4323"/>
    <w:rsid w:val="007C44E8"/>
    <w:rsid w:val="007C456A"/>
    <w:rsid w:val="007C4AEE"/>
    <w:rsid w:val="007C4C0E"/>
    <w:rsid w:val="007C572A"/>
    <w:rsid w:val="007C60A8"/>
    <w:rsid w:val="007C6323"/>
    <w:rsid w:val="007C649B"/>
    <w:rsid w:val="007C7A54"/>
    <w:rsid w:val="007C7CAE"/>
    <w:rsid w:val="007D0293"/>
    <w:rsid w:val="007D030D"/>
    <w:rsid w:val="007D0A5C"/>
    <w:rsid w:val="007D0C88"/>
    <w:rsid w:val="007D0F10"/>
    <w:rsid w:val="007D0F2B"/>
    <w:rsid w:val="007D1060"/>
    <w:rsid w:val="007D13A1"/>
    <w:rsid w:val="007D1881"/>
    <w:rsid w:val="007D1ECD"/>
    <w:rsid w:val="007D2F72"/>
    <w:rsid w:val="007D388C"/>
    <w:rsid w:val="007D3A54"/>
    <w:rsid w:val="007D3BB6"/>
    <w:rsid w:val="007D3CF6"/>
    <w:rsid w:val="007D3FBD"/>
    <w:rsid w:val="007D4297"/>
    <w:rsid w:val="007D4632"/>
    <w:rsid w:val="007D4703"/>
    <w:rsid w:val="007D481D"/>
    <w:rsid w:val="007D4969"/>
    <w:rsid w:val="007D4BC4"/>
    <w:rsid w:val="007D50AA"/>
    <w:rsid w:val="007D59A9"/>
    <w:rsid w:val="007D64E6"/>
    <w:rsid w:val="007D6B19"/>
    <w:rsid w:val="007D7974"/>
    <w:rsid w:val="007D7AB9"/>
    <w:rsid w:val="007D7C78"/>
    <w:rsid w:val="007E0D50"/>
    <w:rsid w:val="007E0F38"/>
    <w:rsid w:val="007E1049"/>
    <w:rsid w:val="007E16AD"/>
    <w:rsid w:val="007E1AEE"/>
    <w:rsid w:val="007E2640"/>
    <w:rsid w:val="007E298B"/>
    <w:rsid w:val="007E2F33"/>
    <w:rsid w:val="007E3302"/>
    <w:rsid w:val="007E335B"/>
    <w:rsid w:val="007E3B93"/>
    <w:rsid w:val="007E417F"/>
    <w:rsid w:val="007E442B"/>
    <w:rsid w:val="007E4456"/>
    <w:rsid w:val="007E474D"/>
    <w:rsid w:val="007E5064"/>
    <w:rsid w:val="007E520C"/>
    <w:rsid w:val="007E54BA"/>
    <w:rsid w:val="007E56A5"/>
    <w:rsid w:val="007E5716"/>
    <w:rsid w:val="007E5DEB"/>
    <w:rsid w:val="007E6BD7"/>
    <w:rsid w:val="007E709B"/>
    <w:rsid w:val="007F0690"/>
    <w:rsid w:val="007F0C84"/>
    <w:rsid w:val="007F0D90"/>
    <w:rsid w:val="007F0F8E"/>
    <w:rsid w:val="007F0FA8"/>
    <w:rsid w:val="007F1123"/>
    <w:rsid w:val="007F11DB"/>
    <w:rsid w:val="007F13B3"/>
    <w:rsid w:val="007F1A91"/>
    <w:rsid w:val="007F1B82"/>
    <w:rsid w:val="007F2289"/>
    <w:rsid w:val="007F27B8"/>
    <w:rsid w:val="007F2D1D"/>
    <w:rsid w:val="007F2ECE"/>
    <w:rsid w:val="007F3133"/>
    <w:rsid w:val="007F3403"/>
    <w:rsid w:val="007F3A0C"/>
    <w:rsid w:val="007F3BFF"/>
    <w:rsid w:val="007F3EE5"/>
    <w:rsid w:val="007F56BB"/>
    <w:rsid w:val="007F5779"/>
    <w:rsid w:val="007F66BD"/>
    <w:rsid w:val="007F6FE0"/>
    <w:rsid w:val="007F72B8"/>
    <w:rsid w:val="007F76B8"/>
    <w:rsid w:val="007F7D34"/>
    <w:rsid w:val="008000AF"/>
    <w:rsid w:val="00800184"/>
    <w:rsid w:val="008001F7"/>
    <w:rsid w:val="00800421"/>
    <w:rsid w:val="008006C2"/>
    <w:rsid w:val="008009BC"/>
    <w:rsid w:val="00800E83"/>
    <w:rsid w:val="00800EBF"/>
    <w:rsid w:val="00800F68"/>
    <w:rsid w:val="00800F6F"/>
    <w:rsid w:val="008014D5"/>
    <w:rsid w:val="0080168A"/>
    <w:rsid w:val="00801A69"/>
    <w:rsid w:val="00801FC3"/>
    <w:rsid w:val="008022AE"/>
    <w:rsid w:val="00802753"/>
    <w:rsid w:val="00802A66"/>
    <w:rsid w:val="00802D02"/>
    <w:rsid w:val="00802EEF"/>
    <w:rsid w:val="00803497"/>
    <w:rsid w:val="00803BBA"/>
    <w:rsid w:val="00803C9D"/>
    <w:rsid w:val="00803EDB"/>
    <w:rsid w:val="00803FE3"/>
    <w:rsid w:val="00804565"/>
    <w:rsid w:val="008047CF"/>
    <w:rsid w:val="00804E61"/>
    <w:rsid w:val="00805125"/>
    <w:rsid w:val="00805622"/>
    <w:rsid w:val="00805BDF"/>
    <w:rsid w:val="0080605F"/>
    <w:rsid w:val="008069C1"/>
    <w:rsid w:val="00806FFA"/>
    <w:rsid w:val="00807309"/>
    <w:rsid w:val="00807A60"/>
    <w:rsid w:val="00810304"/>
    <w:rsid w:val="008106B5"/>
    <w:rsid w:val="00810767"/>
    <w:rsid w:val="00810769"/>
    <w:rsid w:val="008109B4"/>
    <w:rsid w:val="008111D8"/>
    <w:rsid w:val="008111E3"/>
    <w:rsid w:val="008114DD"/>
    <w:rsid w:val="00811C61"/>
    <w:rsid w:val="00811F02"/>
    <w:rsid w:val="00811F45"/>
    <w:rsid w:val="00812200"/>
    <w:rsid w:val="008122F5"/>
    <w:rsid w:val="00812494"/>
    <w:rsid w:val="008125AF"/>
    <w:rsid w:val="00812C0E"/>
    <w:rsid w:val="00813484"/>
    <w:rsid w:val="00813B7A"/>
    <w:rsid w:val="00813C9E"/>
    <w:rsid w:val="008142FD"/>
    <w:rsid w:val="008148B3"/>
    <w:rsid w:val="008150DD"/>
    <w:rsid w:val="0081537B"/>
    <w:rsid w:val="008159A9"/>
    <w:rsid w:val="00815AAC"/>
    <w:rsid w:val="008165B4"/>
    <w:rsid w:val="008166B3"/>
    <w:rsid w:val="00816D5A"/>
    <w:rsid w:val="00816DED"/>
    <w:rsid w:val="00817197"/>
    <w:rsid w:val="008171FA"/>
    <w:rsid w:val="00817BE4"/>
    <w:rsid w:val="00817D14"/>
    <w:rsid w:val="00817E87"/>
    <w:rsid w:val="0082014F"/>
    <w:rsid w:val="00820551"/>
    <w:rsid w:val="00820560"/>
    <w:rsid w:val="008205A0"/>
    <w:rsid w:val="00820E1E"/>
    <w:rsid w:val="00821246"/>
    <w:rsid w:val="008215FE"/>
    <w:rsid w:val="0082198A"/>
    <w:rsid w:val="00821A60"/>
    <w:rsid w:val="00821EC0"/>
    <w:rsid w:val="00822181"/>
    <w:rsid w:val="008225BA"/>
    <w:rsid w:val="00822A1B"/>
    <w:rsid w:val="00822C75"/>
    <w:rsid w:val="008231D0"/>
    <w:rsid w:val="00823EC1"/>
    <w:rsid w:val="00823ECD"/>
    <w:rsid w:val="00823F81"/>
    <w:rsid w:val="008247AE"/>
    <w:rsid w:val="00824F9E"/>
    <w:rsid w:val="00824FAC"/>
    <w:rsid w:val="00825143"/>
    <w:rsid w:val="0082628C"/>
    <w:rsid w:val="00826878"/>
    <w:rsid w:val="00826FF6"/>
    <w:rsid w:val="00827A3E"/>
    <w:rsid w:val="00830AE8"/>
    <w:rsid w:val="00830F3D"/>
    <w:rsid w:val="00830FA0"/>
    <w:rsid w:val="0083149B"/>
    <w:rsid w:val="0083207E"/>
    <w:rsid w:val="008323D2"/>
    <w:rsid w:val="008325B4"/>
    <w:rsid w:val="008325FA"/>
    <w:rsid w:val="0083263B"/>
    <w:rsid w:val="0083289E"/>
    <w:rsid w:val="00832D7F"/>
    <w:rsid w:val="00832E64"/>
    <w:rsid w:val="00833304"/>
    <w:rsid w:val="008337F3"/>
    <w:rsid w:val="00833CB9"/>
    <w:rsid w:val="008349BC"/>
    <w:rsid w:val="00835426"/>
    <w:rsid w:val="00835688"/>
    <w:rsid w:val="00835E7C"/>
    <w:rsid w:val="00836E6C"/>
    <w:rsid w:val="0083745D"/>
    <w:rsid w:val="00837559"/>
    <w:rsid w:val="0084027E"/>
    <w:rsid w:val="008402BC"/>
    <w:rsid w:val="0084071D"/>
    <w:rsid w:val="008407CF"/>
    <w:rsid w:val="008407F0"/>
    <w:rsid w:val="00840C0E"/>
    <w:rsid w:val="008411B0"/>
    <w:rsid w:val="008412DF"/>
    <w:rsid w:val="0084132A"/>
    <w:rsid w:val="0084222F"/>
    <w:rsid w:val="008423F7"/>
    <w:rsid w:val="00842537"/>
    <w:rsid w:val="00842CA0"/>
    <w:rsid w:val="0084308B"/>
    <w:rsid w:val="0084316D"/>
    <w:rsid w:val="00843384"/>
    <w:rsid w:val="00843C42"/>
    <w:rsid w:val="008442D8"/>
    <w:rsid w:val="00844457"/>
    <w:rsid w:val="00845126"/>
    <w:rsid w:val="00846020"/>
    <w:rsid w:val="008460C2"/>
    <w:rsid w:val="0084611C"/>
    <w:rsid w:val="00846A01"/>
    <w:rsid w:val="00846A8E"/>
    <w:rsid w:val="00846FA5"/>
    <w:rsid w:val="00847176"/>
    <w:rsid w:val="00847604"/>
    <w:rsid w:val="0084762E"/>
    <w:rsid w:val="008477C9"/>
    <w:rsid w:val="00847E96"/>
    <w:rsid w:val="00850D5C"/>
    <w:rsid w:val="00851068"/>
    <w:rsid w:val="008514F4"/>
    <w:rsid w:val="00851912"/>
    <w:rsid w:val="00851E7B"/>
    <w:rsid w:val="008528FD"/>
    <w:rsid w:val="008529D7"/>
    <w:rsid w:val="008532F5"/>
    <w:rsid w:val="008535FA"/>
    <w:rsid w:val="008542FE"/>
    <w:rsid w:val="008549DF"/>
    <w:rsid w:val="008550AB"/>
    <w:rsid w:val="00855142"/>
    <w:rsid w:val="0085560E"/>
    <w:rsid w:val="008562A1"/>
    <w:rsid w:val="0085648F"/>
    <w:rsid w:val="00856DE9"/>
    <w:rsid w:val="00857759"/>
    <w:rsid w:val="008577CB"/>
    <w:rsid w:val="00857FC1"/>
    <w:rsid w:val="008600E3"/>
    <w:rsid w:val="0086013C"/>
    <w:rsid w:val="00860511"/>
    <w:rsid w:val="0086072D"/>
    <w:rsid w:val="00860B6A"/>
    <w:rsid w:val="00860BDD"/>
    <w:rsid w:val="008610B3"/>
    <w:rsid w:val="008611E1"/>
    <w:rsid w:val="00861344"/>
    <w:rsid w:val="0086164C"/>
    <w:rsid w:val="008616BA"/>
    <w:rsid w:val="00861AA1"/>
    <w:rsid w:val="00861B0F"/>
    <w:rsid w:val="00861D58"/>
    <w:rsid w:val="00861DCE"/>
    <w:rsid w:val="00861F20"/>
    <w:rsid w:val="00862B02"/>
    <w:rsid w:val="00862B12"/>
    <w:rsid w:val="00862CEA"/>
    <w:rsid w:val="0086351F"/>
    <w:rsid w:val="00863957"/>
    <w:rsid w:val="008642F1"/>
    <w:rsid w:val="00864B6C"/>
    <w:rsid w:val="00864F29"/>
    <w:rsid w:val="008650A8"/>
    <w:rsid w:val="0086518F"/>
    <w:rsid w:val="0086563B"/>
    <w:rsid w:val="008656E2"/>
    <w:rsid w:val="00865FEE"/>
    <w:rsid w:val="0086669A"/>
    <w:rsid w:val="00866C40"/>
    <w:rsid w:val="008676D9"/>
    <w:rsid w:val="00867C07"/>
    <w:rsid w:val="00867D10"/>
    <w:rsid w:val="00867EEC"/>
    <w:rsid w:val="0087003D"/>
    <w:rsid w:val="0087023C"/>
    <w:rsid w:val="008703A5"/>
    <w:rsid w:val="00870999"/>
    <w:rsid w:val="0087159D"/>
    <w:rsid w:val="00871B06"/>
    <w:rsid w:val="00871D96"/>
    <w:rsid w:val="0087255A"/>
    <w:rsid w:val="00872CD0"/>
    <w:rsid w:val="00873127"/>
    <w:rsid w:val="00873960"/>
    <w:rsid w:val="00873D75"/>
    <w:rsid w:val="008741C4"/>
    <w:rsid w:val="00874449"/>
    <w:rsid w:val="00875153"/>
    <w:rsid w:val="0087523C"/>
    <w:rsid w:val="008756B2"/>
    <w:rsid w:val="0087595B"/>
    <w:rsid w:val="00875E4B"/>
    <w:rsid w:val="00876047"/>
    <w:rsid w:val="008760A4"/>
    <w:rsid w:val="00876798"/>
    <w:rsid w:val="00876C51"/>
    <w:rsid w:val="00877192"/>
    <w:rsid w:val="008774D5"/>
    <w:rsid w:val="00877E20"/>
    <w:rsid w:val="00880573"/>
    <w:rsid w:val="0088197F"/>
    <w:rsid w:val="00881B4A"/>
    <w:rsid w:val="00882224"/>
    <w:rsid w:val="00882278"/>
    <w:rsid w:val="0088227C"/>
    <w:rsid w:val="008822BD"/>
    <w:rsid w:val="008823E9"/>
    <w:rsid w:val="00882BCB"/>
    <w:rsid w:val="008837EF"/>
    <w:rsid w:val="00883B58"/>
    <w:rsid w:val="00883CD9"/>
    <w:rsid w:val="008841AD"/>
    <w:rsid w:val="00884266"/>
    <w:rsid w:val="00884334"/>
    <w:rsid w:val="008843EC"/>
    <w:rsid w:val="008844DF"/>
    <w:rsid w:val="008845AA"/>
    <w:rsid w:val="00884A8A"/>
    <w:rsid w:val="00884EDC"/>
    <w:rsid w:val="008855E3"/>
    <w:rsid w:val="0088572F"/>
    <w:rsid w:val="008861AB"/>
    <w:rsid w:val="00886616"/>
    <w:rsid w:val="008867FB"/>
    <w:rsid w:val="00886962"/>
    <w:rsid w:val="00886C78"/>
    <w:rsid w:val="008870C4"/>
    <w:rsid w:val="00887EFB"/>
    <w:rsid w:val="0089013D"/>
    <w:rsid w:val="008901FA"/>
    <w:rsid w:val="008905EE"/>
    <w:rsid w:val="00890D48"/>
    <w:rsid w:val="00890E26"/>
    <w:rsid w:val="00890EEF"/>
    <w:rsid w:val="00890F4B"/>
    <w:rsid w:val="00890FD4"/>
    <w:rsid w:val="00891BB1"/>
    <w:rsid w:val="00892A9E"/>
    <w:rsid w:val="00892E71"/>
    <w:rsid w:val="008932AB"/>
    <w:rsid w:val="00893975"/>
    <w:rsid w:val="00893BC6"/>
    <w:rsid w:val="00894415"/>
    <w:rsid w:val="00894499"/>
    <w:rsid w:val="0089501C"/>
    <w:rsid w:val="00895442"/>
    <w:rsid w:val="008955A0"/>
    <w:rsid w:val="008955D8"/>
    <w:rsid w:val="00895962"/>
    <w:rsid w:val="00895A6F"/>
    <w:rsid w:val="0089635C"/>
    <w:rsid w:val="008963B7"/>
    <w:rsid w:val="008979B8"/>
    <w:rsid w:val="008A0013"/>
    <w:rsid w:val="008A057C"/>
    <w:rsid w:val="008A06D6"/>
    <w:rsid w:val="008A0830"/>
    <w:rsid w:val="008A0D81"/>
    <w:rsid w:val="008A1252"/>
    <w:rsid w:val="008A26C3"/>
    <w:rsid w:val="008A284F"/>
    <w:rsid w:val="008A2BBA"/>
    <w:rsid w:val="008A2CAE"/>
    <w:rsid w:val="008A3195"/>
    <w:rsid w:val="008A34FD"/>
    <w:rsid w:val="008A3646"/>
    <w:rsid w:val="008A39A1"/>
    <w:rsid w:val="008A4406"/>
    <w:rsid w:val="008A4717"/>
    <w:rsid w:val="008A4B89"/>
    <w:rsid w:val="008A4D9E"/>
    <w:rsid w:val="008A4FF7"/>
    <w:rsid w:val="008A510A"/>
    <w:rsid w:val="008A54E7"/>
    <w:rsid w:val="008A553F"/>
    <w:rsid w:val="008A5E81"/>
    <w:rsid w:val="008A5FF2"/>
    <w:rsid w:val="008A67D8"/>
    <w:rsid w:val="008A6889"/>
    <w:rsid w:val="008A6952"/>
    <w:rsid w:val="008A6AC6"/>
    <w:rsid w:val="008A6BB8"/>
    <w:rsid w:val="008A72B8"/>
    <w:rsid w:val="008A7725"/>
    <w:rsid w:val="008B030D"/>
    <w:rsid w:val="008B0848"/>
    <w:rsid w:val="008B098C"/>
    <w:rsid w:val="008B0A80"/>
    <w:rsid w:val="008B1647"/>
    <w:rsid w:val="008B1ADC"/>
    <w:rsid w:val="008B1C5E"/>
    <w:rsid w:val="008B21B9"/>
    <w:rsid w:val="008B23AB"/>
    <w:rsid w:val="008B254F"/>
    <w:rsid w:val="008B2FA7"/>
    <w:rsid w:val="008B370C"/>
    <w:rsid w:val="008B373F"/>
    <w:rsid w:val="008B39CE"/>
    <w:rsid w:val="008B3E3D"/>
    <w:rsid w:val="008B3F4B"/>
    <w:rsid w:val="008B403A"/>
    <w:rsid w:val="008B41B1"/>
    <w:rsid w:val="008B4438"/>
    <w:rsid w:val="008B47C8"/>
    <w:rsid w:val="008B4920"/>
    <w:rsid w:val="008B4D25"/>
    <w:rsid w:val="008B52DF"/>
    <w:rsid w:val="008B59CE"/>
    <w:rsid w:val="008B68B7"/>
    <w:rsid w:val="008B708B"/>
    <w:rsid w:val="008B7267"/>
    <w:rsid w:val="008B7618"/>
    <w:rsid w:val="008B7716"/>
    <w:rsid w:val="008C0602"/>
    <w:rsid w:val="008C21BB"/>
    <w:rsid w:val="008C34AF"/>
    <w:rsid w:val="008C34B3"/>
    <w:rsid w:val="008C37D4"/>
    <w:rsid w:val="008C3ACA"/>
    <w:rsid w:val="008C3CB3"/>
    <w:rsid w:val="008C3DF6"/>
    <w:rsid w:val="008C40A1"/>
    <w:rsid w:val="008C47FD"/>
    <w:rsid w:val="008C51BD"/>
    <w:rsid w:val="008C51E0"/>
    <w:rsid w:val="008C58D9"/>
    <w:rsid w:val="008C5A77"/>
    <w:rsid w:val="008C5E5B"/>
    <w:rsid w:val="008C6392"/>
    <w:rsid w:val="008C6D2D"/>
    <w:rsid w:val="008C74D0"/>
    <w:rsid w:val="008D094F"/>
    <w:rsid w:val="008D097F"/>
    <w:rsid w:val="008D0B5E"/>
    <w:rsid w:val="008D0B87"/>
    <w:rsid w:val="008D0D1C"/>
    <w:rsid w:val="008D288C"/>
    <w:rsid w:val="008D2A84"/>
    <w:rsid w:val="008D2B4B"/>
    <w:rsid w:val="008D2FA8"/>
    <w:rsid w:val="008D335B"/>
    <w:rsid w:val="008D35F8"/>
    <w:rsid w:val="008D39A9"/>
    <w:rsid w:val="008D3AF6"/>
    <w:rsid w:val="008D413E"/>
    <w:rsid w:val="008D43CB"/>
    <w:rsid w:val="008D4590"/>
    <w:rsid w:val="008D5230"/>
    <w:rsid w:val="008D60B7"/>
    <w:rsid w:val="008D67D4"/>
    <w:rsid w:val="008D698C"/>
    <w:rsid w:val="008D6A44"/>
    <w:rsid w:val="008D6C8B"/>
    <w:rsid w:val="008D7C39"/>
    <w:rsid w:val="008E0218"/>
    <w:rsid w:val="008E0468"/>
    <w:rsid w:val="008E0C0F"/>
    <w:rsid w:val="008E117F"/>
    <w:rsid w:val="008E160C"/>
    <w:rsid w:val="008E166C"/>
    <w:rsid w:val="008E1A4B"/>
    <w:rsid w:val="008E1B53"/>
    <w:rsid w:val="008E1B9F"/>
    <w:rsid w:val="008E235B"/>
    <w:rsid w:val="008E2439"/>
    <w:rsid w:val="008E29C8"/>
    <w:rsid w:val="008E2BA3"/>
    <w:rsid w:val="008E30E6"/>
    <w:rsid w:val="008E35AE"/>
    <w:rsid w:val="008E38C8"/>
    <w:rsid w:val="008E4B3C"/>
    <w:rsid w:val="008E5134"/>
    <w:rsid w:val="008E5697"/>
    <w:rsid w:val="008E56FB"/>
    <w:rsid w:val="008E5778"/>
    <w:rsid w:val="008E58CB"/>
    <w:rsid w:val="008E6253"/>
    <w:rsid w:val="008E704D"/>
    <w:rsid w:val="008E73E8"/>
    <w:rsid w:val="008E7405"/>
    <w:rsid w:val="008E7484"/>
    <w:rsid w:val="008F02F1"/>
    <w:rsid w:val="008F0584"/>
    <w:rsid w:val="008F0703"/>
    <w:rsid w:val="008F21CA"/>
    <w:rsid w:val="008F247C"/>
    <w:rsid w:val="008F25DD"/>
    <w:rsid w:val="008F2811"/>
    <w:rsid w:val="008F2BA0"/>
    <w:rsid w:val="008F31FB"/>
    <w:rsid w:val="008F3223"/>
    <w:rsid w:val="008F3771"/>
    <w:rsid w:val="008F396F"/>
    <w:rsid w:val="008F40EA"/>
    <w:rsid w:val="008F49E2"/>
    <w:rsid w:val="008F4C35"/>
    <w:rsid w:val="008F51D5"/>
    <w:rsid w:val="008F5D08"/>
    <w:rsid w:val="008F616C"/>
    <w:rsid w:val="008F6BC9"/>
    <w:rsid w:val="008F6CFF"/>
    <w:rsid w:val="008F6E78"/>
    <w:rsid w:val="008F78B4"/>
    <w:rsid w:val="008F7A49"/>
    <w:rsid w:val="008F7D38"/>
    <w:rsid w:val="00901BCC"/>
    <w:rsid w:val="0090219F"/>
    <w:rsid w:val="0090406F"/>
    <w:rsid w:val="009048A3"/>
    <w:rsid w:val="00904A89"/>
    <w:rsid w:val="00904DD0"/>
    <w:rsid w:val="0090509E"/>
    <w:rsid w:val="00905294"/>
    <w:rsid w:val="00905465"/>
    <w:rsid w:val="00905859"/>
    <w:rsid w:val="00906841"/>
    <w:rsid w:val="009068B2"/>
    <w:rsid w:val="00906C32"/>
    <w:rsid w:val="00906CE0"/>
    <w:rsid w:val="009102F9"/>
    <w:rsid w:val="00910831"/>
    <w:rsid w:val="00911239"/>
    <w:rsid w:val="009117B2"/>
    <w:rsid w:val="00911CFF"/>
    <w:rsid w:val="00913149"/>
    <w:rsid w:val="00913680"/>
    <w:rsid w:val="009136A7"/>
    <w:rsid w:val="00914213"/>
    <w:rsid w:val="00914403"/>
    <w:rsid w:val="0091464C"/>
    <w:rsid w:val="00914B7D"/>
    <w:rsid w:val="00914BCE"/>
    <w:rsid w:val="0091509F"/>
    <w:rsid w:val="00915587"/>
    <w:rsid w:val="0091596A"/>
    <w:rsid w:val="00915A07"/>
    <w:rsid w:val="00915CE3"/>
    <w:rsid w:val="00915DEE"/>
    <w:rsid w:val="00915FA0"/>
    <w:rsid w:val="009164E4"/>
    <w:rsid w:val="00916C44"/>
    <w:rsid w:val="00916DF0"/>
    <w:rsid w:val="00917258"/>
    <w:rsid w:val="0091733F"/>
    <w:rsid w:val="00917FB7"/>
    <w:rsid w:val="00920A19"/>
    <w:rsid w:val="00921494"/>
    <w:rsid w:val="009220EA"/>
    <w:rsid w:val="009229A4"/>
    <w:rsid w:val="00922ED5"/>
    <w:rsid w:val="009230F6"/>
    <w:rsid w:val="00923159"/>
    <w:rsid w:val="00923325"/>
    <w:rsid w:val="00923557"/>
    <w:rsid w:val="009237D6"/>
    <w:rsid w:val="00924358"/>
    <w:rsid w:val="009244C4"/>
    <w:rsid w:val="009249E9"/>
    <w:rsid w:val="00924DE7"/>
    <w:rsid w:val="00925040"/>
    <w:rsid w:val="009258F8"/>
    <w:rsid w:val="00925A7A"/>
    <w:rsid w:val="00925ADA"/>
    <w:rsid w:val="00925BAB"/>
    <w:rsid w:val="00926414"/>
    <w:rsid w:val="00930B55"/>
    <w:rsid w:val="00930C3F"/>
    <w:rsid w:val="00931D55"/>
    <w:rsid w:val="00932756"/>
    <w:rsid w:val="00932802"/>
    <w:rsid w:val="00932930"/>
    <w:rsid w:val="009335D7"/>
    <w:rsid w:val="009339D3"/>
    <w:rsid w:val="0093421B"/>
    <w:rsid w:val="00934390"/>
    <w:rsid w:val="009344F7"/>
    <w:rsid w:val="00934A9B"/>
    <w:rsid w:val="00935E6A"/>
    <w:rsid w:val="00935ECE"/>
    <w:rsid w:val="009366F8"/>
    <w:rsid w:val="009369BA"/>
    <w:rsid w:val="009369ED"/>
    <w:rsid w:val="00936C39"/>
    <w:rsid w:val="00936C7B"/>
    <w:rsid w:val="00937266"/>
    <w:rsid w:val="00937272"/>
    <w:rsid w:val="009379BD"/>
    <w:rsid w:val="00937AE8"/>
    <w:rsid w:val="00937F43"/>
    <w:rsid w:val="00937F73"/>
    <w:rsid w:val="00937F7D"/>
    <w:rsid w:val="00940161"/>
    <w:rsid w:val="009403E6"/>
    <w:rsid w:val="00940417"/>
    <w:rsid w:val="009407BC"/>
    <w:rsid w:val="0094092F"/>
    <w:rsid w:val="00940BFE"/>
    <w:rsid w:val="00940DF2"/>
    <w:rsid w:val="00940F44"/>
    <w:rsid w:val="00941439"/>
    <w:rsid w:val="00941D2A"/>
    <w:rsid w:val="00941D6E"/>
    <w:rsid w:val="00942414"/>
    <w:rsid w:val="009424D7"/>
    <w:rsid w:val="009428CB"/>
    <w:rsid w:val="00942AF3"/>
    <w:rsid w:val="00942CD8"/>
    <w:rsid w:val="009432E8"/>
    <w:rsid w:val="00943F89"/>
    <w:rsid w:val="009447C6"/>
    <w:rsid w:val="00944B3E"/>
    <w:rsid w:val="009453B5"/>
    <w:rsid w:val="009454AF"/>
    <w:rsid w:val="00945FBB"/>
    <w:rsid w:val="00946088"/>
    <w:rsid w:val="009462EF"/>
    <w:rsid w:val="00946850"/>
    <w:rsid w:val="00946D77"/>
    <w:rsid w:val="00947059"/>
    <w:rsid w:val="009470D1"/>
    <w:rsid w:val="009474FC"/>
    <w:rsid w:val="009475BA"/>
    <w:rsid w:val="00947688"/>
    <w:rsid w:val="00947BFD"/>
    <w:rsid w:val="0095021E"/>
    <w:rsid w:val="00950B4F"/>
    <w:rsid w:val="009511AF"/>
    <w:rsid w:val="009513EE"/>
    <w:rsid w:val="00951539"/>
    <w:rsid w:val="00951B36"/>
    <w:rsid w:val="00951E7A"/>
    <w:rsid w:val="00951FDC"/>
    <w:rsid w:val="00952802"/>
    <w:rsid w:val="0095284E"/>
    <w:rsid w:val="0095362C"/>
    <w:rsid w:val="00953761"/>
    <w:rsid w:val="0095380D"/>
    <w:rsid w:val="00953B6C"/>
    <w:rsid w:val="00953D64"/>
    <w:rsid w:val="00953D68"/>
    <w:rsid w:val="009543BD"/>
    <w:rsid w:val="009544B4"/>
    <w:rsid w:val="009549FC"/>
    <w:rsid w:val="00954C40"/>
    <w:rsid w:val="00954E3F"/>
    <w:rsid w:val="00954F63"/>
    <w:rsid w:val="00955506"/>
    <w:rsid w:val="00955CE9"/>
    <w:rsid w:val="00955DB8"/>
    <w:rsid w:val="009563C2"/>
    <w:rsid w:val="009564E1"/>
    <w:rsid w:val="00956568"/>
    <w:rsid w:val="009568E2"/>
    <w:rsid w:val="00956C45"/>
    <w:rsid w:val="00956FFB"/>
    <w:rsid w:val="009570BB"/>
    <w:rsid w:val="00957589"/>
    <w:rsid w:val="00957D45"/>
    <w:rsid w:val="00957DCF"/>
    <w:rsid w:val="00957E0C"/>
    <w:rsid w:val="00960C62"/>
    <w:rsid w:val="00960C70"/>
    <w:rsid w:val="00961275"/>
    <w:rsid w:val="00962D9E"/>
    <w:rsid w:val="00962DCA"/>
    <w:rsid w:val="00962F7A"/>
    <w:rsid w:val="00963AA3"/>
    <w:rsid w:val="00963B45"/>
    <w:rsid w:val="0096444B"/>
    <w:rsid w:val="009644FC"/>
    <w:rsid w:val="00964A07"/>
    <w:rsid w:val="00964AB4"/>
    <w:rsid w:val="009653D3"/>
    <w:rsid w:val="00965A8B"/>
    <w:rsid w:val="0096674E"/>
    <w:rsid w:val="009669E1"/>
    <w:rsid w:val="00966B20"/>
    <w:rsid w:val="009675A1"/>
    <w:rsid w:val="00967A18"/>
    <w:rsid w:val="00967DE9"/>
    <w:rsid w:val="00970962"/>
    <w:rsid w:val="00970E7A"/>
    <w:rsid w:val="0097179B"/>
    <w:rsid w:val="00971B54"/>
    <w:rsid w:val="00971D73"/>
    <w:rsid w:val="00972042"/>
    <w:rsid w:val="009723D5"/>
    <w:rsid w:val="00972A1F"/>
    <w:rsid w:val="00972B3F"/>
    <w:rsid w:val="00972D40"/>
    <w:rsid w:val="009732A0"/>
    <w:rsid w:val="00973464"/>
    <w:rsid w:val="00973716"/>
    <w:rsid w:val="00973AF5"/>
    <w:rsid w:val="00973B24"/>
    <w:rsid w:val="00973EB2"/>
    <w:rsid w:val="00973FF7"/>
    <w:rsid w:val="00974129"/>
    <w:rsid w:val="0097432C"/>
    <w:rsid w:val="00974433"/>
    <w:rsid w:val="00975AE4"/>
    <w:rsid w:val="00975B66"/>
    <w:rsid w:val="00975BE8"/>
    <w:rsid w:val="0097690D"/>
    <w:rsid w:val="009778AC"/>
    <w:rsid w:val="00977B4D"/>
    <w:rsid w:val="00980892"/>
    <w:rsid w:val="00980A8B"/>
    <w:rsid w:val="00980DF8"/>
    <w:rsid w:val="00980FD4"/>
    <w:rsid w:val="0098129C"/>
    <w:rsid w:val="009813B1"/>
    <w:rsid w:val="00982935"/>
    <w:rsid w:val="00982A98"/>
    <w:rsid w:val="00982FE1"/>
    <w:rsid w:val="009831BE"/>
    <w:rsid w:val="009836A4"/>
    <w:rsid w:val="00983EB8"/>
    <w:rsid w:val="00983FFA"/>
    <w:rsid w:val="00984E5C"/>
    <w:rsid w:val="00985468"/>
    <w:rsid w:val="00985556"/>
    <w:rsid w:val="0098576B"/>
    <w:rsid w:val="00985E46"/>
    <w:rsid w:val="00985FA4"/>
    <w:rsid w:val="009860F0"/>
    <w:rsid w:val="009863B6"/>
    <w:rsid w:val="009869DF"/>
    <w:rsid w:val="00986A35"/>
    <w:rsid w:val="00986F83"/>
    <w:rsid w:val="00987353"/>
    <w:rsid w:val="00987387"/>
    <w:rsid w:val="009873E4"/>
    <w:rsid w:val="00987CB0"/>
    <w:rsid w:val="00987E8E"/>
    <w:rsid w:val="00987F70"/>
    <w:rsid w:val="00990018"/>
    <w:rsid w:val="00990041"/>
    <w:rsid w:val="00990255"/>
    <w:rsid w:val="00990EE1"/>
    <w:rsid w:val="00990F86"/>
    <w:rsid w:val="00990FA9"/>
    <w:rsid w:val="009912C4"/>
    <w:rsid w:val="00991774"/>
    <w:rsid w:val="009922B3"/>
    <w:rsid w:val="00992A37"/>
    <w:rsid w:val="00992C31"/>
    <w:rsid w:val="00992DA0"/>
    <w:rsid w:val="00993147"/>
    <w:rsid w:val="009934F5"/>
    <w:rsid w:val="00993DBF"/>
    <w:rsid w:val="00994B70"/>
    <w:rsid w:val="00995472"/>
    <w:rsid w:val="0099595E"/>
    <w:rsid w:val="00995C63"/>
    <w:rsid w:val="00995CB1"/>
    <w:rsid w:val="00996852"/>
    <w:rsid w:val="00996F34"/>
    <w:rsid w:val="00997031"/>
    <w:rsid w:val="00997265"/>
    <w:rsid w:val="00997A9A"/>
    <w:rsid w:val="009A06D3"/>
    <w:rsid w:val="009A0CCD"/>
    <w:rsid w:val="009A0FE1"/>
    <w:rsid w:val="009A10EE"/>
    <w:rsid w:val="009A1276"/>
    <w:rsid w:val="009A18BD"/>
    <w:rsid w:val="009A225F"/>
    <w:rsid w:val="009A24B9"/>
    <w:rsid w:val="009A2547"/>
    <w:rsid w:val="009A25A1"/>
    <w:rsid w:val="009A3214"/>
    <w:rsid w:val="009A3377"/>
    <w:rsid w:val="009A384C"/>
    <w:rsid w:val="009A403C"/>
    <w:rsid w:val="009A4360"/>
    <w:rsid w:val="009A43BE"/>
    <w:rsid w:val="009A43CF"/>
    <w:rsid w:val="009A4AE6"/>
    <w:rsid w:val="009A4D10"/>
    <w:rsid w:val="009A543D"/>
    <w:rsid w:val="009A58E4"/>
    <w:rsid w:val="009A5D01"/>
    <w:rsid w:val="009A78E3"/>
    <w:rsid w:val="009A7C61"/>
    <w:rsid w:val="009A7CD2"/>
    <w:rsid w:val="009A7F8F"/>
    <w:rsid w:val="009B00F5"/>
    <w:rsid w:val="009B01A0"/>
    <w:rsid w:val="009B0676"/>
    <w:rsid w:val="009B0BE6"/>
    <w:rsid w:val="009B0DDB"/>
    <w:rsid w:val="009B1DDA"/>
    <w:rsid w:val="009B1DE1"/>
    <w:rsid w:val="009B2008"/>
    <w:rsid w:val="009B2178"/>
    <w:rsid w:val="009B2244"/>
    <w:rsid w:val="009B2602"/>
    <w:rsid w:val="009B2A8E"/>
    <w:rsid w:val="009B2AAD"/>
    <w:rsid w:val="009B2D0A"/>
    <w:rsid w:val="009B2DA6"/>
    <w:rsid w:val="009B376D"/>
    <w:rsid w:val="009B3BF3"/>
    <w:rsid w:val="009B4B65"/>
    <w:rsid w:val="009B5949"/>
    <w:rsid w:val="009B5AD9"/>
    <w:rsid w:val="009B5AEB"/>
    <w:rsid w:val="009B5F7D"/>
    <w:rsid w:val="009B699A"/>
    <w:rsid w:val="009B7068"/>
    <w:rsid w:val="009B73FE"/>
    <w:rsid w:val="009B7A8D"/>
    <w:rsid w:val="009B7C62"/>
    <w:rsid w:val="009B7DA9"/>
    <w:rsid w:val="009C02AE"/>
    <w:rsid w:val="009C08A4"/>
    <w:rsid w:val="009C0A8F"/>
    <w:rsid w:val="009C10CC"/>
    <w:rsid w:val="009C135C"/>
    <w:rsid w:val="009C158A"/>
    <w:rsid w:val="009C18BE"/>
    <w:rsid w:val="009C1ABF"/>
    <w:rsid w:val="009C1FD2"/>
    <w:rsid w:val="009C257E"/>
    <w:rsid w:val="009C2663"/>
    <w:rsid w:val="009C2827"/>
    <w:rsid w:val="009C2AB9"/>
    <w:rsid w:val="009C2F65"/>
    <w:rsid w:val="009C316E"/>
    <w:rsid w:val="009C3BC8"/>
    <w:rsid w:val="009C43FD"/>
    <w:rsid w:val="009C45AF"/>
    <w:rsid w:val="009C52A7"/>
    <w:rsid w:val="009C55D0"/>
    <w:rsid w:val="009C5622"/>
    <w:rsid w:val="009C5BAB"/>
    <w:rsid w:val="009C5ED9"/>
    <w:rsid w:val="009C661D"/>
    <w:rsid w:val="009C7190"/>
    <w:rsid w:val="009C726E"/>
    <w:rsid w:val="009C72A1"/>
    <w:rsid w:val="009C72B3"/>
    <w:rsid w:val="009C72CE"/>
    <w:rsid w:val="009C740D"/>
    <w:rsid w:val="009C76AB"/>
    <w:rsid w:val="009C7726"/>
    <w:rsid w:val="009C7890"/>
    <w:rsid w:val="009C7913"/>
    <w:rsid w:val="009D0705"/>
    <w:rsid w:val="009D0A1A"/>
    <w:rsid w:val="009D0A28"/>
    <w:rsid w:val="009D0A83"/>
    <w:rsid w:val="009D10F5"/>
    <w:rsid w:val="009D13BB"/>
    <w:rsid w:val="009D13C0"/>
    <w:rsid w:val="009D2598"/>
    <w:rsid w:val="009D2AB2"/>
    <w:rsid w:val="009D3961"/>
    <w:rsid w:val="009D3BB1"/>
    <w:rsid w:val="009D412B"/>
    <w:rsid w:val="009D4686"/>
    <w:rsid w:val="009D46B9"/>
    <w:rsid w:val="009D498B"/>
    <w:rsid w:val="009D4BE4"/>
    <w:rsid w:val="009D4F25"/>
    <w:rsid w:val="009D5AE5"/>
    <w:rsid w:val="009D5EA1"/>
    <w:rsid w:val="009D60FD"/>
    <w:rsid w:val="009D61DD"/>
    <w:rsid w:val="009D6208"/>
    <w:rsid w:val="009D6575"/>
    <w:rsid w:val="009D6709"/>
    <w:rsid w:val="009D6791"/>
    <w:rsid w:val="009D67E9"/>
    <w:rsid w:val="009D69FF"/>
    <w:rsid w:val="009D6BFF"/>
    <w:rsid w:val="009D6E8F"/>
    <w:rsid w:val="009D7CF5"/>
    <w:rsid w:val="009D7FE4"/>
    <w:rsid w:val="009E10C4"/>
    <w:rsid w:val="009E11C3"/>
    <w:rsid w:val="009E1233"/>
    <w:rsid w:val="009E1784"/>
    <w:rsid w:val="009E244E"/>
    <w:rsid w:val="009E262D"/>
    <w:rsid w:val="009E2B2C"/>
    <w:rsid w:val="009E2BDF"/>
    <w:rsid w:val="009E3154"/>
    <w:rsid w:val="009E3768"/>
    <w:rsid w:val="009E3C42"/>
    <w:rsid w:val="009E3CA8"/>
    <w:rsid w:val="009E44BE"/>
    <w:rsid w:val="009E538C"/>
    <w:rsid w:val="009E53CB"/>
    <w:rsid w:val="009E55CC"/>
    <w:rsid w:val="009E57F0"/>
    <w:rsid w:val="009E5CC5"/>
    <w:rsid w:val="009E5D72"/>
    <w:rsid w:val="009E6106"/>
    <w:rsid w:val="009E6715"/>
    <w:rsid w:val="009E6749"/>
    <w:rsid w:val="009E68C3"/>
    <w:rsid w:val="009E6A4C"/>
    <w:rsid w:val="009E6FD5"/>
    <w:rsid w:val="009E750D"/>
    <w:rsid w:val="009E7642"/>
    <w:rsid w:val="009E78EA"/>
    <w:rsid w:val="009F0241"/>
    <w:rsid w:val="009F0406"/>
    <w:rsid w:val="009F060A"/>
    <w:rsid w:val="009F0C44"/>
    <w:rsid w:val="009F0D52"/>
    <w:rsid w:val="009F1794"/>
    <w:rsid w:val="009F1834"/>
    <w:rsid w:val="009F1D0D"/>
    <w:rsid w:val="009F1E48"/>
    <w:rsid w:val="009F1FB9"/>
    <w:rsid w:val="009F25DD"/>
    <w:rsid w:val="009F2C64"/>
    <w:rsid w:val="009F308F"/>
    <w:rsid w:val="009F32E1"/>
    <w:rsid w:val="009F4A3C"/>
    <w:rsid w:val="009F547B"/>
    <w:rsid w:val="009F5776"/>
    <w:rsid w:val="009F5903"/>
    <w:rsid w:val="009F5BDE"/>
    <w:rsid w:val="009F5BF8"/>
    <w:rsid w:val="009F5C3C"/>
    <w:rsid w:val="009F5D2E"/>
    <w:rsid w:val="009F5E69"/>
    <w:rsid w:val="009F63EE"/>
    <w:rsid w:val="009F6A02"/>
    <w:rsid w:val="009F6D67"/>
    <w:rsid w:val="009F7157"/>
    <w:rsid w:val="009F7485"/>
    <w:rsid w:val="009F7892"/>
    <w:rsid w:val="009F7D90"/>
    <w:rsid w:val="00A0050C"/>
    <w:rsid w:val="00A00C69"/>
    <w:rsid w:val="00A01318"/>
    <w:rsid w:val="00A01357"/>
    <w:rsid w:val="00A015D8"/>
    <w:rsid w:val="00A017E9"/>
    <w:rsid w:val="00A01A86"/>
    <w:rsid w:val="00A01FF4"/>
    <w:rsid w:val="00A02654"/>
    <w:rsid w:val="00A02BE6"/>
    <w:rsid w:val="00A02E8C"/>
    <w:rsid w:val="00A02F96"/>
    <w:rsid w:val="00A03821"/>
    <w:rsid w:val="00A03A48"/>
    <w:rsid w:val="00A03CF5"/>
    <w:rsid w:val="00A0402D"/>
    <w:rsid w:val="00A044D5"/>
    <w:rsid w:val="00A04D11"/>
    <w:rsid w:val="00A04E02"/>
    <w:rsid w:val="00A05712"/>
    <w:rsid w:val="00A06404"/>
    <w:rsid w:val="00A0668B"/>
    <w:rsid w:val="00A06B0B"/>
    <w:rsid w:val="00A06B0C"/>
    <w:rsid w:val="00A06C17"/>
    <w:rsid w:val="00A07237"/>
    <w:rsid w:val="00A0797A"/>
    <w:rsid w:val="00A07C09"/>
    <w:rsid w:val="00A100FC"/>
    <w:rsid w:val="00A10414"/>
    <w:rsid w:val="00A10525"/>
    <w:rsid w:val="00A1063F"/>
    <w:rsid w:val="00A10CB0"/>
    <w:rsid w:val="00A10E49"/>
    <w:rsid w:val="00A11137"/>
    <w:rsid w:val="00A1121C"/>
    <w:rsid w:val="00A11682"/>
    <w:rsid w:val="00A11BCD"/>
    <w:rsid w:val="00A11DC6"/>
    <w:rsid w:val="00A11F03"/>
    <w:rsid w:val="00A1253E"/>
    <w:rsid w:val="00A12647"/>
    <w:rsid w:val="00A13E0C"/>
    <w:rsid w:val="00A144A8"/>
    <w:rsid w:val="00A149B4"/>
    <w:rsid w:val="00A14AEA"/>
    <w:rsid w:val="00A14C46"/>
    <w:rsid w:val="00A157CC"/>
    <w:rsid w:val="00A159CA"/>
    <w:rsid w:val="00A160D8"/>
    <w:rsid w:val="00A161F1"/>
    <w:rsid w:val="00A162B7"/>
    <w:rsid w:val="00A16F31"/>
    <w:rsid w:val="00A17452"/>
    <w:rsid w:val="00A17C4D"/>
    <w:rsid w:val="00A20072"/>
    <w:rsid w:val="00A20692"/>
    <w:rsid w:val="00A20783"/>
    <w:rsid w:val="00A21642"/>
    <w:rsid w:val="00A21763"/>
    <w:rsid w:val="00A218BC"/>
    <w:rsid w:val="00A21E65"/>
    <w:rsid w:val="00A22392"/>
    <w:rsid w:val="00A22FB4"/>
    <w:rsid w:val="00A23131"/>
    <w:rsid w:val="00A23190"/>
    <w:rsid w:val="00A234A5"/>
    <w:rsid w:val="00A241C6"/>
    <w:rsid w:val="00A24630"/>
    <w:rsid w:val="00A25432"/>
    <w:rsid w:val="00A25BE6"/>
    <w:rsid w:val="00A268D0"/>
    <w:rsid w:val="00A26F78"/>
    <w:rsid w:val="00A270F6"/>
    <w:rsid w:val="00A273B3"/>
    <w:rsid w:val="00A2786E"/>
    <w:rsid w:val="00A305C1"/>
    <w:rsid w:val="00A30F8B"/>
    <w:rsid w:val="00A31174"/>
    <w:rsid w:val="00A31460"/>
    <w:rsid w:val="00A31762"/>
    <w:rsid w:val="00A31A44"/>
    <w:rsid w:val="00A31E37"/>
    <w:rsid w:val="00A32045"/>
    <w:rsid w:val="00A3210F"/>
    <w:rsid w:val="00A324C3"/>
    <w:rsid w:val="00A32712"/>
    <w:rsid w:val="00A32817"/>
    <w:rsid w:val="00A32A49"/>
    <w:rsid w:val="00A32F6E"/>
    <w:rsid w:val="00A32FFE"/>
    <w:rsid w:val="00A33713"/>
    <w:rsid w:val="00A338E0"/>
    <w:rsid w:val="00A33CBF"/>
    <w:rsid w:val="00A34194"/>
    <w:rsid w:val="00A346CE"/>
    <w:rsid w:val="00A34997"/>
    <w:rsid w:val="00A34C52"/>
    <w:rsid w:val="00A34EE9"/>
    <w:rsid w:val="00A350A9"/>
    <w:rsid w:val="00A350FA"/>
    <w:rsid w:val="00A359DA"/>
    <w:rsid w:val="00A35D39"/>
    <w:rsid w:val="00A35DAD"/>
    <w:rsid w:val="00A35F42"/>
    <w:rsid w:val="00A3689A"/>
    <w:rsid w:val="00A37A3C"/>
    <w:rsid w:val="00A37A89"/>
    <w:rsid w:val="00A4047A"/>
    <w:rsid w:val="00A40547"/>
    <w:rsid w:val="00A406BD"/>
    <w:rsid w:val="00A40774"/>
    <w:rsid w:val="00A40A78"/>
    <w:rsid w:val="00A41264"/>
    <w:rsid w:val="00A41532"/>
    <w:rsid w:val="00A41638"/>
    <w:rsid w:val="00A41794"/>
    <w:rsid w:val="00A41B33"/>
    <w:rsid w:val="00A41B57"/>
    <w:rsid w:val="00A42208"/>
    <w:rsid w:val="00A42680"/>
    <w:rsid w:val="00A430FD"/>
    <w:rsid w:val="00A43459"/>
    <w:rsid w:val="00A436D6"/>
    <w:rsid w:val="00A437B0"/>
    <w:rsid w:val="00A43C03"/>
    <w:rsid w:val="00A443BE"/>
    <w:rsid w:val="00A44524"/>
    <w:rsid w:val="00A45632"/>
    <w:rsid w:val="00A459FC"/>
    <w:rsid w:val="00A45A75"/>
    <w:rsid w:val="00A46CDC"/>
    <w:rsid w:val="00A470B2"/>
    <w:rsid w:val="00A47678"/>
    <w:rsid w:val="00A4794A"/>
    <w:rsid w:val="00A47B6C"/>
    <w:rsid w:val="00A50293"/>
    <w:rsid w:val="00A5032B"/>
    <w:rsid w:val="00A51139"/>
    <w:rsid w:val="00A51664"/>
    <w:rsid w:val="00A517CB"/>
    <w:rsid w:val="00A51B58"/>
    <w:rsid w:val="00A52106"/>
    <w:rsid w:val="00A52FEF"/>
    <w:rsid w:val="00A530CC"/>
    <w:rsid w:val="00A532C0"/>
    <w:rsid w:val="00A53431"/>
    <w:rsid w:val="00A53648"/>
    <w:rsid w:val="00A54925"/>
    <w:rsid w:val="00A54AC6"/>
    <w:rsid w:val="00A54BC7"/>
    <w:rsid w:val="00A55047"/>
    <w:rsid w:val="00A5520C"/>
    <w:rsid w:val="00A553EE"/>
    <w:rsid w:val="00A5557C"/>
    <w:rsid w:val="00A5562B"/>
    <w:rsid w:val="00A55817"/>
    <w:rsid w:val="00A55870"/>
    <w:rsid w:val="00A55FB1"/>
    <w:rsid w:val="00A56B45"/>
    <w:rsid w:val="00A56C3E"/>
    <w:rsid w:val="00A57214"/>
    <w:rsid w:val="00A576B7"/>
    <w:rsid w:val="00A57D8F"/>
    <w:rsid w:val="00A6045C"/>
    <w:rsid w:val="00A607CB"/>
    <w:rsid w:val="00A60C7B"/>
    <w:rsid w:val="00A615B2"/>
    <w:rsid w:val="00A617A1"/>
    <w:rsid w:val="00A61DBA"/>
    <w:rsid w:val="00A62151"/>
    <w:rsid w:val="00A622C6"/>
    <w:rsid w:val="00A6268E"/>
    <w:rsid w:val="00A6305C"/>
    <w:rsid w:val="00A630A5"/>
    <w:rsid w:val="00A63425"/>
    <w:rsid w:val="00A63940"/>
    <w:rsid w:val="00A63CEA"/>
    <w:rsid w:val="00A63E4C"/>
    <w:rsid w:val="00A64D8D"/>
    <w:rsid w:val="00A64EDA"/>
    <w:rsid w:val="00A65055"/>
    <w:rsid w:val="00A652DC"/>
    <w:rsid w:val="00A6534F"/>
    <w:rsid w:val="00A65A7F"/>
    <w:rsid w:val="00A664FE"/>
    <w:rsid w:val="00A66D6C"/>
    <w:rsid w:val="00A66DB3"/>
    <w:rsid w:val="00A67339"/>
    <w:rsid w:val="00A674D3"/>
    <w:rsid w:val="00A67B3F"/>
    <w:rsid w:val="00A70D5A"/>
    <w:rsid w:val="00A7165E"/>
    <w:rsid w:val="00A71684"/>
    <w:rsid w:val="00A71875"/>
    <w:rsid w:val="00A71910"/>
    <w:rsid w:val="00A71D25"/>
    <w:rsid w:val="00A71FE1"/>
    <w:rsid w:val="00A720CC"/>
    <w:rsid w:val="00A7280B"/>
    <w:rsid w:val="00A72FE9"/>
    <w:rsid w:val="00A732BC"/>
    <w:rsid w:val="00A733EC"/>
    <w:rsid w:val="00A735EA"/>
    <w:rsid w:val="00A736AF"/>
    <w:rsid w:val="00A736DB"/>
    <w:rsid w:val="00A73EB3"/>
    <w:rsid w:val="00A74256"/>
    <w:rsid w:val="00A746CC"/>
    <w:rsid w:val="00A7483B"/>
    <w:rsid w:val="00A74C9C"/>
    <w:rsid w:val="00A74F29"/>
    <w:rsid w:val="00A75278"/>
    <w:rsid w:val="00A756B6"/>
    <w:rsid w:val="00A75A8D"/>
    <w:rsid w:val="00A75E21"/>
    <w:rsid w:val="00A76282"/>
    <w:rsid w:val="00A7696A"/>
    <w:rsid w:val="00A76EA1"/>
    <w:rsid w:val="00A774DB"/>
    <w:rsid w:val="00A77E85"/>
    <w:rsid w:val="00A80330"/>
    <w:rsid w:val="00A80739"/>
    <w:rsid w:val="00A80AD8"/>
    <w:rsid w:val="00A80BB3"/>
    <w:rsid w:val="00A80BDB"/>
    <w:rsid w:val="00A80E55"/>
    <w:rsid w:val="00A81269"/>
    <w:rsid w:val="00A8168C"/>
    <w:rsid w:val="00A81810"/>
    <w:rsid w:val="00A81EFB"/>
    <w:rsid w:val="00A82BDF"/>
    <w:rsid w:val="00A82CDD"/>
    <w:rsid w:val="00A83791"/>
    <w:rsid w:val="00A83C48"/>
    <w:rsid w:val="00A84308"/>
    <w:rsid w:val="00A847D1"/>
    <w:rsid w:val="00A849CD"/>
    <w:rsid w:val="00A850E3"/>
    <w:rsid w:val="00A86506"/>
    <w:rsid w:val="00A86BDB"/>
    <w:rsid w:val="00A879B3"/>
    <w:rsid w:val="00A87E15"/>
    <w:rsid w:val="00A902C1"/>
    <w:rsid w:val="00A905E1"/>
    <w:rsid w:val="00A90805"/>
    <w:rsid w:val="00A908ED"/>
    <w:rsid w:val="00A90E03"/>
    <w:rsid w:val="00A915C0"/>
    <w:rsid w:val="00A91660"/>
    <w:rsid w:val="00A91B69"/>
    <w:rsid w:val="00A91CB5"/>
    <w:rsid w:val="00A91F26"/>
    <w:rsid w:val="00A9201E"/>
    <w:rsid w:val="00A92111"/>
    <w:rsid w:val="00A921D4"/>
    <w:rsid w:val="00A9256B"/>
    <w:rsid w:val="00A928C4"/>
    <w:rsid w:val="00A92C89"/>
    <w:rsid w:val="00A93714"/>
    <w:rsid w:val="00A93E74"/>
    <w:rsid w:val="00A94210"/>
    <w:rsid w:val="00A943CC"/>
    <w:rsid w:val="00A94533"/>
    <w:rsid w:val="00A94ABC"/>
    <w:rsid w:val="00A94C0D"/>
    <w:rsid w:val="00A94C48"/>
    <w:rsid w:val="00A94FD6"/>
    <w:rsid w:val="00A95450"/>
    <w:rsid w:val="00A9558A"/>
    <w:rsid w:val="00A95628"/>
    <w:rsid w:val="00A95752"/>
    <w:rsid w:val="00A95B59"/>
    <w:rsid w:val="00A96838"/>
    <w:rsid w:val="00A96915"/>
    <w:rsid w:val="00A96A7A"/>
    <w:rsid w:val="00A96E79"/>
    <w:rsid w:val="00A9709F"/>
    <w:rsid w:val="00A977D8"/>
    <w:rsid w:val="00A97AB3"/>
    <w:rsid w:val="00A97B93"/>
    <w:rsid w:val="00A97EE2"/>
    <w:rsid w:val="00AA00BE"/>
    <w:rsid w:val="00AA0299"/>
    <w:rsid w:val="00AA02CB"/>
    <w:rsid w:val="00AA05CF"/>
    <w:rsid w:val="00AA0952"/>
    <w:rsid w:val="00AA0D92"/>
    <w:rsid w:val="00AA183E"/>
    <w:rsid w:val="00AA197D"/>
    <w:rsid w:val="00AA1BF7"/>
    <w:rsid w:val="00AA247A"/>
    <w:rsid w:val="00AA2E1E"/>
    <w:rsid w:val="00AA3226"/>
    <w:rsid w:val="00AA3E7A"/>
    <w:rsid w:val="00AA4204"/>
    <w:rsid w:val="00AA4B2F"/>
    <w:rsid w:val="00AA4BA3"/>
    <w:rsid w:val="00AA508A"/>
    <w:rsid w:val="00AA53C8"/>
    <w:rsid w:val="00AA5521"/>
    <w:rsid w:val="00AA5630"/>
    <w:rsid w:val="00AA5CD3"/>
    <w:rsid w:val="00AA6387"/>
    <w:rsid w:val="00AA75DF"/>
    <w:rsid w:val="00AA7601"/>
    <w:rsid w:val="00AA7788"/>
    <w:rsid w:val="00AA796F"/>
    <w:rsid w:val="00AA7A94"/>
    <w:rsid w:val="00AB079F"/>
    <w:rsid w:val="00AB0A91"/>
    <w:rsid w:val="00AB0AED"/>
    <w:rsid w:val="00AB0C81"/>
    <w:rsid w:val="00AB0CC0"/>
    <w:rsid w:val="00AB0F6C"/>
    <w:rsid w:val="00AB10AE"/>
    <w:rsid w:val="00AB137E"/>
    <w:rsid w:val="00AB1415"/>
    <w:rsid w:val="00AB1ACA"/>
    <w:rsid w:val="00AB1E07"/>
    <w:rsid w:val="00AB1E28"/>
    <w:rsid w:val="00AB21DD"/>
    <w:rsid w:val="00AB237F"/>
    <w:rsid w:val="00AB2A3C"/>
    <w:rsid w:val="00AB2F66"/>
    <w:rsid w:val="00AB2FAA"/>
    <w:rsid w:val="00AB33C5"/>
    <w:rsid w:val="00AB3C16"/>
    <w:rsid w:val="00AB467C"/>
    <w:rsid w:val="00AB4702"/>
    <w:rsid w:val="00AB4B7C"/>
    <w:rsid w:val="00AB4C30"/>
    <w:rsid w:val="00AB573B"/>
    <w:rsid w:val="00AB5824"/>
    <w:rsid w:val="00AB5887"/>
    <w:rsid w:val="00AB6991"/>
    <w:rsid w:val="00AB70EE"/>
    <w:rsid w:val="00AB74D4"/>
    <w:rsid w:val="00AB7806"/>
    <w:rsid w:val="00AB7925"/>
    <w:rsid w:val="00AB7A74"/>
    <w:rsid w:val="00AC087D"/>
    <w:rsid w:val="00AC144F"/>
    <w:rsid w:val="00AC186C"/>
    <w:rsid w:val="00AC19F0"/>
    <w:rsid w:val="00AC1A61"/>
    <w:rsid w:val="00AC1CFC"/>
    <w:rsid w:val="00AC24FE"/>
    <w:rsid w:val="00AC3024"/>
    <w:rsid w:val="00AC306F"/>
    <w:rsid w:val="00AC3A8E"/>
    <w:rsid w:val="00AC3B7B"/>
    <w:rsid w:val="00AC3DAE"/>
    <w:rsid w:val="00AC408E"/>
    <w:rsid w:val="00AC4958"/>
    <w:rsid w:val="00AC49A3"/>
    <w:rsid w:val="00AC49D7"/>
    <w:rsid w:val="00AC4A6A"/>
    <w:rsid w:val="00AC4E1D"/>
    <w:rsid w:val="00AC4F66"/>
    <w:rsid w:val="00AC500C"/>
    <w:rsid w:val="00AC51E3"/>
    <w:rsid w:val="00AC5276"/>
    <w:rsid w:val="00AC559B"/>
    <w:rsid w:val="00AC5630"/>
    <w:rsid w:val="00AC5679"/>
    <w:rsid w:val="00AC567D"/>
    <w:rsid w:val="00AC56D8"/>
    <w:rsid w:val="00AC576F"/>
    <w:rsid w:val="00AC5784"/>
    <w:rsid w:val="00AC5A2B"/>
    <w:rsid w:val="00AC6052"/>
    <w:rsid w:val="00AC60FD"/>
    <w:rsid w:val="00AC624B"/>
    <w:rsid w:val="00AC64A1"/>
    <w:rsid w:val="00AC6629"/>
    <w:rsid w:val="00AC6D19"/>
    <w:rsid w:val="00AC6D53"/>
    <w:rsid w:val="00AC703D"/>
    <w:rsid w:val="00AC71A3"/>
    <w:rsid w:val="00AC7216"/>
    <w:rsid w:val="00AC7656"/>
    <w:rsid w:val="00AC7B35"/>
    <w:rsid w:val="00AC7DF4"/>
    <w:rsid w:val="00AD0190"/>
    <w:rsid w:val="00AD0384"/>
    <w:rsid w:val="00AD041A"/>
    <w:rsid w:val="00AD0A9D"/>
    <w:rsid w:val="00AD0B9F"/>
    <w:rsid w:val="00AD0DDF"/>
    <w:rsid w:val="00AD1A30"/>
    <w:rsid w:val="00AD1AE6"/>
    <w:rsid w:val="00AD1D9B"/>
    <w:rsid w:val="00AD1EF8"/>
    <w:rsid w:val="00AD20F4"/>
    <w:rsid w:val="00AD210F"/>
    <w:rsid w:val="00AD3580"/>
    <w:rsid w:val="00AD3E76"/>
    <w:rsid w:val="00AD4A17"/>
    <w:rsid w:val="00AD4A68"/>
    <w:rsid w:val="00AD5275"/>
    <w:rsid w:val="00AD584F"/>
    <w:rsid w:val="00AD5A04"/>
    <w:rsid w:val="00AD5D47"/>
    <w:rsid w:val="00AD5F49"/>
    <w:rsid w:val="00AD601F"/>
    <w:rsid w:val="00AD6032"/>
    <w:rsid w:val="00AD624D"/>
    <w:rsid w:val="00AD67CE"/>
    <w:rsid w:val="00AD721A"/>
    <w:rsid w:val="00AD7A8F"/>
    <w:rsid w:val="00AD7CC5"/>
    <w:rsid w:val="00AD7F88"/>
    <w:rsid w:val="00AE04B1"/>
    <w:rsid w:val="00AE0986"/>
    <w:rsid w:val="00AE1175"/>
    <w:rsid w:val="00AE1219"/>
    <w:rsid w:val="00AE1898"/>
    <w:rsid w:val="00AE1AF7"/>
    <w:rsid w:val="00AE1F36"/>
    <w:rsid w:val="00AE2424"/>
    <w:rsid w:val="00AE2574"/>
    <w:rsid w:val="00AE26C2"/>
    <w:rsid w:val="00AE2736"/>
    <w:rsid w:val="00AE2C50"/>
    <w:rsid w:val="00AE3AB2"/>
    <w:rsid w:val="00AE45F8"/>
    <w:rsid w:val="00AE4C01"/>
    <w:rsid w:val="00AE50E7"/>
    <w:rsid w:val="00AE5222"/>
    <w:rsid w:val="00AE58D4"/>
    <w:rsid w:val="00AE5965"/>
    <w:rsid w:val="00AE6EFA"/>
    <w:rsid w:val="00AE71E6"/>
    <w:rsid w:val="00AE7309"/>
    <w:rsid w:val="00AE75C9"/>
    <w:rsid w:val="00AE7E04"/>
    <w:rsid w:val="00AF01E4"/>
    <w:rsid w:val="00AF0816"/>
    <w:rsid w:val="00AF0A31"/>
    <w:rsid w:val="00AF0AAC"/>
    <w:rsid w:val="00AF1077"/>
    <w:rsid w:val="00AF144E"/>
    <w:rsid w:val="00AF14C5"/>
    <w:rsid w:val="00AF1558"/>
    <w:rsid w:val="00AF1894"/>
    <w:rsid w:val="00AF214F"/>
    <w:rsid w:val="00AF3236"/>
    <w:rsid w:val="00AF3534"/>
    <w:rsid w:val="00AF38AD"/>
    <w:rsid w:val="00AF38F4"/>
    <w:rsid w:val="00AF3A67"/>
    <w:rsid w:val="00AF490D"/>
    <w:rsid w:val="00AF4ADD"/>
    <w:rsid w:val="00AF4F26"/>
    <w:rsid w:val="00AF4FF5"/>
    <w:rsid w:val="00AF5D18"/>
    <w:rsid w:val="00AF61E3"/>
    <w:rsid w:val="00AF6384"/>
    <w:rsid w:val="00AF6B73"/>
    <w:rsid w:val="00AF79AA"/>
    <w:rsid w:val="00B00AF5"/>
    <w:rsid w:val="00B00C72"/>
    <w:rsid w:val="00B00CBC"/>
    <w:rsid w:val="00B01277"/>
    <w:rsid w:val="00B01BE3"/>
    <w:rsid w:val="00B01F3E"/>
    <w:rsid w:val="00B02243"/>
    <w:rsid w:val="00B023F5"/>
    <w:rsid w:val="00B0260E"/>
    <w:rsid w:val="00B034C3"/>
    <w:rsid w:val="00B039BE"/>
    <w:rsid w:val="00B03A1A"/>
    <w:rsid w:val="00B0462F"/>
    <w:rsid w:val="00B04962"/>
    <w:rsid w:val="00B04CB0"/>
    <w:rsid w:val="00B050BE"/>
    <w:rsid w:val="00B051EF"/>
    <w:rsid w:val="00B0561D"/>
    <w:rsid w:val="00B059C8"/>
    <w:rsid w:val="00B06751"/>
    <w:rsid w:val="00B06B83"/>
    <w:rsid w:val="00B06DC3"/>
    <w:rsid w:val="00B07A00"/>
    <w:rsid w:val="00B07F38"/>
    <w:rsid w:val="00B10B6F"/>
    <w:rsid w:val="00B10F5A"/>
    <w:rsid w:val="00B11CE9"/>
    <w:rsid w:val="00B11DEF"/>
    <w:rsid w:val="00B123C4"/>
    <w:rsid w:val="00B12B52"/>
    <w:rsid w:val="00B13DED"/>
    <w:rsid w:val="00B13EE8"/>
    <w:rsid w:val="00B13FBF"/>
    <w:rsid w:val="00B1404C"/>
    <w:rsid w:val="00B140A6"/>
    <w:rsid w:val="00B142EA"/>
    <w:rsid w:val="00B14481"/>
    <w:rsid w:val="00B14CDD"/>
    <w:rsid w:val="00B15455"/>
    <w:rsid w:val="00B1581D"/>
    <w:rsid w:val="00B158ED"/>
    <w:rsid w:val="00B15CD9"/>
    <w:rsid w:val="00B15CFF"/>
    <w:rsid w:val="00B15D5D"/>
    <w:rsid w:val="00B1606A"/>
    <w:rsid w:val="00B16D2F"/>
    <w:rsid w:val="00B1765B"/>
    <w:rsid w:val="00B208CE"/>
    <w:rsid w:val="00B20C59"/>
    <w:rsid w:val="00B20C86"/>
    <w:rsid w:val="00B2195F"/>
    <w:rsid w:val="00B227CF"/>
    <w:rsid w:val="00B22806"/>
    <w:rsid w:val="00B2341B"/>
    <w:rsid w:val="00B234F2"/>
    <w:rsid w:val="00B24232"/>
    <w:rsid w:val="00B24337"/>
    <w:rsid w:val="00B246C9"/>
    <w:rsid w:val="00B24BF2"/>
    <w:rsid w:val="00B24E5F"/>
    <w:rsid w:val="00B25842"/>
    <w:rsid w:val="00B2585A"/>
    <w:rsid w:val="00B25EAF"/>
    <w:rsid w:val="00B26478"/>
    <w:rsid w:val="00B2670B"/>
    <w:rsid w:val="00B267A9"/>
    <w:rsid w:val="00B26960"/>
    <w:rsid w:val="00B271ED"/>
    <w:rsid w:val="00B27C54"/>
    <w:rsid w:val="00B27F0B"/>
    <w:rsid w:val="00B30D79"/>
    <w:rsid w:val="00B30E3D"/>
    <w:rsid w:val="00B30E6D"/>
    <w:rsid w:val="00B31502"/>
    <w:rsid w:val="00B3190E"/>
    <w:rsid w:val="00B31BE1"/>
    <w:rsid w:val="00B32036"/>
    <w:rsid w:val="00B321A3"/>
    <w:rsid w:val="00B329C5"/>
    <w:rsid w:val="00B336F6"/>
    <w:rsid w:val="00B33C6B"/>
    <w:rsid w:val="00B33E5D"/>
    <w:rsid w:val="00B3565D"/>
    <w:rsid w:val="00B35783"/>
    <w:rsid w:val="00B36823"/>
    <w:rsid w:val="00B369F8"/>
    <w:rsid w:val="00B36B2F"/>
    <w:rsid w:val="00B372D4"/>
    <w:rsid w:val="00B37EAF"/>
    <w:rsid w:val="00B40480"/>
    <w:rsid w:val="00B40852"/>
    <w:rsid w:val="00B40C67"/>
    <w:rsid w:val="00B410D2"/>
    <w:rsid w:val="00B41341"/>
    <w:rsid w:val="00B415E2"/>
    <w:rsid w:val="00B41818"/>
    <w:rsid w:val="00B41CD0"/>
    <w:rsid w:val="00B41EA0"/>
    <w:rsid w:val="00B425D0"/>
    <w:rsid w:val="00B426A3"/>
    <w:rsid w:val="00B42AB5"/>
    <w:rsid w:val="00B42B39"/>
    <w:rsid w:val="00B4331B"/>
    <w:rsid w:val="00B43484"/>
    <w:rsid w:val="00B438D4"/>
    <w:rsid w:val="00B43903"/>
    <w:rsid w:val="00B43F93"/>
    <w:rsid w:val="00B446FF"/>
    <w:rsid w:val="00B45288"/>
    <w:rsid w:val="00B45899"/>
    <w:rsid w:val="00B45B2B"/>
    <w:rsid w:val="00B45BDC"/>
    <w:rsid w:val="00B46448"/>
    <w:rsid w:val="00B46B7E"/>
    <w:rsid w:val="00B46D1D"/>
    <w:rsid w:val="00B472EF"/>
    <w:rsid w:val="00B47362"/>
    <w:rsid w:val="00B47D41"/>
    <w:rsid w:val="00B47F34"/>
    <w:rsid w:val="00B5004E"/>
    <w:rsid w:val="00B5043E"/>
    <w:rsid w:val="00B50A76"/>
    <w:rsid w:val="00B50C9B"/>
    <w:rsid w:val="00B511DB"/>
    <w:rsid w:val="00B51403"/>
    <w:rsid w:val="00B5191E"/>
    <w:rsid w:val="00B51E0D"/>
    <w:rsid w:val="00B51F45"/>
    <w:rsid w:val="00B51F4D"/>
    <w:rsid w:val="00B52043"/>
    <w:rsid w:val="00B52350"/>
    <w:rsid w:val="00B5255E"/>
    <w:rsid w:val="00B52E09"/>
    <w:rsid w:val="00B5302C"/>
    <w:rsid w:val="00B53308"/>
    <w:rsid w:val="00B54121"/>
    <w:rsid w:val="00B54737"/>
    <w:rsid w:val="00B55AC6"/>
    <w:rsid w:val="00B55F08"/>
    <w:rsid w:val="00B56264"/>
    <w:rsid w:val="00B563D0"/>
    <w:rsid w:val="00B564CC"/>
    <w:rsid w:val="00B56B52"/>
    <w:rsid w:val="00B57741"/>
    <w:rsid w:val="00B578CF"/>
    <w:rsid w:val="00B579C9"/>
    <w:rsid w:val="00B603B3"/>
    <w:rsid w:val="00B606B3"/>
    <w:rsid w:val="00B60753"/>
    <w:rsid w:val="00B60C31"/>
    <w:rsid w:val="00B6186C"/>
    <w:rsid w:val="00B619FB"/>
    <w:rsid w:val="00B62051"/>
    <w:rsid w:val="00B626BF"/>
    <w:rsid w:val="00B629B2"/>
    <w:rsid w:val="00B629BB"/>
    <w:rsid w:val="00B62BCA"/>
    <w:rsid w:val="00B62CED"/>
    <w:rsid w:val="00B63144"/>
    <w:rsid w:val="00B63723"/>
    <w:rsid w:val="00B639CE"/>
    <w:rsid w:val="00B63FDD"/>
    <w:rsid w:val="00B64673"/>
    <w:rsid w:val="00B64AF4"/>
    <w:rsid w:val="00B652E4"/>
    <w:rsid w:val="00B658E4"/>
    <w:rsid w:val="00B65944"/>
    <w:rsid w:val="00B65BC6"/>
    <w:rsid w:val="00B65BDF"/>
    <w:rsid w:val="00B662C3"/>
    <w:rsid w:val="00B664E5"/>
    <w:rsid w:val="00B66D7D"/>
    <w:rsid w:val="00B67437"/>
    <w:rsid w:val="00B678E7"/>
    <w:rsid w:val="00B67937"/>
    <w:rsid w:val="00B67A3F"/>
    <w:rsid w:val="00B67C1C"/>
    <w:rsid w:val="00B67F29"/>
    <w:rsid w:val="00B7012C"/>
    <w:rsid w:val="00B702E4"/>
    <w:rsid w:val="00B7126B"/>
    <w:rsid w:val="00B713B0"/>
    <w:rsid w:val="00B71C9C"/>
    <w:rsid w:val="00B7279D"/>
    <w:rsid w:val="00B72A83"/>
    <w:rsid w:val="00B72BEF"/>
    <w:rsid w:val="00B72D1D"/>
    <w:rsid w:val="00B72D4D"/>
    <w:rsid w:val="00B73F6A"/>
    <w:rsid w:val="00B74D2F"/>
    <w:rsid w:val="00B74FD1"/>
    <w:rsid w:val="00B75077"/>
    <w:rsid w:val="00B7608E"/>
    <w:rsid w:val="00B763A5"/>
    <w:rsid w:val="00B77BDD"/>
    <w:rsid w:val="00B77F29"/>
    <w:rsid w:val="00B77F60"/>
    <w:rsid w:val="00B802ED"/>
    <w:rsid w:val="00B80A7B"/>
    <w:rsid w:val="00B80AC1"/>
    <w:rsid w:val="00B80ACB"/>
    <w:rsid w:val="00B80ED0"/>
    <w:rsid w:val="00B80F91"/>
    <w:rsid w:val="00B81499"/>
    <w:rsid w:val="00B818C5"/>
    <w:rsid w:val="00B8191E"/>
    <w:rsid w:val="00B81A5E"/>
    <w:rsid w:val="00B826ED"/>
    <w:rsid w:val="00B831C0"/>
    <w:rsid w:val="00B834A9"/>
    <w:rsid w:val="00B835B6"/>
    <w:rsid w:val="00B83EBE"/>
    <w:rsid w:val="00B850AA"/>
    <w:rsid w:val="00B8550B"/>
    <w:rsid w:val="00B86597"/>
    <w:rsid w:val="00B8680A"/>
    <w:rsid w:val="00B86853"/>
    <w:rsid w:val="00B87626"/>
    <w:rsid w:val="00B905DD"/>
    <w:rsid w:val="00B90F7D"/>
    <w:rsid w:val="00B90FCD"/>
    <w:rsid w:val="00B91024"/>
    <w:rsid w:val="00B91F8B"/>
    <w:rsid w:val="00B92102"/>
    <w:rsid w:val="00B924F2"/>
    <w:rsid w:val="00B925A6"/>
    <w:rsid w:val="00B9270D"/>
    <w:rsid w:val="00B92841"/>
    <w:rsid w:val="00B92936"/>
    <w:rsid w:val="00B93720"/>
    <w:rsid w:val="00B94FA1"/>
    <w:rsid w:val="00B95482"/>
    <w:rsid w:val="00B95D00"/>
    <w:rsid w:val="00B96195"/>
    <w:rsid w:val="00B964D6"/>
    <w:rsid w:val="00B96699"/>
    <w:rsid w:val="00B96E7F"/>
    <w:rsid w:val="00B97456"/>
    <w:rsid w:val="00B97682"/>
    <w:rsid w:val="00B97D23"/>
    <w:rsid w:val="00BA037B"/>
    <w:rsid w:val="00BA03B5"/>
    <w:rsid w:val="00BA065E"/>
    <w:rsid w:val="00BA0BFF"/>
    <w:rsid w:val="00BA13BB"/>
    <w:rsid w:val="00BA1B76"/>
    <w:rsid w:val="00BA24EF"/>
    <w:rsid w:val="00BA2D79"/>
    <w:rsid w:val="00BA30B1"/>
    <w:rsid w:val="00BA30E3"/>
    <w:rsid w:val="00BA33F1"/>
    <w:rsid w:val="00BA3C29"/>
    <w:rsid w:val="00BA3EE7"/>
    <w:rsid w:val="00BA589C"/>
    <w:rsid w:val="00BA58D3"/>
    <w:rsid w:val="00BA5FBD"/>
    <w:rsid w:val="00BA6BCF"/>
    <w:rsid w:val="00BA6D7B"/>
    <w:rsid w:val="00BA6FDB"/>
    <w:rsid w:val="00BA7650"/>
    <w:rsid w:val="00BA767E"/>
    <w:rsid w:val="00BA77DD"/>
    <w:rsid w:val="00BA7CCC"/>
    <w:rsid w:val="00BB062A"/>
    <w:rsid w:val="00BB0A12"/>
    <w:rsid w:val="00BB0A47"/>
    <w:rsid w:val="00BB1F8F"/>
    <w:rsid w:val="00BB251D"/>
    <w:rsid w:val="00BB2529"/>
    <w:rsid w:val="00BB25EA"/>
    <w:rsid w:val="00BB2907"/>
    <w:rsid w:val="00BB2D01"/>
    <w:rsid w:val="00BB3AC4"/>
    <w:rsid w:val="00BB3AF5"/>
    <w:rsid w:val="00BB3EF2"/>
    <w:rsid w:val="00BB4168"/>
    <w:rsid w:val="00BB42F0"/>
    <w:rsid w:val="00BB45F5"/>
    <w:rsid w:val="00BB4BC6"/>
    <w:rsid w:val="00BB66F1"/>
    <w:rsid w:val="00BB6B2C"/>
    <w:rsid w:val="00BB7874"/>
    <w:rsid w:val="00BB7C1E"/>
    <w:rsid w:val="00BB7C34"/>
    <w:rsid w:val="00BC0061"/>
    <w:rsid w:val="00BC0C01"/>
    <w:rsid w:val="00BC0E53"/>
    <w:rsid w:val="00BC0F9A"/>
    <w:rsid w:val="00BC1231"/>
    <w:rsid w:val="00BC1297"/>
    <w:rsid w:val="00BC12E8"/>
    <w:rsid w:val="00BC1459"/>
    <w:rsid w:val="00BC20A0"/>
    <w:rsid w:val="00BC22EA"/>
    <w:rsid w:val="00BC25BC"/>
    <w:rsid w:val="00BC26CA"/>
    <w:rsid w:val="00BC29B9"/>
    <w:rsid w:val="00BC33A0"/>
    <w:rsid w:val="00BC359C"/>
    <w:rsid w:val="00BC3756"/>
    <w:rsid w:val="00BC3FA3"/>
    <w:rsid w:val="00BC4B5E"/>
    <w:rsid w:val="00BC4BE8"/>
    <w:rsid w:val="00BC4EE6"/>
    <w:rsid w:val="00BC5359"/>
    <w:rsid w:val="00BC5402"/>
    <w:rsid w:val="00BC55B8"/>
    <w:rsid w:val="00BC56A7"/>
    <w:rsid w:val="00BC5A21"/>
    <w:rsid w:val="00BC5B96"/>
    <w:rsid w:val="00BC5DDA"/>
    <w:rsid w:val="00BC5E5B"/>
    <w:rsid w:val="00BC5FF3"/>
    <w:rsid w:val="00BC66F2"/>
    <w:rsid w:val="00BC727D"/>
    <w:rsid w:val="00BC72B4"/>
    <w:rsid w:val="00BC73B0"/>
    <w:rsid w:val="00BC7997"/>
    <w:rsid w:val="00BC7F97"/>
    <w:rsid w:val="00BD08D5"/>
    <w:rsid w:val="00BD0AC3"/>
    <w:rsid w:val="00BD0D0C"/>
    <w:rsid w:val="00BD0E7D"/>
    <w:rsid w:val="00BD12A1"/>
    <w:rsid w:val="00BD1BBB"/>
    <w:rsid w:val="00BD21F3"/>
    <w:rsid w:val="00BD29AC"/>
    <w:rsid w:val="00BD3024"/>
    <w:rsid w:val="00BD3696"/>
    <w:rsid w:val="00BD3944"/>
    <w:rsid w:val="00BD3CE7"/>
    <w:rsid w:val="00BD3FD6"/>
    <w:rsid w:val="00BD4232"/>
    <w:rsid w:val="00BD43BF"/>
    <w:rsid w:val="00BD45AD"/>
    <w:rsid w:val="00BD474C"/>
    <w:rsid w:val="00BD47DC"/>
    <w:rsid w:val="00BD49EC"/>
    <w:rsid w:val="00BD4D74"/>
    <w:rsid w:val="00BD52D9"/>
    <w:rsid w:val="00BD6302"/>
    <w:rsid w:val="00BD66F5"/>
    <w:rsid w:val="00BD6FBE"/>
    <w:rsid w:val="00BD6FCE"/>
    <w:rsid w:val="00BD7B91"/>
    <w:rsid w:val="00BD7EAC"/>
    <w:rsid w:val="00BE0A10"/>
    <w:rsid w:val="00BE0E05"/>
    <w:rsid w:val="00BE0E8A"/>
    <w:rsid w:val="00BE0FF9"/>
    <w:rsid w:val="00BE1233"/>
    <w:rsid w:val="00BE18DC"/>
    <w:rsid w:val="00BE1DD5"/>
    <w:rsid w:val="00BE1F5A"/>
    <w:rsid w:val="00BE1FBE"/>
    <w:rsid w:val="00BE209B"/>
    <w:rsid w:val="00BE2363"/>
    <w:rsid w:val="00BE2AD1"/>
    <w:rsid w:val="00BE3D40"/>
    <w:rsid w:val="00BE4041"/>
    <w:rsid w:val="00BE44EB"/>
    <w:rsid w:val="00BE4877"/>
    <w:rsid w:val="00BE4C51"/>
    <w:rsid w:val="00BE5DCD"/>
    <w:rsid w:val="00BE60DF"/>
    <w:rsid w:val="00BE635A"/>
    <w:rsid w:val="00BE66B7"/>
    <w:rsid w:val="00BE6722"/>
    <w:rsid w:val="00BE6AEA"/>
    <w:rsid w:val="00BE6B02"/>
    <w:rsid w:val="00BE6B07"/>
    <w:rsid w:val="00BE7066"/>
    <w:rsid w:val="00BE71CF"/>
    <w:rsid w:val="00BE79B0"/>
    <w:rsid w:val="00BE7E33"/>
    <w:rsid w:val="00BE7F17"/>
    <w:rsid w:val="00BF024E"/>
    <w:rsid w:val="00BF02AE"/>
    <w:rsid w:val="00BF04EA"/>
    <w:rsid w:val="00BF0AA6"/>
    <w:rsid w:val="00BF115E"/>
    <w:rsid w:val="00BF142A"/>
    <w:rsid w:val="00BF2428"/>
    <w:rsid w:val="00BF249F"/>
    <w:rsid w:val="00BF2554"/>
    <w:rsid w:val="00BF25F1"/>
    <w:rsid w:val="00BF2776"/>
    <w:rsid w:val="00BF29F9"/>
    <w:rsid w:val="00BF2DC1"/>
    <w:rsid w:val="00BF3A04"/>
    <w:rsid w:val="00BF3A6C"/>
    <w:rsid w:val="00BF3F29"/>
    <w:rsid w:val="00BF4241"/>
    <w:rsid w:val="00BF45B6"/>
    <w:rsid w:val="00BF48DD"/>
    <w:rsid w:val="00BF4C0C"/>
    <w:rsid w:val="00BF4F12"/>
    <w:rsid w:val="00BF4F87"/>
    <w:rsid w:val="00BF5CB1"/>
    <w:rsid w:val="00BF5E14"/>
    <w:rsid w:val="00BF6039"/>
    <w:rsid w:val="00BF645E"/>
    <w:rsid w:val="00BF67C0"/>
    <w:rsid w:val="00BF6B89"/>
    <w:rsid w:val="00BF734C"/>
    <w:rsid w:val="00BF74ED"/>
    <w:rsid w:val="00BF7CD1"/>
    <w:rsid w:val="00C006CC"/>
    <w:rsid w:val="00C00DEF"/>
    <w:rsid w:val="00C00E7F"/>
    <w:rsid w:val="00C015DD"/>
    <w:rsid w:val="00C0177F"/>
    <w:rsid w:val="00C01E42"/>
    <w:rsid w:val="00C01F23"/>
    <w:rsid w:val="00C01F8E"/>
    <w:rsid w:val="00C02192"/>
    <w:rsid w:val="00C02E37"/>
    <w:rsid w:val="00C0337E"/>
    <w:rsid w:val="00C0341E"/>
    <w:rsid w:val="00C034F4"/>
    <w:rsid w:val="00C03786"/>
    <w:rsid w:val="00C0391A"/>
    <w:rsid w:val="00C039BF"/>
    <w:rsid w:val="00C03C95"/>
    <w:rsid w:val="00C03CBA"/>
    <w:rsid w:val="00C042F2"/>
    <w:rsid w:val="00C044EF"/>
    <w:rsid w:val="00C04671"/>
    <w:rsid w:val="00C04BC2"/>
    <w:rsid w:val="00C04CFE"/>
    <w:rsid w:val="00C05445"/>
    <w:rsid w:val="00C057C3"/>
    <w:rsid w:val="00C05857"/>
    <w:rsid w:val="00C059A6"/>
    <w:rsid w:val="00C05CD6"/>
    <w:rsid w:val="00C0616E"/>
    <w:rsid w:val="00C06B65"/>
    <w:rsid w:val="00C07171"/>
    <w:rsid w:val="00C07243"/>
    <w:rsid w:val="00C07757"/>
    <w:rsid w:val="00C07EF6"/>
    <w:rsid w:val="00C10846"/>
    <w:rsid w:val="00C108E2"/>
    <w:rsid w:val="00C110A4"/>
    <w:rsid w:val="00C11577"/>
    <w:rsid w:val="00C115BD"/>
    <w:rsid w:val="00C11602"/>
    <w:rsid w:val="00C11AC4"/>
    <w:rsid w:val="00C11AE3"/>
    <w:rsid w:val="00C1266B"/>
    <w:rsid w:val="00C12B16"/>
    <w:rsid w:val="00C12C6B"/>
    <w:rsid w:val="00C12F81"/>
    <w:rsid w:val="00C136CF"/>
    <w:rsid w:val="00C13A64"/>
    <w:rsid w:val="00C13C89"/>
    <w:rsid w:val="00C13CA9"/>
    <w:rsid w:val="00C144CE"/>
    <w:rsid w:val="00C14B5F"/>
    <w:rsid w:val="00C14C82"/>
    <w:rsid w:val="00C14C98"/>
    <w:rsid w:val="00C15074"/>
    <w:rsid w:val="00C152D7"/>
    <w:rsid w:val="00C15C2C"/>
    <w:rsid w:val="00C16821"/>
    <w:rsid w:val="00C16B71"/>
    <w:rsid w:val="00C16E98"/>
    <w:rsid w:val="00C16F91"/>
    <w:rsid w:val="00C173B6"/>
    <w:rsid w:val="00C175F1"/>
    <w:rsid w:val="00C1785F"/>
    <w:rsid w:val="00C17ECD"/>
    <w:rsid w:val="00C20BEB"/>
    <w:rsid w:val="00C20D24"/>
    <w:rsid w:val="00C20F3B"/>
    <w:rsid w:val="00C2155A"/>
    <w:rsid w:val="00C2160F"/>
    <w:rsid w:val="00C21BB1"/>
    <w:rsid w:val="00C21C8B"/>
    <w:rsid w:val="00C22408"/>
    <w:rsid w:val="00C22700"/>
    <w:rsid w:val="00C227BC"/>
    <w:rsid w:val="00C232B8"/>
    <w:rsid w:val="00C232BA"/>
    <w:rsid w:val="00C23585"/>
    <w:rsid w:val="00C236A8"/>
    <w:rsid w:val="00C23AC6"/>
    <w:rsid w:val="00C23BEF"/>
    <w:rsid w:val="00C23D17"/>
    <w:rsid w:val="00C2417E"/>
    <w:rsid w:val="00C24192"/>
    <w:rsid w:val="00C241CE"/>
    <w:rsid w:val="00C24DFF"/>
    <w:rsid w:val="00C24E71"/>
    <w:rsid w:val="00C2504A"/>
    <w:rsid w:val="00C25660"/>
    <w:rsid w:val="00C256A4"/>
    <w:rsid w:val="00C25806"/>
    <w:rsid w:val="00C25855"/>
    <w:rsid w:val="00C25D19"/>
    <w:rsid w:val="00C25E78"/>
    <w:rsid w:val="00C25F72"/>
    <w:rsid w:val="00C26B92"/>
    <w:rsid w:val="00C27199"/>
    <w:rsid w:val="00C303C1"/>
    <w:rsid w:val="00C30489"/>
    <w:rsid w:val="00C30A34"/>
    <w:rsid w:val="00C30C59"/>
    <w:rsid w:val="00C30C62"/>
    <w:rsid w:val="00C30CB7"/>
    <w:rsid w:val="00C30EC6"/>
    <w:rsid w:val="00C317B4"/>
    <w:rsid w:val="00C31B19"/>
    <w:rsid w:val="00C320B2"/>
    <w:rsid w:val="00C326FA"/>
    <w:rsid w:val="00C32729"/>
    <w:rsid w:val="00C32A42"/>
    <w:rsid w:val="00C32DBE"/>
    <w:rsid w:val="00C33D88"/>
    <w:rsid w:val="00C3417E"/>
    <w:rsid w:val="00C34379"/>
    <w:rsid w:val="00C3481D"/>
    <w:rsid w:val="00C34979"/>
    <w:rsid w:val="00C35874"/>
    <w:rsid w:val="00C35ABF"/>
    <w:rsid w:val="00C35D65"/>
    <w:rsid w:val="00C36198"/>
    <w:rsid w:val="00C361B8"/>
    <w:rsid w:val="00C36F74"/>
    <w:rsid w:val="00C37282"/>
    <w:rsid w:val="00C37662"/>
    <w:rsid w:val="00C409EB"/>
    <w:rsid w:val="00C40AB5"/>
    <w:rsid w:val="00C40C67"/>
    <w:rsid w:val="00C40FD9"/>
    <w:rsid w:val="00C42242"/>
    <w:rsid w:val="00C42B4D"/>
    <w:rsid w:val="00C43120"/>
    <w:rsid w:val="00C43673"/>
    <w:rsid w:val="00C43DE1"/>
    <w:rsid w:val="00C445F2"/>
    <w:rsid w:val="00C44F9A"/>
    <w:rsid w:val="00C45157"/>
    <w:rsid w:val="00C45175"/>
    <w:rsid w:val="00C455F1"/>
    <w:rsid w:val="00C457BF"/>
    <w:rsid w:val="00C461DC"/>
    <w:rsid w:val="00C46E0F"/>
    <w:rsid w:val="00C50AC2"/>
    <w:rsid w:val="00C50C32"/>
    <w:rsid w:val="00C50F70"/>
    <w:rsid w:val="00C51149"/>
    <w:rsid w:val="00C517D7"/>
    <w:rsid w:val="00C51B86"/>
    <w:rsid w:val="00C51DF5"/>
    <w:rsid w:val="00C5219E"/>
    <w:rsid w:val="00C52212"/>
    <w:rsid w:val="00C525D3"/>
    <w:rsid w:val="00C5358A"/>
    <w:rsid w:val="00C53BC9"/>
    <w:rsid w:val="00C53C7D"/>
    <w:rsid w:val="00C53DEE"/>
    <w:rsid w:val="00C54001"/>
    <w:rsid w:val="00C5449D"/>
    <w:rsid w:val="00C54AE4"/>
    <w:rsid w:val="00C54C69"/>
    <w:rsid w:val="00C55926"/>
    <w:rsid w:val="00C55958"/>
    <w:rsid w:val="00C55EF3"/>
    <w:rsid w:val="00C563D5"/>
    <w:rsid w:val="00C56964"/>
    <w:rsid w:val="00C57A4A"/>
    <w:rsid w:val="00C600E8"/>
    <w:rsid w:val="00C60E91"/>
    <w:rsid w:val="00C61641"/>
    <w:rsid w:val="00C61F00"/>
    <w:rsid w:val="00C626F6"/>
    <w:rsid w:val="00C62AA9"/>
    <w:rsid w:val="00C62B47"/>
    <w:rsid w:val="00C6347A"/>
    <w:rsid w:val="00C635F6"/>
    <w:rsid w:val="00C63A97"/>
    <w:rsid w:val="00C64A68"/>
    <w:rsid w:val="00C64D89"/>
    <w:rsid w:val="00C64DCF"/>
    <w:rsid w:val="00C6530B"/>
    <w:rsid w:val="00C65360"/>
    <w:rsid w:val="00C656D8"/>
    <w:rsid w:val="00C65B3C"/>
    <w:rsid w:val="00C65EC6"/>
    <w:rsid w:val="00C663BF"/>
    <w:rsid w:val="00C665FA"/>
    <w:rsid w:val="00C66715"/>
    <w:rsid w:val="00C66BAA"/>
    <w:rsid w:val="00C66C42"/>
    <w:rsid w:val="00C6732D"/>
    <w:rsid w:val="00C6739A"/>
    <w:rsid w:val="00C67430"/>
    <w:rsid w:val="00C675DC"/>
    <w:rsid w:val="00C70660"/>
    <w:rsid w:val="00C70B53"/>
    <w:rsid w:val="00C720DB"/>
    <w:rsid w:val="00C7279F"/>
    <w:rsid w:val="00C72FAA"/>
    <w:rsid w:val="00C7355F"/>
    <w:rsid w:val="00C73B68"/>
    <w:rsid w:val="00C73F08"/>
    <w:rsid w:val="00C745C6"/>
    <w:rsid w:val="00C74C1A"/>
    <w:rsid w:val="00C74D59"/>
    <w:rsid w:val="00C751E9"/>
    <w:rsid w:val="00C75439"/>
    <w:rsid w:val="00C7582A"/>
    <w:rsid w:val="00C75ACB"/>
    <w:rsid w:val="00C75D0F"/>
    <w:rsid w:val="00C77195"/>
    <w:rsid w:val="00C775F1"/>
    <w:rsid w:val="00C7784B"/>
    <w:rsid w:val="00C77C9D"/>
    <w:rsid w:val="00C77D2C"/>
    <w:rsid w:val="00C77F5B"/>
    <w:rsid w:val="00C77FA3"/>
    <w:rsid w:val="00C8038C"/>
    <w:rsid w:val="00C80E92"/>
    <w:rsid w:val="00C811D2"/>
    <w:rsid w:val="00C812C1"/>
    <w:rsid w:val="00C8181F"/>
    <w:rsid w:val="00C820FF"/>
    <w:rsid w:val="00C82D35"/>
    <w:rsid w:val="00C831B4"/>
    <w:rsid w:val="00C83884"/>
    <w:rsid w:val="00C8397F"/>
    <w:rsid w:val="00C8399D"/>
    <w:rsid w:val="00C83A8B"/>
    <w:rsid w:val="00C83B92"/>
    <w:rsid w:val="00C83C48"/>
    <w:rsid w:val="00C840BF"/>
    <w:rsid w:val="00C841C6"/>
    <w:rsid w:val="00C84485"/>
    <w:rsid w:val="00C84486"/>
    <w:rsid w:val="00C8487D"/>
    <w:rsid w:val="00C8492A"/>
    <w:rsid w:val="00C84DB9"/>
    <w:rsid w:val="00C8521F"/>
    <w:rsid w:val="00C8550D"/>
    <w:rsid w:val="00C856E7"/>
    <w:rsid w:val="00C85AE9"/>
    <w:rsid w:val="00C86008"/>
    <w:rsid w:val="00C86075"/>
    <w:rsid w:val="00C86127"/>
    <w:rsid w:val="00C86198"/>
    <w:rsid w:val="00C8632F"/>
    <w:rsid w:val="00C86A43"/>
    <w:rsid w:val="00C872F9"/>
    <w:rsid w:val="00C87311"/>
    <w:rsid w:val="00C87A1D"/>
    <w:rsid w:val="00C90FBD"/>
    <w:rsid w:val="00C9142F"/>
    <w:rsid w:val="00C91909"/>
    <w:rsid w:val="00C91AC8"/>
    <w:rsid w:val="00C91D41"/>
    <w:rsid w:val="00C92254"/>
    <w:rsid w:val="00C92427"/>
    <w:rsid w:val="00C92912"/>
    <w:rsid w:val="00C93434"/>
    <w:rsid w:val="00C934BB"/>
    <w:rsid w:val="00C93E76"/>
    <w:rsid w:val="00C941B7"/>
    <w:rsid w:val="00C94599"/>
    <w:rsid w:val="00C94631"/>
    <w:rsid w:val="00C94A5C"/>
    <w:rsid w:val="00C94B5F"/>
    <w:rsid w:val="00C94F31"/>
    <w:rsid w:val="00C9511B"/>
    <w:rsid w:val="00C95E45"/>
    <w:rsid w:val="00C9624C"/>
    <w:rsid w:val="00C962C8"/>
    <w:rsid w:val="00C96599"/>
    <w:rsid w:val="00C96C6D"/>
    <w:rsid w:val="00C97ABC"/>
    <w:rsid w:val="00C97F4E"/>
    <w:rsid w:val="00CA0130"/>
    <w:rsid w:val="00CA018F"/>
    <w:rsid w:val="00CA0405"/>
    <w:rsid w:val="00CA0416"/>
    <w:rsid w:val="00CA05AF"/>
    <w:rsid w:val="00CA0726"/>
    <w:rsid w:val="00CA08AE"/>
    <w:rsid w:val="00CA0F7E"/>
    <w:rsid w:val="00CA1086"/>
    <w:rsid w:val="00CA1411"/>
    <w:rsid w:val="00CA16E1"/>
    <w:rsid w:val="00CA1864"/>
    <w:rsid w:val="00CA1892"/>
    <w:rsid w:val="00CA1E05"/>
    <w:rsid w:val="00CA213C"/>
    <w:rsid w:val="00CA23E9"/>
    <w:rsid w:val="00CA2848"/>
    <w:rsid w:val="00CA29D7"/>
    <w:rsid w:val="00CA2DF3"/>
    <w:rsid w:val="00CA3031"/>
    <w:rsid w:val="00CA30E2"/>
    <w:rsid w:val="00CA3794"/>
    <w:rsid w:val="00CA3971"/>
    <w:rsid w:val="00CA4401"/>
    <w:rsid w:val="00CA4789"/>
    <w:rsid w:val="00CA4BF0"/>
    <w:rsid w:val="00CA4DB1"/>
    <w:rsid w:val="00CA50EC"/>
    <w:rsid w:val="00CA5137"/>
    <w:rsid w:val="00CA569B"/>
    <w:rsid w:val="00CA5919"/>
    <w:rsid w:val="00CA5F88"/>
    <w:rsid w:val="00CA5FE8"/>
    <w:rsid w:val="00CA6677"/>
    <w:rsid w:val="00CA6899"/>
    <w:rsid w:val="00CA6FD3"/>
    <w:rsid w:val="00CA7DA9"/>
    <w:rsid w:val="00CA7FC3"/>
    <w:rsid w:val="00CB0B2B"/>
    <w:rsid w:val="00CB0F8E"/>
    <w:rsid w:val="00CB1514"/>
    <w:rsid w:val="00CB15C4"/>
    <w:rsid w:val="00CB2241"/>
    <w:rsid w:val="00CB22E5"/>
    <w:rsid w:val="00CB2540"/>
    <w:rsid w:val="00CB2750"/>
    <w:rsid w:val="00CB2830"/>
    <w:rsid w:val="00CB2ED3"/>
    <w:rsid w:val="00CB30F7"/>
    <w:rsid w:val="00CB385C"/>
    <w:rsid w:val="00CB3CE6"/>
    <w:rsid w:val="00CB3FC6"/>
    <w:rsid w:val="00CB4B04"/>
    <w:rsid w:val="00CB4D2C"/>
    <w:rsid w:val="00CB52C5"/>
    <w:rsid w:val="00CB5374"/>
    <w:rsid w:val="00CB548D"/>
    <w:rsid w:val="00CB593F"/>
    <w:rsid w:val="00CB5D66"/>
    <w:rsid w:val="00CB5F12"/>
    <w:rsid w:val="00CB60E7"/>
    <w:rsid w:val="00CB6240"/>
    <w:rsid w:val="00CB6F52"/>
    <w:rsid w:val="00CB7031"/>
    <w:rsid w:val="00CB74FF"/>
    <w:rsid w:val="00CC039F"/>
    <w:rsid w:val="00CC076B"/>
    <w:rsid w:val="00CC0DCF"/>
    <w:rsid w:val="00CC14F7"/>
    <w:rsid w:val="00CC1966"/>
    <w:rsid w:val="00CC1B96"/>
    <w:rsid w:val="00CC1FD7"/>
    <w:rsid w:val="00CC28D6"/>
    <w:rsid w:val="00CC2D70"/>
    <w:rsid w:val="00CC32E9"/>
    <w:rsid w:val="00CC39E8"/>
    <w:rsid w:val="00CC3F66"/>
    <w:rsid w:val="00CC4069"/>
    <w:rsid w:val="00CC531E"/>
    <w:rsid w:val="00CC546F"/>
    <w:rsid w:val="00CC5557"/>
    <w:rsid w:val="00CC56BE"/>
    <w:rsid w:val="00CC5877"/>
    <w:rsid w:val="00CC587C"/>
    <w:rsid w:val="00CC615B"/>
    <w:rsid w:val="00CC65E9"/>
    <w:rsid w:val="00CC669E"/>
    <w:rsid w:val="00CC6A68"/>
    <w:rsid w:val="00CC74E8"/>
    <w:rsid w:val="00CC778C"/>
    <w:rsid w:val="00CC7DD4"/>
    <w:rsid w:val="00CD0546"/>
    <w:rsid w:val="00CD068C"/>
    <w:rsid w:val="00CD0E2D"/>
    <w:rsid w:val="00CD14BA"/>
    <w:rsid w:val="00CD1662"/>
    <w:rsid w:val="00CD1879"/>
    <w:rsid w:val="00CD1DA4"/>
    <w:rsid w:val="00CD1DD4"/>
    <w:rsid w:val="00CD1E52"/>
    <w:rsid w:val="00CD2B28"/>
    <w:rsid w:val="00CD3917"/>
    <w:rsid w:val="00CD3B62"/>
    <w:rsid w:val="00CD3D7C"/>
    <w:rsid w:val="00CD44B9"/>
    <w:rsid w:val="00CD4530"/>
    <w:rsid w:val="00CD453C"/>
    <w:rsid w:val="00CD4A00"/>
    <w:rsid w:val="00CD4B0F"/>
    <w:rsid w:val="00CD50A1"/>
    <w:rsid w:val="00CD5CCE"/>
    <w:rsid w:val="00CD5DA9"/>
    <w:rsid w:val="00CD5F0A"/>
    <w:rsid w:val="00CD66F1"/>
    <w:rsid w:val="00CD6715"/>
    <w:rsid w:val="00CD6D4C"/>
    <w:rsid w:val="00CD724C"/>
    <w:rsid w:val="00CD770B"/>
    <w:rsid w:val="00CD7858"/>
    <w:rsid w:val="00CD7BA9"/>
    <w:rsid w:val="00CD7EAF"/>
    <w:rsid w:val="00CE05F9"/>
    <w:rsid w:val="00CE083B"/>
    <w:rsid w:val="00CE098E"/>
    <w:rsid w:val="00CE0A81"/>
    <w:rsid w:val="00CE0BA5"/>
    <w:rsid w:val="00CE0C66"/>
    <w:rsid w:val="00CE1375"/>
    <w:rsid w:val="00CE158B"/>
    <w:rsid w:val="00CE1757"/>
    <w:rsid w:val="00CE193E"/>
    <w:rsid w:val="00CE1C05"/>
    <w:rsid w:val="00CE1EA1"/>
    <w:rsid w:val="00CE21A2"/>
    <w:rsid w:val="00CE2418"/>
    <w:rsid w:val="00CE252A"/>
    <w:rsid w:val="00CE27A8"/>
    <w:rsid w:val="00CE2A0B"/>
    <w:rsid w:val="00CE2BE5"/>
    <w:rsid w:val="00CE32D1"/>
    <w:rsid w:val="00CE34DC"/>
    <w:rsid w:val="00CE374B"/>
    <w:rsid w:val="00CE3769"/>
    <w:rsid w:val="00CE4018"/>
    <w:rsid w:val="00CE41F6"/>
    <w:rsid w:val="00CE42A2"/>
    <w:rsid w:val="00CE4D19"/>
    <w:rsid w:val="00CE4EDC"/>
    <w:rsid w:val="00CE582A"/>
    <w:rsid w:val="00CE5AE6"/>
    <w:rsid w:val="00CE63E9"/>
    <w:rsid w:val="00CE6C44"/>
    <w:rsid w:val="00CE6D3D"/>
    <w:rsid w:val="00CE6F26"/>
    <w:rsid w:val="00CE7120"/>
    <w:rsid w:val="00CE75CB"/>
    <w:rsid w:val="00CE7C63"/>
    <w:rsid w:val="00CE7CE7"/>
    <w:rsid w:val="00CF03EE"/>
    <w:rsid w:val="00CF0744"/>
    <w:rsid w:val="00CF0B8E"/>
    <w:rsid w:val="00CF12EA"/>
    <w:rsid w:val="00CF1922"/>
    <w:rsid w:val="00CF1B46"/>
    <w:rsid w:val="00CF1D97"/>
    <w:rsid w:val="00CF22D6"/>
    <w:rsid w:val="00CF26D4"/>
    <w:rsid w:val="00CF3728"/>
    <w:rsid w:val="00CF40B1"/>
    <w:rsid w:val="00CF45C1"/>
    <w:rsid w:val="00CF472E"/>
    <w:rsid w:val="00CF4784"/>
    <w:rsid w:val="00CF4FB3"/>
    <w:rsid w:val="00CF5143"/>
    <w:rsid w:val="00CF5680"/>
    <w:rsid w:val="00CF5A44"/>
    <w:rsid w:val="00CF5DF5"/>
    <w:rsid w:val="00CF6024"/>
    <w:rsid w:val="00CF60D4"/>
    <w:rsid w:val="00CF683A"/>
    <w:rsid w:val="00CF6BC6"/>
    <w:rsid w:val="00CF76A7"/>
    <w:rsid w:val="00CF773F"/>
    <w:rsid w:val="00CF7B30"/>
    <w:rsid w:val="00D00154"/>
    <w:rsid w:val="00D00379"/>
    <w:rsid w:val="00D003A8"/>
    <w:rsid w:val="00D0092D"/>
    <w:rsid w:val="00D01013"/>
    <w:rsid w:val="00D012A0"/>
    <w:rsid w:val="00D01582"/>
    <w:rsid w:val="00D015B0"/>
    <w:rsid w:val="00D016F0"/>
    <w:rsid w:val="00D02AE0"/>
    <w:rsid w:val="00D040D0"/>
    <w:rsid w:val="00D04331"/>
    <w:rsid w:val="00D0451A"/>
    <w:rsid w:val="00D051D1"/>
    <w:rsid w:val="00D051DC"/>
    <w:rsid w:val="00D052A3"/>
    <w:rsid w:val="00D0596B"/>
    <w:rsid w:val="00D06235"/>
    <w:rsid w:val="00D062B8"/>
    <w:rsid w:val="00D062BB"/>
    <w:rsid w:val="00D065AB"/>
    <w:rsid w:val="00D06754"/>
    <w:rsid w:val="00D067BC"/>
    <w:rsid w:val="00D06869"/>
    <w:rsid w:val="00D06E00"/>
    <w:rsid w:val="00D07128"/>
    <w:rsid w:val="00D072D5"/>
    <w:rsid w:val="00D07C4B"/>
    <w:rsid w:val="00D07E97"/>
    <w:rsid w:val="00D106FE"/>
    <w:rsid w:val="00D10A1B"/>
    <w:rsid w:val="00D10A4B"/>
    <w:rsid w:val="00D10C05"/>
    <w:rsid w:val="00D111B4"/>
    <w:rsid w:val="00D1139C"/>
    <w:rsid w:val="00D115A9"/>
    <w:rsid w:val="00D1164D"/>
    <w:rsid w:val="00D1261F"/>
    <w:rsid w:val="00D127D1"/>
    <w:rsid w:val="00D128B7"/>
    <w:rsid w:val="00D133E3"/>
    <w:rsid w:val="00D137E0"/>
    <w:rsid w:val="00D13D13"/>
    <w:rsid w:val="00D13EF7"/>
    <w:rsid w:val="00D13FCB"/>
    <w:rsid w:val="00D141F8"/>
    <w:rsid w:val="00D143E9"/>
    <w:rsid w:val="00D1453E"/>
    <w:rsid w:val="00D1495A"/>
    <w:rsid w:val="00D15048"/>
    <w:rsid w:val="00D154B7"/>
    <w:rsid w:val="00D15708"/>
    <w:rsid w:val="00D158BD"/>
    <w:rsid w:val="00D16668"/>
    <w:rsid w:val="00D16C60"/>
    <w:rsid w:val="00D171F5"/>
    <w:rsid w:val="00D17482"/>
    <w:rsid w:val="00D174AA"/>
    <w:rsid w:val="00D175CB"/>
    <w:rsid w:val="00D17A48"/>
    <w:rsid w:val="00D20A4F"/>
    <w:rsid w:val="00D20D35"/>
    <w:rsid w:val="00D21140"/>
    <w:rsid w:val="00D21B4B"/>
    <w:rsid w:val="00D21DFA"/>
    <w:rsid w:val="00D2263E"/>
    <w:rsid w:val="00D227B1"/>
    <w:rsid w:val="00D22934"/>
    <w:rsid w:val="00D22BBA"/>
    <w:rsid w:val="00D232EB"/>
    <w:rsid w:val="00D2338F"/>
    <w:rsid w:val="00D233D7"/>
    <w:rsid w:val="00D23AC1"/>
    <w:rsid w:val="00D23D61"/>
    <w:rsid w:val="00D23DC0"/>
    <w:rsid w:val="00D245A3"/>
    <w:rsid w:val="00D24AB7"/>
    <w:rsid w:val="00D25192"/>
    <w:rsid w:val="00D25830"/>
    <w:rsid w:val="00D268A3"/>
    <w:rsid w:val="00D27100"/>
    <w:rsid w:val="00D27AAC"/>
    <w:rsid w:val="00D27DCE"/>
    <w:rsid w:val="00D30538"/>
    <w:rsid w:val="00D3065A"/>
    <w:rsid w:val="00D309D7"/>
    <w:rsid w:val="00D309FA"/>
    <w:rsid w:val="00D30D3B"/>
    <w:rsid w:val="00D30FD8"/>
    <w:rsid w:val="00D312DC"/>
    <w:rsid w:val="00D317C1"/>
    <w:rsid w:val="00D31928"/>
    <w:rsid w:val="00D31EF3"/>
    <w:rsid w:val="00D32797"/>
    <w:rsid w:val="00D33009"/>
    <w:rsid w:val="00D3342B"/>
    <w:rsid w:val="00D336F8"/>
    <w:rsid w:val="00D33EBA"/>
    <w:rsid w:val="00D343AE"/>
    <w:rsid w:val="00D34D28"/>
    <w:rsid w:val="00D34DC2"/>
    <w:rsid w:val="00D34DC5"/>
    <w:rsid w:val="00D34EDF"/>
    <w:rsid w:val="00D35121"/>
    <w:rsid w:val="00D36D89"/>
    <w:rsid w:val="00D37893"/>
    <w:rsid w:val="00D40032"/>
    <w:rsid w:val="00D40260"/>
    <w:rsid w:val="00D40351"/>
    <w:rsid w:val="00D4044E"/>
    <w:rsid w:val="00D40ABB"/>
    <w:rsid w:val="00D40D1E"/>
    <w:rsid w:val="00D41207"/>
    <w:rsid w:val="00D41270"/>
    <w:rsid w:val="00D42AB7"/>
    <w:rsid w:val="00D42B22"/>
    <w:rsid w:val="00D42C6D"/>
    <w:rsid w:val="00D42CE9"/>
    <w:rsid w:val="00D42E8D"/>
    <w:rsid w:val="00D43D08"/>
    <w:rsid w:val="00D44188"/>
    <w:rsid w:val="00D4433A"/>
    <w:rsid w:val="00D456F5"/>
    <w:rsid w:val="00D45722"/>
    <w:rsid w:val="00D4594A"/>
    <w:rsid w:val="00D45AF9"/>
    <w:rsid w:val="00D45EE2"/>
    <w:rsid w:val="00D460A4"/>
    <w:rsid w:val="00D460BF"/>
    <w:rsid w:val="00D460D5"/>
    <w:rsid w:val="00D46559"/>
    <w:rsid w:val="00D46677"/>
    <w:rsid w:val="00D46818"/>
    <w:rsid w:val="00D4690A"/>
    <w:rsid w:val="00D46A03"/>
    <w:rsid w:val="00D46AEB"/>
    <w:rsid w:val="00D46D62"/>
    <w:rsid w:val="00D46DF0"/>
    <w:rsid w:val="00D477AF"/>
    <w:rsid w:val="00D477D1"/>
    <w:rsid w:val="00D47A23"/>
    <w:rsid w:val="00D50173"/>
    <w:rsid w:val="00D50A7D"/>
    <w:rsid w:val="00D50EBA"/>
    <w:rsid w:val="00D51778"/>
    <w:rsid w:val="00D51D44"/>
    <w:rsid w:val="00D53136"/>
    <w:rsid w:val="00D533DD"/>
    <w:rsid w:val="00D535E8"/>
    <w:rsid w:val="00D53C37"/>
    <w:rsid w:val="00D53E2B"/>
    <w:rsid w:val="00D54548"/>
    <w:rsid w:val="00D545BF"/>
    <w:rsid w:val="00D54810"/>
    <w:rsid w:val="00D5573B"/>
    <w:rsid w:val="00D5578A"/>
    <w:rsid w:val="00D55E31"/>
    <w:rsid w:val="00D55F7B"/>
    <w:rsid w:val="00D562AA"/>
    <w:rsid w:val="00D56701"/>
    <w:rsid w:val="00D56940"/>
    <w:rsid w:val="00D56B93"/>
    <w:rsid w:val="00D56C0C"/>
    <w:rsid w:val="00D56F61"/>
    <w:rsid w:val="00D57286"/>
    <w:rsid w:val="00D6020A"/>
    <w:rsid w:val="00D60588"/>
    <w:rsid w:val="00D60787"/>
    <w:rsid w:val="00D608F6"/>
    <w:rsid w:val="00D60A81"/>
    <w:rsid w:val="00D60D7E"/>
    <w:rsid w:val="00D61036"/>
    <w:rsid w:val="00D61460"/>
    <w:rsid w:val="00D61C19"/>
    <w:rsid w:val="00D6243A"/>
    <w:rsid w:val="00D62494"/>
    <w:rsid w:val="00D6269A"/>
    <w:rsid w:val="00D627B5"/>
    <w:rsid w:val="00D62D0C"/>
    <w:rsid w:val="00D62E40"/>
    <w:rsid w:val="00D63186"/>
    <w:rsid w:val="00D632B3"/>
    <w:rsid w:val="00D63307"/>
    <w:rsid w:val="00D63717"/>
    <w:rsid w:val="00D63A5C"/>
    <w:rsid w:val="00D63BEA"/>
    <w:rsid w:val="00D63BF4"/>
    <w:rsid w:val="00D6423A"/>
    <w:rsid w:val="00D6447F"/>
    <w:rsid w:val="00D64AF7"/>
    <w:rsid w:val="00D6521D"/>
    <w:rsid w:val="00D657E7"/>
    <w:rsid w:val="00D65F35"/>
    <w:rsid w:val="00D65F3E"/>
    <w:rsid w:val="00D65FF4"/>
    <w:rsid w:val="00D6699F"/>
    <w:rsid w:val="00D66A4D"/>
    <w:rsid w:val="00D66D1B"/>
    <w:rsid w:val="00D672E8"/>
    <w:rsid w:val="00D67384"/>
    <w:rsid w:val="00D67555"/>
    <w:rsid w:val="00D67BED"/>
    <w:rsid w:val="00D70438"/>
    <w:rsid w:val="00D72ED9"/>
    <w:rsid w:val="00D73003"/>
    <w:rsid w:val="00D733CB"/>
    <w:rsid w:val="00D747ED"/>
    <w:rsid w:val="00D74B72"/>
    <w:rsid w:val="00D7577C"/>
    <w:rsid w:val="00D7589D"/>
    <w:rsid w:val="00D758A5"/>
    <w:rsid w:val="00D75B95"/>
    <w:rsid w:val="00D7636C"/>
    <w:rsid w:val="00D76559"/>
    <w:rsid w:val="00D774AF"/>
    <w:rsid w:val="00D77E76"/>
    <w:rsid w:val="00D77EFF"/>
    <w:rsid w:val="00D80078"/>
    <w:rsid w:val="00D80314"/>
    <w:rsid w:val="00D806B6"/>
    <w:rsid w:val="00D80846"/>
    <w:rsid w:val="00D80E5E"/>
    <w:rsid w:val="00D816F8"/>
    <w:rsid w:val="00D8192D"/>
    <w:rsid w:val="00D81A1F"/>
    <w:rsid w:val="00D81C3A"/>
    <w:rsid w:val="00D828D3"/>
    <w:rsid w:val="00D83B7C"/>
    <w:rsid w:val="00D8453B"/>
    <w:rsid w:val="00D8454E"/>
    <w:rsid w:val="00D8461B"/>
    <w:rsid w:val="00D846F6"/>
    <w:rsid w:val="00D848B2"/>
    <w:rsid w:val="00D84928"/>
    <w:rsid w:val="00D849A5"/>
    <w:rsid w:val="00D84AC2"/>
    <w:rsid w:val="00D84F1E"/>
    <w:rsid w:val="00D853E1"/>
    <w:rsid w:val="00D85BFE"/>
    <w:rsid w:val="00D860E6"/>
    <w:rsid w:val="00D868E9"/>
    <w:rsid w:val="00D86C72"/>
    <w:rsid w:val="00D86D84"/>
    <w:rsid w:val="00D86F1F"/>
    <w:rsid w:val="00D86F55"/>
    <w:rsid w:val="00D87AC9"/>
    <w:rsid w:val="00D87C94"/>
    <w:rsid w:val="00D87F7E"/>
    <w:rsid w:val="00D9028F"/>
    <w:rsid w:val="00D90F6F"/>
    <w:rsid w:val="00D90FC6"/>
    <w:rsid w:val="00D910DC"/>
    <w:rsid w:val="00D91590"/>
    <w:rsid w:val="00D91719"/>
    <w:rsid w:val="00D91845"/>
    <w:rsid w:val="00D9197D"/>
    <w:rsid w:val="00D91A98"/>
    <w:rsid w:val="00D91B77"/>
    <w:rsid w:val="00D91EAA"/>
    <w:rsid w:val="00D93BE1"/>
    <w:rsid w:val="00D93DCC"/>
    <w:rsid w:val="00D9402C"/>
    <w:rsid w:val="00D94443"/>
    <w:rsid w:val="00D949BB"/>
    <w:rsid w:val="00D94D25"/>
    <w:rsid w:val="00D95177"/>
    <w:rsid w:val="00D95A7F"/>
    <w:rsid w:val="00D96021"/>
    <w:rsid w:val="00D9697C"/>
    <w:rsid w:val="00D96A07"/>
    <w:rsid w:val="00D96B1D"/>
    <w:rsid w:val="00D97180"/>
    <w:rsid w:val="00DA0991"/>
    <w:rsid w:val="00DA1562"/>
    <w:rsid w:val="00DA18F2"/>
    <w:rsid w:val="00DA1A1B"/>
    <w:rsid w:val="00DA1AF9"/>
    <w:rsid w:val="00DA1CD2"/>
    <w:rsid w:val="00DA1E37"/>
    <w:rsid w:val="00DA20A1"/>
    <w:rsid w:val="00DA23D6"/>
    <w:rsid w:val="00DA3222"/>
    <w:rsid w:val="00DA3575"/>
    <w:rsid w:val="00DA3824"/>
    <w:rsid w:val="00DA39CF"/>
    <w:rsid w:val="00DA4632"/>
    <w:rsid w:val="00DA4A75"/>
    <w:rsid w:val="00DA4BD7"/>
    <w:rsid w:val="00DA4EDD"/>
    <w:rsid w:val="00DA540B"/>
    <w:rsid w:val="00DA551E"/>
    <w:rsid w:val="00DA59CA"/>
    <w:rsid w:val="00DA620E"/>
    <w:rsid w:val="00DA6A05"/>
    <w:rsid w:val="00DA6E5C"/>
    <w:rsid w:val="00DA7295"/>
    <w:rsid w:val="00DA7C38"/>
    <w:rsid w:val="00DA7D35"/>
    <w:rsid w:val="00DA7F30"/>
    <w:rsid w:val="00DB015C"/>
    <w:rsid w:val="00DB022C"/>
    <w:rsid w:val="00DB0ADF"/>
    <w:rsid w:val="00DB0CE9"/>
    <w:rsid w:val="00DB1099"/>
    <w:rsid w:val="00DB1F7C"/>
    <w:rsid w:val="00DB1FBD"/>
    <w:rsid w:val="00DB20F7"/>
    <w:rsid w:val="00DB2133"/>
    <w:rsid w:val="00DB23D2"/>
    <w:rsid w:val="00DB299B"/>
    <w:rsid w:val="00DB2EE2"/>
    <w:rsid w:val="00DB2F53"/>
    <w:rsid w:val="00DB4035"/>
    <w:rsid w:val="00DB40D5"/>
    <w:rsid w:val="00DB4519"/>
    <w:rsid w:val="00DB4972"/>
    <w:rsid w:val="00DB549A"/>
    <w:rsid w:val="00DB5563"/>
    <w:rsid w:val="00DB5DB0"/>
    <w:rsid w:val="00DB6623"/>
    <w:rsid w:val="00DB6A30"/>
    <w:rsid w:val="00DC02FF"/>
    <w:rsid w:val="00DC0B94"/>
    <w:rsid w:val="00DC0ECB"/>
    <w:rsid w:val="00DC18ED"/>
    <w:rsid w:val="00DC1DDD"/>
    <w:rsid w:val="00DC24F5"/>
    <w:rsid w:val="00DC26C2"/>
    <w:rsid w:val="00DC2828"/>
    <w:rsid w:val="00DC2CB1"/>
    <w:rsid w:val="00DC2FD7"/>
    <w:rsid w:val="00DC315C"/>
    <w:rsid w:val="00DC33E5"/>
    <w:rsid w:val="00DC37E2"/>
    <w:rsid w:val="00DC42BA"/>
    <w:rsid w:val="00DC4837"/>
    <w:rsid w:val="00DC4D8B"/>
    <w:rsid w:val="00DC565B"/>
    <w:rsid w:val="00DC5E44"/>
    <w:rsid w:val="00DC6265"/>
    <w:rsid w:val="00DC6DEF"/>
    <w:rsid w:val="00DC7B27"/>
    <w:rsid w:val="00DD0015"/>
    <w:rsid w:val="00DD018D"/>
    <w:rsid w:val="00DD024A"/>
    <w:rsid w:val="00DD0393"/>
    <w:rsid w:val="00DD0A6C"/>
    <w:rsid w:val="00DD0FA5"/>
    <w:rsid w:val="00DD101E"/>
    <w:rsid w:val="00DD1315"/>
    <w:rsid w:val="00DD149B"/>
    <w:rsid w:val="00DD1DAC"/>
    <w:rsid w:val="00DD1F84"/>
    <w:rsid w:val="00DD204A"/>
    <w:rsid w:val="00DD26AC"/>
    <w:rsid w:val="00DD2BFD"/>
    <w:rsid w:val="00DD2FFC"/>
    <w:rsid w:val="00DD31C5"/>
    <w:rsid w:val="00DD3A24"/>
    <w:rsid w:val="00DD5447"/>
    <w:rsid w:val="00DD5E4C"/>
    <w:rsid w:val="00DD6192"/>
    <w:rsid w:val="00DD6664"/>
    <w:rsid w:val="00DD6E0D"/>
    <w:rsid w:val="00DD73F3"/>
    <w:rsid w:val="00DD748A"/>
    <w:rsid w:val="00DD76F8"/>
    <w:rsid w:val="00DD76FF"/>
    <w:rsid w:val="00DD7749"/>
    <w:rsid w:val="00DD77B3"/>
    <w:rsid w:val="00DE082D"/>
    <w:rsid w:val="00DE0ADA"/>
    <w:rsid w:val="00DE0DC6"/>
    <w:rsid w:val="00DE168F"/>
    <w:rsid w:val="00DE1A9F"/>
    <w:rsid w:val="00DE1AA7"/>
    <w:rsid w:val="00DE1B0E"/>
    <w:rsid w:val="00DE2918"/>
    <w:rsid w:val="00DE2C89"/>
    <w:rsid w:val="00DE2CBD"/>
    <w:rsid w:val="00DE3112"/>
    <w:rsid w:val="00DE358E"/>
    <w:rsid w:val="00DE37B0"/>
    <w:rsid w:val="00DE3B86"/>
    <w:rsid w:val="00DE3F9C"/>
    <w:rsid w:val="00DE42B1"/>
    <w:rsid w:val="00DE4A47"/>
    <w:rsid w:val="00DE4F86"/>
    <w:rsid w:val="00DE5024"/>
    <w:rsid w:val="00DE5ABC"/>
    <w:rsid w:val="00DE5C43"/>
    <w:rsid w:val="00DE6007"/>
    <w:rsid w:val="00DE672C"/>
    <w:rsid w:val="00DE6B08"/>
    <w:rsid w:val="00DE6E2A"/>
    <w:rsid w:val="00DE6FA6"/>
    <w:rsid w:val="00DE7000"/>
    <w:rsid w:val="00DE7C22"/>
    <w:rsid w:val="00DE7D47"/>
    <w:rsid w:val="00DE7FE5"/>
    <w:rsid w:val="00DF00E4"/>
    <w:rsid w:val="00DF0587"/>
    <w:rsid w:val="00DF09E4"/>
    <w:rsid w:val="00DF0B95"/>
    <w:rsid w:val="00DF0FC0"/>
    <w:rsid w:val="00DF150D"/>
    <w:rsid w:val="00DF15FE"/>
    <w:rsid w:val="00DF17DB"/>
    <w:rsid w:val="00DF2245"/>
    <w:rsid w:val="00DF2325"/>
    <w:rsid w:val="00DF2590"/>
    <w:rsid w:val="00DF259D"/>
    <w:rsid w:val="00DF264F"/>
    <w:rsid w:val="00DF2BF6"/>
    <w:rsid w:val="00DF4A28"/>
    <w:rsid w:val="00DF6068"/>
    <w:rsid w:val="00DF65F4"/>
    <w:rsid w:val="00DF6EE5"/>
    <w:rsid w:val="00DF75DB"/>
    <w:rsid w:val="00DF780F"/>
    <w:rsid w:val="00E00227"/>
    <w:rsid w:val="00E004D9"/>
    <w:rsid w:val="00E0053B"/>
    <w:rsid w:val="00E0055E"/>
    <w:rsid w:val="00E00D78"/>
    <w:rsid w:val="00E00E4C"/>
    <w:rsid w:val="00E0124B"/>
    <w:rsid w:val="00E01B22"/>
    <w:rsid w:val="00E01B8B"/>
    <w:rsid w:val="00E01CB1"/>
    <w:rsid w:val="00E022A0"/>
    <w:rsid w:val="00E023A0"/>
    <w:rsid w:val="00E02817"/>
    <w:rsid w:val="00E028EC"/>
    <w:rsid w:val="00E02BFF"/>
    <w:rsid w:val="00E030DF"/>
    <w:rsid w:val="00E0327F"/>
    <w:rsid w:val="00E03FB0"/>
    <w:rsid w:val="00E04023"/>
    <w:rsid w:val="00E04439"/>
    <w:rsid w:val="00E04A87"/>
    <w:rsid w:val="00E04ECC"/>
    <w:rsid w:val="00E04EEB"/>
    <w:rsid w:val="00E0568A"/>
    <w:rsid w:val="00E05A01"/>
    <w:rsid w:val="00E0601E"/>
    <w:rsid w:val="00E061C6"/>
    <w:rsid w:val="00E06836"/>
    <w:rsid w:val="00E0688E"/>
    <w:rsid w:val="00E06EC5"/>
    <w:rsid w:val="00E07332"/>
    <w:rsid w:val="00E07530"/>
    <w:rsid w:val="00E07631"/>
    <w:rsid w:val="00E077C2"/>
    <w:rsid w:val="00E101BE"/>
    <w:rsid w:val="00E106D4"/>
    <w:rsid w:val="00E10730"/>
    <w:rsid w:val="00E1086E"/>
    <w:rsid w:val="00E10B6E"/>
    <w:rsid w:val="00E10D9B"/>
    <w:rsid w:val="00E119AB"/>
    <w:rsid w:val="00E11D16"/>
    <w:rsid w:val="00E11EB1"/>
    <w:rsid w:val="00E120EF"/>
    <w:rsid w:val="00E125AA"/>
    <w:rsid w:val="00E1263A"/>
    <w:rsid w:val="00E12C03"/>
    <w:rsid w:val="00E12C68"/>
    <w:rsid w:val="00E12D3A"/>
    <w:rsid w:val="00E134BB"/>
    <w:rsid w:val="00E13AB2"/>
    <w:rsid w:val="00E13E71"/>
    <w:rsid w:val="00E14152"/>
    <w:rsid w:val="00E14476"/>
    <w:rsid w:val="00E144D9"/>
    <w:rsid w:val="00E15260"/>
    <w:rsid w:val="00E154F1"/>
    <w:rsid w:val="00E1556B"/>
    <w:rsid w:val="00E15BCC"/>
    <w:rsid w:val="00E15CC4"/>
    <w:rsid w:val="00E162EE"/>
    <w:rsid w:val="00E163B3"/>
    <w:rsid w:val="00E1666F"/>
    <w:rsid w:val="00E166B1"/>
    <w:rsid w:val="00E17051"/>
    <w:rsid w:val="00E171E8"/>
    <w:rsid w:val="00E175DD"/>
    <w:rsid w:val="00E17BD4"/>
    <w:rsid w:val="00E202D6"/>
    <w:rsid w:val="00E206AF"/>
    <w:rsid w:val="00E20824"/>
    <w:rsid w:val="00E2087A"/>
    <w:rsid w:val="00E20AB4"/>
    <w:rsid w:val="00E20D2F"/>
    <w:rsid w:val="00E2115C"/>
    <w:rsid w:val="00E21423"/>
    <w:rsid w:val="00E21594"/>
    <w:rsid w:val="00E22012"/>
    <w:rsid w:val="00E227C4"/>
    <w:rsid w:val="00E22CA3"/>
    <w:rsid w:val="00E2426D"/>
    <w:rsid w:val="00E2441A"/>
    <w:rsid w:val="00E246B2"/>
    <w:rsid w:val="00E24713"/>
    <w:rsid w:val="00E24C2A"/>
    <w:rsid w:val="00E25613"/>
    <w:rsid w:val="00E25909"/>
    <w:rsid w:val="00E25A73"/>
    <w:rsid w:val="00E25A8F"/>
    <w:rsid w:val="00E26C36"/>
    <w:rsid w:val="00E270B2"/>
    <w:rsid w:val="00E27729"/>
    <w:rsid w:val="00E27CB8"/>
    <w:rsid w:val="00E27E15"/>
    <w:rsid w:val="00E27E38"/>
    <w:rsid w:val="00E27F0E"/>
    <w:rsid w:val="00E30482"/>
    <w:rsid w:val="00E30728"/>
    <w:rsid w:val="00E30AF7"/>
    <w:rsid w:val="00E30D04"/>
    <w:rsid w:val="00E30ED3"/>
    <w:rsid w:val="00E31298"/>
    <w:rsid w:val="00E313B2"/>
    <w:rsid w:val="00E31C26"/>
    <w:rsid w:val="00E32B91"/>
    <w:rsid w:val="00E32E61"/>
    <w:rsid w:val="00E332BF"/>
    <w:rsid w:val="00E3352A"/>
    <w:rsid w:val="00E339E4"/>
    <w:rsid w:val="00E33F63"/>
    <w:rsid w:val="00E33F71"/>
    <w:rsid w:val="00E34580"/>
    <w:rsid w:val="00E351B8"/>
    <w:rsid w:val="00E3525F"/>
    <w:rsid w:val="00E35552"/>
    <w:rsid w:val="00E35880"/>
    <w:rsid w:val="00E35E69"/>
    <w:rsid w:val="00E35E9E"/>
    <w:rsid w:val="00E35EEE"/>
    <w:rsid w:val="00E366B9"/>
    <w:rsid w:val="00E3758D"/>
    <w:rsid w:val="00E37EB3"/>
    <w:rsid w:val="00E4062D"/>
    <w:rsid w:val="00E40B6E"/>
    <w:rsid w:val="00E4130D"/>
    <w:rsid w:val="00E41370"/>
    <w:rsid w:val="00E4166E"/>
    <w:rsid w:val="00E419FA"/>
    <w:rsid w:val="00E4274C"/>
    <w:rsid w:val="00E428BA"/>
    <w:rsid w:val="00E43644"/>
    <w:rsid w:val="00E43A03"/>
    <w:rsid w:val="00E43E50"/>
    <w:rsid w:val="00E450B2"/>
    <w:rsid w:val="00E4553B"/>
    <w:rsid w:val="00E45811"/>
    <w:rsid w:val="00E45A46"/>
    <w:rsid w:val="00E45CD4"/>
    <w:rsid w:val="00E46269"/>
    <w:rsid w:val="00E463BC"/>
    <w:rsid w:val="00E4641D"/>
    <w:rsid w:val="00E4652D"/>
    <w:rsid w:val="00E4657B"/>
    <w:rsid w:val="00E46590"/>
    <w:rsid w:val="00E465D8"/>
    <w:rsid w:val="00E4685F"/>
    <w:rsid w:val="00E46DC5"/>
    <w:rsid w:val="00E47034"/>
    <w:rsid w:val="00E47150"/>
    <w:rsid w:val="00E4728B"/>
    <w:rsid w:val="00E47436"/>
    <w:rsid w:val="00E47671"/>
    <w:rsid w:val="00E50A26"/>
    <w:rsid w:val="00E50D95"/>
    <w:rsid w:val="00E51192"/>
    <w:rsid w:val="00E512CB"/>
    <w:rsid w:val="00E51D4E"/>
    <w:rsid w:val="00E520AE"/>
    <w:rsid w:val="00E528F9"/>
    <w:rsid w:val="00E52913"/>
    <w:rsid w:val="00E52A37"/>
    <w:rsid w:val="00E53F48"/>
    <w:rsid w:val="00E542B4"/>
    <w:rsid w:val="00E54405"/>
    <w:rsid w:val="00E549D5"/>
    <w:rsid w:val="00E54A7F"/>
    <w:rsid w:val="00E5516B"/>
    <w:rsid w:val="00E55622"/>
    <w:rsid w:val="00E557AF"/>
    <w:rsid w:val="00E55817"/>
    <w:rsid w:val="00E55A0C"/>
    <w:rsid w:val="00E55FAF"/>
    <w:rsid w:val="00E56166"/>
    <w:rsid w:val="00E56171"/>
    <w:rsid w:val="00E565FF"/>
    <w:rsid w:val="00E57038"/>
    <w:rsid w:val="00E57437"/>
    <w:rsid w:val="00E574B4"/>
    <w:rsid w:val="00E6023D"/>
    <w:rsid w:val="00E6039E"/>
    <w:rsid w:val="00E6093D"/>
    <w:rsid w:val="00E61861"/>
    <w:rsid w:val="00E6187C"/>
    <w:rsid w:val="00E618BD"/>
    <w:rsid w:val="00E61BC1"/>
    <w:rsid w:val="00E6218E"/>
    <w:rsid w:val="00E6220D"/>
    <w:rsid w:val="00E62A4D"/>
    <w:rsid w:val="00E630C8"/>
    <w:rsid w:val="00E636C2"/>
    <w:rsid w:val="00E64005"/>
    <w:rsid w:val="00E64B6A"/>
    <w:rsid w:val="00E65039"/>
    <w:rsid w:val="00E654F1"/>
    <w:rsid w:val="00E65C73"/>
    <w:rsid w:val="00E6646A"/>
    <w:rsid w:val="00E666AF"/>
    <w:rsid w:val="00E66ABD"/>
    <w:rsid w:val="00E66B74"/>
    <w:rsid w:val="00E66C31"/>
    <w:rsid w:val="00E66D7D"/>
    <w:rsid w:val="00E67749"/>
    <w:rsid w:val="00E67BDE"/>
    <w:rsid w:val="00E70328"/>
    <w:rsid w:val="00E70823"/>
    <w:rsid w:val="00E70B0A"/>
    <w:rsid w:val="00E70BC2"/>
    <w:rsid w:val="00E71361"/>
    <w:rsid w:val="00E718C5"/>
    <w:rsid w:val="00E719C3"/>
    <w:rsid w:val="00E71BF3"/>
    <w:rsid w:val="00E71FAE"/>
    <w:rsid w:val="00E722BE"/>
    <w:rsid w:val="00E72609"/>
    <w:rsid w:val="00E72B40"/>
    <w:rsid w:val="00E732A8"/>
    <w:rsid w:val="00E7362D"/>
    <w:rsid w:val="00E7424D"/>
    <w:rsid w:val="00E744D1"/>
    <w:rsid w:val="00E74B91"/>
    <w:rsid w:val="00E74CC9"/>
    <w:rsid w:val="00E75674"/>
    <w:rsid w:val="00E75810"/>
    <w:rsid w:val="00E7607C"/>
    <w:rsid w:val="00E76135"/>
    <w:rsid w:val="00E76B4B"/>
    <w:rsid w:val="00E76B76"/>
    <w:rsid w:val="00E77187"/>
    <w:rsid w:val="00E771DB"/>
    <w:rsid w:val="00E778D6"/>
    <w:rsid w:val="00E80C25"/>
    <w:rsid w:val="00E80F63"/>
    <w:rsid w:val="00E8120A"/>
    <w:rsid w:val="00E8203A"/>
    <w:rsid w:val="00E820D9"/>
    <w:rsid w:val="00E82523"/>
    <w:rsid w:val="00E82575"/>
    <w:rsid w:val="00E82604"/>
    <w:rsid w:val="00E826EA"/>
    <w:rsid w:val="00E829A8"/>
    <w:rsid w:val="00E82E54"/>
    <w:rsid w:val="00E831E3"/>
    <w:rsid w:val="00E8343D"/>
    <w:rsid w:val="00E83A26"/>
    <w:rsid w:val="00E83CF7"/>
    <w:rsid w:val="00E84523"/>
    <w:rsid w:val="00E846E8"/>
    <w:rsid w:val="00E8509B"/>
    <w:rsid w:val="00E850CB"/>
    <w:rsid w:val="00E85521"/>
    <w:rsid w:val="00E85892"/>
    <w:rsid w:val="00E86DA3"/>
    <w:rsid w:val="00E86E2E"/>
    <w:rsid w:val="00E86E76"/>
    <w:rsid w:val="00E87791"/>
    <w:rsid w:val="00E87F94"/>
    <w:rsid w:val="00E90C65"/>
    <w:rsid w:val="00E90E90"/>
    <w:rsid w:val="00E911A9"/>
    <w:rsid w:val="00E91362"/>
    <w:rsid w:val="00E916B7"/>
    <w:rsid w:val="00E918FF"/>
    <w:rsid w:val="00E91AB0"/>
    <w:rsid w:val="00E91C7E"/>
    <w:rsid w:val="00E91F6A"/>
    <w:rsid w:val="00E92576"/>
    <w:rsid w:val="00E925EC"/>
    <w:rsid w:val="00E92B45"/>
    <w:rsid w:val="00E92F23"/>
    <w:rsid w:val="00E93245"/>
    <w:rsid w:val="00E93368"/>
    <w:rsid w:val="00E93C98"/>
    <w:rsid w:val="00E94638"/>
    <w:rsid w:val="00E947F0"/>
    <w:rsid w:val="00E948C6"/>
    <w:rsid w:val="00E94C21"/>
    <w:rsid w:val="00E94D0F"/>
    <w:rsid w:val="00E9578A"/>
    <w:rsid w:val="00E959DC"/>
    <w:rsid w:val="00E95B1E"/>
    <w:rsid w:val="00E95F5F"/>
    <w:rsid w:val="00E960B1"/>
    <w:rsid w:val="00E964D9"/>
    <w:rsid w:val="00E965F8"/>
    <w:rsid w:val="00E9673A"/>
    <w:rsid w:val="00E96BED"/>
    <w:rsid w:val="00E96C92"/>
    <w:rsid w:val="00E96FAB"/>
    <w:rsid w:val="00EA073B"/>
    <w:rsid w:val="00EA0AC9"/>
    <w:rsid w:val="00EA0BBD"/>
    <w:rsid w:val="00EA0CD4"/>
    <w:rsid w:val="00EA107D"/>
    <w:rsid w:val="00EA11B4"/>
    <w:rsid w:val="00EA1653"/>
    <w:rsid w:val="00EA2269"/>
    <w:rsid w:val="00EA234A"/>
    <w:rsid w:val="00EA234B"/>
    <w:rsid w:val="00EA26B3"/>
    <w:rsid w:val="00EA3744"/>
    <w:rsid w:val="00EA3A7D"/>
    <w:rsid w:val="00EA3F20"/>
    <w:rsid w:val="00EA4391"/>
    <w:rsid w:val="00EA4749"/>
    <w:rsid w:val="00EA47D4"/>
    <w:rsid w:val="00EA49F4"/>
    <w:rsid w:val="00EA4FC3"/>
    <w:rsid w:val="00EA57D6"/>
    <w:rsid w:val="00EA5A57"/>
    <w:rsid w:val="00EA5BD5"/>
    <w:rsid w:val="00EA5C5E"/>
    <w:rsid w:val="00EA632A"/>
    <w:rsid w:val="00EA64ED"/>
    <w:rsid w:val="00EA6768"/>
    <w:rsid w:val="00EA6773"/>
    <w:rsid w:val="00EA6CB6"/>
    <w:rsid w:val="00EA73D8"/>
    <w:rsid w:val="00EA7B8C"/>
    <w:rsid w:val="00EA7C8C"/>
    <w:rsid w:val="00EA7D48"/>
    <w:rsid w:val="00EB01ED"/>
    <w:rsid w:val="00EB11FB"/>
    <w:rsid w:val="00EB12CC"/>
    <w:rsid w:val="00EB14DB"/>
    <w:rsid w:val="00EB165A"/>
    <w:rsid w:val="00EB198A"/>
    <w:rsid w:val="00EB3DF8"/>
    <w:rsid w:val="00EB498C"/>
    <w:rsid w:val="00EB4B01"/>
    <w:rsid w:val="00EB524D"/>
    <w:rsid w:val="00EB5959"/>
    <w:rsid w:val="00EB5B9F"/>
    <w:rsid w:val="00EB5FF4"/>
    <w:rsid w:val="00EB67B5"/>
    <w:rsid w:val="00EB700B"/>
    <w:rsid w:val="00EB7426"/>
    <w:rsid w:val="00EB745A"/>
    <w:rsid w:val="00EB7509"/>
    <w:rsid w:val="00EB7586"/>
    <w:rsid w:val="00EB7666"/>
    <w:rsid w:val="00EB7AA2"/>
    <w:rsid w:val="00EB7C64"/>
    <w:rsid w:val="00EB7CA1"/>
    <w:rsid w:val="00EC0498"/>
    <w:rsid w:val="00EC0502"/>
    <w:rsid w:val="00EC0987"/>
    <w:rsid w:val="00EC0FAC"/>
    <w:rsid w:val="00EC1314"/>
    <w:rsid w:val="00EC1578"/>
    <w:rsid w:val="00EC1AC1"/>
    <w:rsid w:val="00EC1B29"/>
    <w:rsid w:val="00EC20C2"/>
    <w:rsid w:val="00EC26D3"/>
    <w:rsid w:val="00EC2757"/>
    <w:rsid w:val="00EC27DB"/>
    <w:rsid w:val="00EC2A9D"/>
    <w:rsid w:val="00EC2DC9"/>
    <w:rsid w:val="00EC35C5"/>
    <w:rsid w:val="00EC392F"/>
    <w:rsid w:val="00EC406B"/>
    <w:rsid w:val="00EC413D"/>
    <w:rsid w:val="00EC4E6F"/>
    <w:rsid w:val="00EC4FD8"/>
    <w:rsid w:val="00EC5020"/>
    <w:rsid w:val="00EC5F0D"/>
    <w:rsid w:val="00EC661C"/>
    <w:rsid w:val="00EC6673"/>
    <w:rsid w:val="00EC6A98"/>
    <w:rsid w:val="00EC6E05"/>
    <w:rsid w:val="00EC7048"/>
    <w:rsid w:val="00EC722B"/>
    <w:rsid w:val="00EC7416"/>
    <w:rsid w:val="00EC7650"/>
    <w:rsid w:val="00EC7B77"/>
    <w:rsid w:val="00EC7C32"/>
    <w:rsid w:val="00ED015D"/>
    <w:rsid w:val="00ED0410"/>
    <w:rsid w:val="00ED0651"/>
    <w:rsid w:val="00ED0A31"/>
    <w:rsid w:val="00ED0BFD"/>
    <w:rsid w:val="00ED1606"/>
    <w:rsid w:val="00ED1C4C"/>
    <w:rsid w:val="00ED2341"/>
    <w:rsid w:val="00ED2735"/>
    <w:rsid w:val="00ED2919"/>
    <w:rsid w:val="00ED31F1"/>
    <w:rsid w:val="00ED3808"/>
    <w:rsid w:val="00ED4158"/>
    <w:rsid w:val="00ED4804"/>
    <w:rsid w:val="00ED5070"/>
    <w:rsid w:val="00ED51FF"/>
    <w:rsid w:val="00ED52E2"/>
    <w:rsid w:val="00ED5939"/>
    <w:rsid w:val="00ED5E5E"/>
    <w:rsid w:val="00ED67FE"/>
    <w:rsid w:val="00ED682E"/>
    <w:rsid w:val="00ED6930"/>
    <w:rsid w:val="00ED6AC5"/>
    <w:rsid w:val="00ED7227"/>
    <w:rsid w:val="00EE0018"/>
    <w:rsid w:val="00EE05A1"/>
    <w:rsid w:val="00EE10D5"/>
    <w:rsid w:val="00EE166C"/>
    <w:rsid w:val="00EE17DD"/>
    <w:rsid w:val="00EE22A8"/>
    <w:rsid w:val="00EE22DA"/>
    <w:rsid w:val="00EE2576"/>
    <w:rsid w:val="00EE3E2C"/>
    <w:rsid w:val="00EE46BE"/>
    <w:rsid w:val="00EE52BD"/>
    <w:rsid w:val="00EE55EF"/>
    <w:rsid w:val="00EE5978"/>
    <w:rsid w:val="00EE61CB"/>
    <w:rsid w:val="00EE6241"/>
    <w:rsid w:val="00EE648C"/>
    <w:rsid w:val="00EE64AD"/>
    <w:rsid w:val="00EE6569"/>
    <w:rsid w:val="00EE67D3"/>
    <w:rsid w:val="00EE6F2B"/>
    <w:rsid w:val="00EE766C"/>
    <w:rsid w:val="00EE77C5"/>
    <w:rsid w:val="00EE7C26"/>
    <w:rsid w:val="00EF036D"/>
    <w:rsid w:val="00EF0977"/>
    <w:rsid w:val="00EF0C1A"/>
    <w:rsid w:val="00EF0FB9"/>
    <w:rsid w:val="00EF1064"/>
    <w:rsid w:val="00EF1183"/>
    <w:rsid w:val="00EF1F5C"/>
    <w:rsid w:val="00EF394E"/>
    <w:rsid w:val="00EF3A03"/>
    <w:rsid w:val="00EF3DB6"/>
    <w:rsid w:val="00EF4352"/>
    <w:rsid w:val="00EF4587"/>
    <w:rsid w:val="00EF45B6"/>
    <w:rsid w:val="00EF46E6"/>
    <w:rsid w:val="00EF4776"/>
    <w:rsid w:val="00EF4C41"/>
    <w:rsid w:val="00EF4D63"/>
    <w:rsid w:val="00EF4F75"/>
    <w:rsid w:val="00EF50BA"/>
    <w:rsid w:val="00EF56BF"/>
    <w:rsid w:val="00EF584C"/>
    <w:rsid w:val="00EF5A1F"/>
    <w:rsid w:val="00EF600A"/>
    <w:rsid w:val="00EF609F"/>
    <w:rsid w:val="00EF6AA0"/>
    <w:rsid w:val="00EF6ADE"/>
    <w:rsid w:val="00EF6B45"/>
    <w:rsid w:val="00EF6E5D"/>
    <w:rsid w:val="00EF78C1"/>
    <w:rsid w:val="00EF7B2A"/>
    <w:rsid w:val="00EF7B67"/>
    <w:rsid w:val="00EF7D84"/>
    <w:rsid w:val="00F00517"/>
    <w:rsid w:val="00F00800"/>
    <w:rsid w:val="00F00D96"/>
    <w:rsid w:val="00F01A4F"/>
    <w:rsid w:val="00F01FE7"/>
    <w:rsid w:val="00F03D20"/>
    <w:rsid w:val="00F03F82"/>
    <w:rsid w:val="00F04148"/>
    <w:rsid w:val="00F0430B"/>
    <w:rsid w:val="00F055DB"/>
    <w:rsid w:val="00F05647"/>
    <w:rsid w:val="00F057DC"/>
    <w:rsid w:val="00F05827"/>
    <w:rsid w:val="00F05B41"/>
    <w:rsid w:val="00F06154"/>
    <w:rsid w:val="00F0655F"/>
    <w:rsid w:val="00F0728B"/>
    <w:rsid w:val="00F074B2"/>
    <w:rsid w:val="00F07887"/>
    <w:rsid w:val="00F07D56"/>
    <w:rsid w:val="00F100FA"/>
    <w:rsid w:val="00F10385"/>
    <w:rsid w:val="00F106F7"/>
    <w:rsid w:val="00F1074F"/>
    <w:rsid w:val="00F10971"/>
    <w:rsid w:val="00F10A71"/>
    <w:rsid w:val="00F10EAB"/>
    <w:rsid w:val="00F118E5"/>
    <w:rsid w:val="00F11A72"/>
    <w:rsid w:val="00F11F6A"/>
    <w:rsid w:val="00F125B1"/>
    <w:rsid w:val="00F126D2"/>
    <w:rsid w:val="00F135A9"/>
    <w:rsid w:val="00F1372C"/>
    <w:rsid w:val="00F13C6B"/>
    <w:rsid w:val="00F1424C"/>
    <w:rsid w:val="00F14312"/>
    <w:rsid w:val="00F143A8"/>
    <w:rsid w:val="00F14C42"/>
    <w:rsid w:val="00F14EE1"/>
    <w:rsid w:val="00F15E46"/>
    <w:rsid w:val="00F15E90"/>
    <w:rsid w:val="00F16338"/>
    <w:rsid w:val="00F1661F"/>
    <w:rsid w:val="00F167E4"/>
    <w:rsid w:val="00F168C2"/>
    <w:rsid w:val="00F1697C"/>
    <w:rsid w:val="00F17493"/>
    <w:rsid w:val="00F17537"/>
    <w:rsid w:val="00F17545"/>
    <w:rsid w:val="00F17573"/>
    <w:rsid w:val="00F1795E"/>
    <w:rsid w:val="00F17BA6"/>
    <w:rsid w:val="00F206F1"/>
    <w:rsid w:val="00F20815"/>
    <w:rsid w:val="00F2127E"/>
    <w:rsid w:val="00F21330"/>
    <w:rsid w:val="00F21A00"/>
    <w:rsid w:val="00F21E3E"/>
    <w:rsid w:val="00F224DA"/>
    <w:rsid w:val="00F22707"/>
    <w:rsid w:val="00F227A8"/>
    <w:rsid w:val="00F227BE"/>
    <w:rsid w:val="00F22C2E"/>
    <w:rsid w:val="00F23370"/>
    <w:rsid w:val="00F23CAC"/>
    <w:rsid w:val="00F23EE0"/>
    <w:rsid w:val="00F23FAB"/>
    <w:rsid w:val="00F241B5"/>
    <w:rsid w:val="00F2450B"/>
    <w:rsid w:val="00F246B4"/>
    <w:rsid w:val="00F24D4D"/>
    <w:rsid w:val="00F24DA2"/>
    <w:rsid w:val="00F25272"/>
    <w:rsid w:val="00F25B95"/>
    <w:rsid w:val="00F25FB6"/>
    <w:rsid w:val="00F26899"/>
    <w:rsid w:val="00F26ED3"/>
    <w:rsid w:val="00F2785C"/>
    <w:rsid w:val="00F27863"/>
    <w:rsid w:val="00F27A6F"/>
    <w:rsid w:val="00F27F5F"/>
    <w:rsid w:val="00F30802"/>
    <w:rsid w:val="00F30DC9"/>
    <w:rsid w:val="00F30FEA"/>
    <w:rsid w:val="00F3176D"/>
    <w:rsid w:val="00F31B51"/>
    <w:rsid w:val="00F320C9"/>
    <w:rsid w:val="00F328F8"/>
    <w:rsid w:val="00F33AD7"/>
    <w:rsid w:val="00F33BE6"/>
    <w:rsid w:val="00F34335"/>
    <w:rsid w:val="00F34742"/>
    <w:rsid w:val="00F34F56"/>
    <w:rsid w:val="00F350FC"/>
    <w:rsid w:val="00F36823"/>
    <w:rsid w:val="00F3761E"/>
    <w:rsid w:val="00F37C29"/>
    <w:rsid w:val="00F37D84"/>
    <w:rsid w:val="00F37E0C"/>
    <w:rsid w:val="00F4055E"/>
    <w:rsid w:val="00F40584"/>
    <w:rsid w:val="00F408B9"/>
    <w:rsid w:val="00F40ECD"/>
    <w:rsid w:val="00F41150"/>
    <w:rsid w:val="00F417AF"/>
    <w:rsid w:val="00F42231"/>
    <w:rsid w:val="00F42879"/>
    <w:rsid w:val="00F42945"/>
    <w:rsid w:val="00F42947"/>
    <w:rsid w:val="00F42DCC"/>
    <w:rsid w:val="00F4326D"/>
    <w:rsid w:val="00F438B7"/>
    <w:rsid w:val="00F43E5A"/>
    <w:rsid w:val="00F43F73"/>
    <w:rsid w:val="00F44136"/>
    <w:rsid w:val="00F4463B"/>
    <w:rsid w:val="00F45A6D"/>
    <w:rsid w:val="00F45E59"/>
    <w:rsid w:val="00F45F18"/>
    <w:rsid w:val="00F466D3"/>
    <w:rsid w:val="00F4683F"/>
    <w:rsid w:val="00F46AC5"/>
    <w:rsid w:val="00F46E85"/>
    <w:rsid w:val="00F4707D"/>
    <w:rsid w:val="00F4716D"/>
    <w:rsid w:val="00F47335"/>
    <w:rsid w:val="00F47B2F"/>
    <w:rsid w:val="00F47B58"/>
    <w:rsid w:val="00F47CAB"/>
    <w:rsid w:val="00F50254"/>
    <w:rsid w:val="00F5061E"/>
    <w:rsid w:val="00F511D7"/>
    <w:rsid w:val="00F51F42"/>
    <w:rsid w:val="00F5265F"/>
    <w:rsid w:val="00F534D9"/>
    <w:rsid w:val="00F53718"/>
    <w:rsid w:val="00F53EF5"/>
    <w:rsid w:val="00F549BF"/>
    <w:rsid w:val="00F5556C"/>
    <w:rsid w:val="00F559BE"/>
    <w:rsid w:val="00F55E54"/>
    <w:rsid w:val="00F562E8"/>
    <w:rsid w:val="00F56C2E"/>
    <w:rsid w:val="00F571EC"/>
    <w:rsid w:val="00F57558"/>
    <w:rsid w:val="00F6035A"/>
    <w:rsid w:val="00F60C7A"/>
    <w:rsid w:val="00F60E9A"/>
    <w:rsid w:val="00F615C5"/>
    <w:rsid w:val="00F6183A"/>
    <w:rsid w:val="00F61E0D"/>
    <w:rsid w:val="00F61EC0"/>
    <w:rsid w:val="00F6228E"/>
    <w:rsid w:val="00F622D9"/>
    <w:rsid w:val="00F623F2"/>
    <w:rsid w:val="00F629F3"/>
    <w:rsid w:val="00F62C66"/>
    <w:rsid w:val="00F6349F"/>
    <w:rsid w:val="00F63CD5"/>
    <w:rsid w:val="00F64E36"/>
    <w:rsid w:val="00F65020"/>
    <w:rsid w:val="00F65AF2"/>
    <w:rsid w:val="00F65BC4"/>
    <w:rsid w:val="00F66564"/>
    <w:rsid w:val="00F66DFB"/>
    <w:rsid w:val="00F6766C"/>
    <w:rsid w:val="00F6786A"/>
    <w:rsid w:val="00F679EA"/>
    <w:rsid w:val="00F67CA6"/>
    <w:rsid w:val="00F70147"/>
    <w:rsid w:val="00F706D4"/>
    <w:rsid w:val="00F707E3"/>
    <w:rsid w:val="00F712BC"/>
    <w:rsid w:val="00F717EE"/>
    <w:rsid w:val="00F7222D"/>
    <w:rsid w:val="00F72247"/>
    <w:rsid w:val="00F722F5"/>
    <w:rsid w:val="00F7277E"/>
    <w:rsid w:val="00F72906"/>
    <w:rsid w:val="00F737D5"/>
    <w:rsid w:val="00F73834"/>
    <w:rsid w:val="00F740B4"/>
    <w:rsid w:val="00F74207"/>
    <w:rsid w:val="00F74245"/>
    <w:rsid w:val="00F74D54"/>
    <w:rsid w:val="00F74F1D"/>
    <w:rsid w:val="00F7656D"/>
    <w:rsid w:val="00F76586"/>
    <w:rsid w:val="00F76759"/>
    <w:rsid w:val="00F76833"/>
    <w:rsid w:val="00F76A20"/>
    <w:rsid w:val="00F7724C"/>
    <w:rsid w:val="00F7768E"/>
    <w:rsid w:val="00F77BC9"/>
    <w:rsid w:val="00F77CA2"/>
    <w:rsid w:val="00F77CCD"/>
    <w:rsid w:val="00F80AD1"/>
    <w:rsid w:val="00F80BEB"/>
    <w:rsid w:val="00F80D53"/>
    <w:rsid w:val="00F81043"/>
    <w:rsid w:val="00F8133F"/>
    <w:rsid w:val="00F816FB"/>
    <w:rsid w:val="00F81AC0"/>
    <w:rsid w:val="00F82234"/>
    <w:rsid w:val="00F82289"/>
    <w:rsid w:val="00F82628"/>
    <w:rsid w:val="00F826CF"/>
    <w:rsid w:val="00F8280D"/>
    <w:rsid w:val="00F82B33"/>
    <w:rsid w:val="00F82B7E"/>
    <w:rsid w:val="00F831BE"/>
    <w:rsid w:val="00F834D1"/>
    <w:rsid w:val="00F8368E"/>
    <w:rsid w:val="00F83AE3"/>
    <w:rsid w:val="00F83E26"/>
    <w:rsid w:val="00F84205"/>
    <w:rsid w:val="00F84BE4"/>
    <w:rsid w:val="00F84C54"/>
    <w:rsid w:val="00F852C3"/>
    <w:rsid w:val="00F8531F"/>
    <w:rsid w:val="00F853F2"/>
    <w:rsid w:val="00F8594B"/>
    <w:rsid w:val="00F85985"/>
    <w:rsid w:val="00F85A90"/>
    <w:rsid w:val="00F863F6"/>
    <w:rsid w:val="00F865E5"/>
    <w:rsid w:val="00F868DF"/>
    <w:rsid w:val="00F86F08"/>
    <w:rsid w:val="00F86F20"/>
    <w:rsid w:val="00F8739D"/>
    <w:rsid w:val="00F87566"/>
    <w:rsid w:val="00F903B9"/>
    <w:rsid w:val="00F90585"/>
    <w:rsid w:val="00F91047"/>
    <w:rsid w:val="00F91378"/>
    <w:rsid w:val="00F917C4"/>
    <w:rsid w:val="00F91980"/>
    <w:rsid w:val="00F91A13"/>
    <w:rsid w:val="00F91C31"/>
    <w:rsid w:val="00F920F1"/>
    <w:rsid w:val="00F9254B"/>
    <w:rsid w:val="00F9291A"/>
    <w:rsid w:val="00F92E79"/>
    <w:rsid w:val="00F934BA"/>
    <w:rsid w:val="00F9384C"/>
    <w:rsid w:val="00F93E93"/>
    <w:rsid w:val="00F94BEF"/>
    <w:rsid w:val="00F94D34"/>
    <w:rsid w:val="00F9512F"/>
    <w:rsid w:val="00F95334"/>
    <w:rsid w:val="00F9556C"/>
    <w:rsid w:val="00F9558A"/>
    <w:rsid w:val="00F95ADE"/>
    <w:rsid w:val="00F95C3E"/>
    <w:rsid w:val="00F95CAD"/>
    <w:rsid w:val="00F962F4"/>
    <w:rsid w:val="00F9634D"/>
    <w:rsid w:val="00F96558"/>
    <w:rsid w:val="00F96F27"/>
    <w:rsid w:val="00F97599"/>
    <w:rsid w:val="00F9786B"/>
    <w:rsid w:val="00F97B82"/>
    <w:rsid w:val="00F97D02"/>
    <w:rsid w:val="00FA0EEE"/>
    <w:rsid w:val="00FA11A6"/>
    <w:rsid w:val="00FA17C9"/>
    <w:rsid w:val="00FA23F2"/>
    <w:rsid w:val="00FA245D"/>
    <w:rsid w:val="00FA2552"/>
    <w:rsid w:val="00FA28DB"/>
    <w:rsid w:val="00FA347E"/>
    <w:rsid w:val="00FA3F20"/>
    <w:rsid w:val="00FA4484"/>
    <w:rsid w:val="00FA4C94"/>
    <w:rsid w:val="00FA4EBF"/>
    <w:rsid w:val="00FA4F0A"/>
    <w:rsid w:val="00FA4F63"/>
    <w:rsid w:val="00FA50E1"/>
    <w:rsid w:val="00FA5BF3"/>
    <w:rsid w:val="00FA5BF7"/>
    <w:rsid w:val="00FA5CA6"/>
    <w:rsid w:val="00FA5D93"/>
    <w:rsid w:val="00FA609E"/>
    <w:rsid w:val="00FA68B0"/>
    <w:rsid w:val="00FA73A9"/>
    <w:rsid w:val="00FA740F"/>
    <w:rsid w:val="00FA798D"/>
    <w:rsid w:val="00FA7A89"/>
    <w:rsid w:val="00FB01FB"/>
    <w:rsid w:val="00FB0BAB"/>
    <w:rsid w:val="00FB131C"/>
    <w:rsid w:val="00FB165B"/>
    <w:rsid w:val="00FB17CE"/>
    <w:rsid w:val="00FB1AD5"/>
    <w:rsid w:val="00FB1BFF"/>
    <w:rsid w:val="00FB21BA"/>
    <w:rsid w:val="00FB2B56"/>
    <w:rsid w:val="00FB2D76"/>
    <w:rsid w:val="00FB2FC1"/>
    <w:rsid w:val="00FB3111"/>
    <w:rsid w:val="00FB372D"/>
    <w:rsid w:val="00FB3B24"/>
    <w:rsid w:val="00FB3B57"/>
    <w:rsid w:val="00FB3B68"/>
    <w:rsid w:val="00FB3CA1"/>
    <w:rsid w:val="00FB4523"/>
    <w:rsid w:val="00FB45BF"/>
    <w:rsid w:val="00FB49AD"/>
    <w:rsid w:val="00FB4C12"/>
    <w:rsid w:val="00FB4F0D"/>
    <w:rsid w:val="00FB5D0F"/>
    <w:rsid w:val="00FB5ECD"/>
    <w:rsid w:val="00FB61C8"/>
    <w:rsid w:val="00FB6208"/>
    <w:rsid w:val="00FB65AE"/>
    <w:rsid w:val="00FB73D5"/>
    <w:rsid w:val="00FB7BAE"/>
    <w:rsid w:val="00FB7D34"/>
    <w:rsid w:val="00FC0347"/>
    <w:rsid w:val="00FC0665"/>
    <w:rsid w:val="00FC164D"/>
    <w:rsid w:val="00FC1AC8"/>
    <w:rsid w:val="00FC1BE0"/>
    <w:rsid w:val="00FC1E6A"/>
    <w:rsid w:val="00FC24E8"/>
    <w:rsid w:val="00FC2A87"/>
    <w:rsid w:val="00FC2D6E"/>
    <w:rsid w:val="00FC2DC1"/>
    <w:rsid w:val="00FC31A1"/>
    <w:rsid w:val="00FC3537"/>
    <w:rsid w:val="00FC384B"/>
    <w:rsid w:val="00FC43AC"/>
    <w:rsid w:val="00FC45F2"/>
    <w:rsid w:val="00FC475C"/>
    <w:rsid w:val="00FC47AE"/>
    <w:rsid w:val="00FC482F"/>
    <w:rsid w:val="00FC4B27"/>
    <w:rsid w:val="00FC4B58"/>
    <w:rsid w:val="00FC4EAF"/>
    <w:rsid w:val="00FC5898"/>
    <w:rsid w:val="00FC62EB"/>
    <w:rsid w:val="00FC69C7"/>
    <w:rsid w:val="00FC6B85"/>
    <w:rsid w:val="00FC6CDE"/>
    <w:rsid w:val="00FC745E"/>
    <w:rsid w:val="00FC754C"/>
    <w:rsid w:val="00FC7661"/>
    <w:rsid w:val="00FC786C"/>
    <w:rsid w:val="00FC7879"/>
    <w:rsid w:val="00FC7CB0"/>
    <w:rsid w:val="00FC7E94"/>
    <w:rsid w:val="00FD035F"/>
    <w:rsid w:val="00FD05B2"/>
    <w:rsid w:val="00FD0791"/>
    <w:rsid w:val="00FD093D"/>
    <w:rsid w:val="00FD10A7"/>
    <w:rsid w:val="00FD10B8"/>
    <w:rsid w:val="00FD129A"/>
    <w:rsid w:val="00FD12D9"/>
    <w:rsid w:val="00FD149D"/>
    <w:rsid w:val="00FD22BC"/>
    <w:rsid w:val="00FD2A70"/>
    <w:rsid w:val="00FD2BA7"/>
    <w:rsid w:val="00FD2E43"/>
    <w:rsid w:val="00FD35CC"/>
    <w:rsid w:val="00FD35D5"/>
    <w:rsid w:val="00FD398E"/>
    <w:rsid w:val="00FD3B01"/>
    <w:rsid w:val="00FD49A9"/>
    <w:rsid w:val="00FD4DE9"/>
    <w:rsid w:val="00FD4E73"/>
    <w:rsid w:val="00FD5266"/>
    <w:rsid w:val="00FD5622"/>
    <w:rsid w:val="00FD5683"/>
    <w:rsid w:val="00FD59F3"/>
    <w:rsid w:val="00FD5C04"/>
    <w:rsid w:val="00FD60DE"/>
    <w:rsid w:val="00FD6142"/>
    <w:rsid w:val="00FD65D1"/>
    <w:rsid w:val="00FD67EA"/>
    <w:rsid w:val="00FD6D00"/>
    <w:rsid w:val="00FD70C6"/>
    <w:rsid w:val="00FD725D"/>
    <w:rsid w:val="00FD7390"/>
    <w:rsid w:val="00FE0251"/>
    <w:rsid w:val="00FE0CB7"/>
    <w:rsid w:val="00FE124F"/>
    <w:rsid w:val="00FE1683"/>
    <w:rsid w:val="00FE21F1"/>
    <w:rsid w:val="00FE2628"/>
    <w:rsid w:val="00FE39BB"/>
    <w:rsid w:val="00FE3F25"/>
    <w:rsid w:val="00FE4013"/>
    <w:rsid w:val="00FE4019"/>
    <w:rsid w:val="00FE422A"/>
    <w:rsid w:val="00FE4F6F"/>
    <w:rsid w:val="00FE5187"/>
    <w:rsid w:val="00FE568C"/>
    <w:rsid w:val="00FE5B5F"/>
    <w:rsid w:val="00FE6157"/>
    <w:rsid w:val="00FE621C"/>
    <w:rsid w:val="00FE638D"/>
    <w:rsid w:val="00FE6878"/>
    <w:rsid w:val="00FE6A8F"/>
    <w:rsid w:val="00FE6D8D"/>
    <w:rsid w:val="00FF057B"/>
    <w:rsid w:val="00FF2755"/>
    <w:rsid w:val="00FF2D6E"/>
    <w:rsid w:val="00FF331A"/>
    <w:rsid w:val="00FF3340"/>
    <w:rsid w:val="00FF3704"/>
    <w:rsid w:val="00FF3EF9"/>
    <w:rsid w:val="00FF4197"/>
    <w:rsid w:val="00FF47A4"/>
    <w:rsid w:val="00FF4891"/>
    <w:rsid w:val="00FF4E2C"/>
    <w:rsid w:val="00FF4E82"/>
    <w:rsid w:val="00FF5970"/>
    <w:rsid w:val="00FF5B27"/>
    <w:rsid w:val="00FF5E43"/>
    <w:rsid w:val="00FF5E7D"/>
    <w:rsid w:val="00FF5F5B"/>
    <w:rsid w:val="00FF6F2E"/>
    <w:rsid w:val="00FF7042"/>
    <w:rsid w:val="00FF7142"/>
    <w:rsid w:val="00FF7512"/>
    <w:rsid w:val="00FF7770"/>
    <w:rsid w:val="00FF7A3D"/>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A23E16"/>
  <w15:docId w15:val="{C5F1EC9A-E16A-43B4-A176-543FB7C2E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uiPriority="64"/>
    <w:lsdException w:name="Medium List 1"/>
    <w:lsdException w:name="Medium List 2"/>
    <w:lsdException w:name="Medium Grid 1"/>
    <w:lsdException w:name="Medium Grid 2" w:uiPriority="99"/>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uiPriority="64"/>
    <w:lsdException w:name="Medium List 1 Accent 1"/>
    <w:lsdException w:name="Revision" w:semiHidden="1" w:uiPriority="99"/>
    <w:lsdException w:name="List Paragraph" w:uiPriority="34" w:qFormat="1"/>
    <w:lsdException w:name="Medium List 2 Accent 1" w:uiPriority="66"/>
    <w:lsdException w:name="Medium Grid 1 Accent 1" w:uiPriority="67"/>
    <w:lsdException w:name="Medium Grid 2 Accent 1"/>
    <w:lsdException w:name="Medium Grid 3 Accent 1"/>
    <w:lsdException w:name="Dark List Accent 1"/>
    <w:lsdException w:name="Colorful Shading Accent 1"/>
    <w:lsdException w:name="Colorful List Accent 1" w:uiPriority="99"/>
    <w:lsdException w:name="Colorful Grid Accent 1"/>
    <w:lsdException w:name="Light Shading Accent 2"/>
    <w:lsdException w:name="Light List Accent 2" w:uiPriority="99"/>
    <w:lsdException w:name="Light Grid Accent 2" w:uiPriority="99"/>
    <w:lsdException w:name="Medium Shading 1 Accent 2"/>
    <w:lsdException w:name="Medium Shading 2 Accent 2"/>
    <w:lsdException w:name="Medium List 1 Accent 2"/>
    <w:lsdException w:name="Medium List 2 Accent 2"/>
    <w:lsdException w:name="Medium Grid 1 Accent 2" w:uiPriority="34"/>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uiPriority="69"/>
    <w:lsdException w:name="Dark List Accent 4"/>
    <w:lsdException w:name="Colorful Shading Accent 4"/>
    <w:lsdException w:name="Colorful List Accent 4"/>
    <w:lsdException w:name="Colorful Grid Accent 4"/>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lsdException w:name="Medium List 2 Accent 5"/>
    <w:lsdException w:name="Medium Grid 1 Accent 5"/>
    <w:lsdException w:name="Medium Grid 2 Accent 5" w:uiPriority="68"/>
    <w:lsdException w:name="Medium Grid 3 Accent 5"/>
    <w:lsdException w:name="Dark List Accent 5"/>
    <w:lsdException w:name="Colorful Shading Accent 5"/>
    <w:lsdException w:name="Colorful List Accent 5"/>
    <w:lsdException w:name="Colorful Grid Accent 5" w:uiPriority="99"/>
    <w:lsdException w:name="Light Shading Accent 6"/>
    <w:lsdException w:name="Light List Accent 6"/>
    <w:lsdException w:name="Light Grid Accent 6" w:uiPriority="62"/>
    <w:lsdException w:name="Medium Shading 1 Accent 6"/>
    <w:lsdException w:name="Medium Shading 2 Accent 6"/>
    <w:lsdException w:name="Medium List 1 Accent 6"/>
    <w:lsdException w:name="Medium List 2 Accent 6"/>
    <w:lsdException w:name="Medium Grid 1 Accent 6" w:uiPriority="67"/>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uiPriority="2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6262"/>
    <w:pPr>
      <w:spacing w:before="120" w:after="120"/>
      <w:contextualSpacing/>
      <w:jc w:val="both"/>
    </w:pPr>
    <w:rPr>
      <w:rFonts w:ascii="Times New Roman" w:eastAsia="Times New Roman" w:hAnsi="Times New Roman" w:cs="Times New Roman"/>
      <w:sz w:val="24"/>
      <w:szCs w:val="20"/>
      <w:lang w:val="fr-FR"/>
    </w:rPr>
  </w:style>
  <w:style w:type="paragraph" w:styleId="Titre1">
    <w:name w:val="heading 1"/>
    <w:aliases w:val=" Car,[I],Car"/>
    <w:basedOn w:val="Paragraphedeliste"/>
    <w:next w:val="Normal"/>
    <w:link w:val="Titre1Car"/>
    <w:qFormat/>
    <w:rsid w:val="00421812"/>
    <w:pPr>
      <w:outlineLvl w:val="0"/>
    </w:pPr>
    <w:rPr>
      <w:b/>
      <w:sz w:val="44"/>
    </w:rPr>
  </w:style>
  <w:style w:type="paragraph" w:styleId="Titre2">
    <w:name w:val="heading 2"/>
    <w:aliases w:val="Chapter Title,Heading 2 Char Char Car,BVI2,Heading 2-BVI,RepHead2,[1]"/>
    <w:basedOn w:val="Normal"/>
    <w:next w:val="Normal"/>
    <w:link w:val="Titre2Car"/>
    <w:qFormat/>
    <w:rsid w:val="002D68F4"/>
    <w:pPr>
      <w:keepNext/>
      <w:tabs>
        <w:tab w:val="left" w:pos="737"/>
      </w:tabs>
      <w:spacing w:line="400" w:lineRule="exact"/>
      <w:jc w:val="left"/>
      <w:outlineLvl w:val="1"/>
    </w:pPr>
    <w:rPr>
      <w:b/>
      <w:sz w:val="36"/>
    </w:rPr>
  </w:style>
  <w:style w:type="paragraph" w:styleId="Titre3">
    <w:name w:val="heading 3"/>
    <w:aliases w:val="Char,Char Char Char,[1.1],Char Char1.1]"/>
    <w:basedOn w:val="Normal"/>
    <w:next w:val="Normal"/>
    <w:link w:val="Titre3Car"/>
    <w:unhideWhenUsed/>
    <w:qFormat/>
    <w:rsid w:val="006267F5"/>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aliases w:val="Char13,Sub-Clause Sub-paragraph,[1.1.1], Sub-Clause Sub-paragraph, Char13"/>
    <w:basedOn w:val="Normal"/>
    <w:next w:val="Normal"/>
    <w:link w:val="Titre4Car"/>
    <w:qFormat/>
    <w:rsid w:val="00B55F08"/>
    <w:pPr>
      <w:keepNext/>
      <w:tabs>
        <w:tab w:val="left" w:pos="1080"/>
        <w:tab w:val="num" w:pos="2077"/>
      </w:tabs>
      <w:overflowPunct w:val="0"/>
      <w:autoSpaceDE w:val="0"/>
      <w:autoSpaceDN w:val="0"/>
      <w:adjustRightInd w:val="0"/>
      <w:spacing w:before="240" w:after="60" w:line="240" w:lineRule="auto"/>
      <w:ind w:left="2077" w:hanging="864"/>
      <w:contextualSpacing w:val="0"/>
      <w:jc w:val="left"/>
      <w:textAlignment w:val="baseline"/>
      <w:outlineLvl w:val="3"/>
    </w:pPr>
    <w:rPr>
      <w:rFonts w:ascii="Arial" w:hAnsi="Arial"/>
      <w:b/>
      <w:sz w:val="28"/>
      <w:lang w:val="en-GB"/>
    </w:rPr>
  </w:style>
  <w:style w:type="paragraph" w:styleId="Titre5">
    <w:name w:val="heading 5"/>
    <w:aliases w:val=" Char12,Char12,[1.1.1.1]"/>
    <w:basedOn w:val="Normal"/>
    <w:next w:val="Normal"/>
    <w:link w:val="Titre5Car"/>
    <w:qFormat/>
    <w:rsid w:val="00B55F08"/>
    <w:pPr>
      <w:tabs>
        <w:tab w:val="left" w:pos="1008"/>
        <w:tab w:val="num" w:pos="2221"/>
      </w:tabs>
      <w:overflowPunct w:val="0"/>
      <w:autoSpaceDE w:val="0"/>
      <w:autoSpaceDN w:val="0"/>
      <w:adjustRightInd w:val="0"/>
      <w:spacing w:before="240" w:after="60" w:line="240" w:lineRule="auto"/>
      <w:ind w:left="2221" w:hanging="1008"/>
      <w:contextualSpacing w:val="0"/>
      <w:jc w:val="left"/>
      <w:textAlignment w:val="baseline"/>
      <w:outlineLvl w:val="4"/>
    </w:pPr>
    <w:rPr>
      <w:rFonts w:ascii="Arial" w:hAnsi="Arial"/>
      <w:b/>
      <w:i/>
      <w:sz w:val="26"/>
      <w:lang w:val="en-GB"/>
    </w:rPr>
  </w:style>
  <w:style w:type="paragraph" w:styleId="Titre6">
    <w:name w:val="heading 6"/>
    <w:basedOn w:val="Titre1"/>
    <w:next w:val="Normal"/>
    <w:link w:val="Titre6Car"/>
    <w:qFormat/>
    <w:rsid w:val="00D535E8"/>
    <w:pPr>
      <w:numPr>
        <w:numId w:val="84"/>
      </w:numPr>
      <w:spacing w:before="240" w:line="360" w:lineRule="auto"/>
      <w:outlineLvl w:val="5"/>
    </w:pPr>
    <w:rPr>
      <w:rFonts w:ascii="Times New Roman Bold" w:hAnsi="Times New Roman Bold"/>
      <w:caps/>
      <w:sz w:val="28"/>
      <w:szCs w:val="28"/>
      <w:lang w:val="en-US"/>
    </w:rPr>
  </w:style>
  <w:style w:type="paragraph" w:styleId="Titre7">
    <w:name w:val="heading 7"/>
    <w:basedOn w:val="Heading1A"/>
    <w:next w:val="Normal"/>
    <w:link w:val="Titre7Car"/>
    <w:qFormat/>
    <w:rsid w:val="004104CC"/>
    <w:pPr>
      <w:pBdr>
        <w:bottom w:val="single" w:sz="8" w:space="6" w:color="000080"/>
      </w:pBdr>
      <w:outlineLvl w:val="6"/>
    </w:pPr>
    <w:rPr>
      <w:color w:val="4F81BD" w:themeColor="accent1"/>
    </w:rPr>
  </w:style>
  <w:style w:type="paragraph" w:styleId="Titre8">
    <w:name w:val="heading 8"/>
    <w:basedOn w:val="Normal"/>
    <w:next w:val="Normal"/>
    <w:link w:val="Titre8Car"/>
    <w:qFormat/>
    <w:rsid w:val="00B55F08"/>
    <w:pPr>
      <w:tabs>
        <w:tab w:val="left" w:pos="1440"/>
        <w:tab w:val="num" w:pos="2653"/>
      </w:tabs>
      <w:overflowPunct w:val="0"/>
      <w:autoSpaceDE w:val="0"/>
      <w:autoSpaceDN w:val="0"/>
      <w:adjustRightInd w:val="0"/>
      <w:spacing w:before="240" w:after="60" w:line="240" w:lineRule="auto"/>
      <w:ind w:left="2653" w:hanging="1440"/>
      <w:contextualSpacing w:val="0"/>
      <w:jc w:val="left"/>
      <w:textAlignment w:val="baseline"/>
      <w:outlineLvl w:val="7"/>
    </w:pPr>
    <w:rPr>
      <w:rFonts w:ascii="Arial" w:hAnsi="Arial"/>
      <w:i/>
      <w:sz w:val="22"/>
      <w:lang w:val="en-GB"/>
    </w:rPr>
  </w:style>
  <w:style w:type="paragraph" w:styleId="Titre9">
    <w:name w:val="heading 9"/>
    <w:aliases w:val=" Char,Char5"/>
    <w:basedOn w:val="Normal"/>
    <w:next w:val="Normal"/>
    <w:link w:val="Titre9Car"/>
    <w:qFormat/>
    <w:rsid w:val="00B55F08"/>
    <w:pPr>
      <w:tabs>
        <w:tab w:val="left" w:pos="1584"/>
        <w:tab w:val="num" w:pos="2797"/>
      </w:tabs>
      <w:overflowPunct w:val="0"/>
      <w:autoSpaceDE w:val="0"/>
      <w:autoSpaceDN w:val="0"/>
      <w:adjustRightInd w:val="0"/>
      <w:spacing w:before="240" w:after="60" w:line="240" w:lineRule="auto"/>
      <w:ind w:left="2797" w:hanging="1584"/>
      <w:contextualSpacing w:val="0"/>
      <w:jc w:val="left"/>
      <w:textAlignment w:val="baseline"/>
      <w:outlineLvl w:val="8"/>
    </w:pPr>
    <w:rPr>
      <w:rFonts w:ascii="Arial" w:hAnsi="Arial"/>
      <w:sz w:val="22"/>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unhideWhenUsed/>
    <w:rsid w:val="006265A6"/>
    <w:pPr>
      <w:spacing w:after="0" w:line="240" w:lineRule="auto"/>
    </w:pPr>
    <w:rPr>
      <w:rFonts w:ascii="Segoe UI" w:hAnsi="Segoe UI" w:cs="Segoe UI"/>
      <w:sz w:val="18"/>
      <w:szCs w:val="18"/>
    </w:rPr>
  </w:style>
  <w:style w:type="character" w:customStyle="1" w:styleId="BalloonTextChar">
    <w:name w:val="Balloon Text Char"/>
    <w:basedOn w:val="Policepardfaut"/>
    <w:uiPriority w:val="99"/>
    <w:semiHidden/>
    <w:rsid w:val="00A16428"/>
    <w:rPr>
      <w:rFonts w:ascii="Lucida Grande" w:hAnsi="Lucida Grande"/>
      <w:sz w:val="18"/>
      <w:szCs w:val="18"/>
    </w:rPr>
  </w:style>
  <w:style w:type="character" w:customStyle="1" w:styleId="BalloonTextChar16">
    <w:name w:val="Balloon Text Char16"/>
    <w:basedOn w:val="Policepardfaut"/>
    <w:uiPriority w:val="99"/>
    <w:semiHidden/>
    <w:rsid w:val="00516E4D"/>
    <w:rPr>
      <w:rFonts w:ascii="Lucida Grande" w:hAnsi="Lucida Grande" w:cs="Lucida Grande"/>
      <w:sz w:val="18"/>
      <w:szCs w:val="18"/>
    </w:rPr>
  </w:style>
  <w:style w:type="character" w:customStyle="1" w:styleId="Titre2Car">
    <w:name w:val="Titre 2 Car"/>
    <w:aliases w:val="Chapter Title Car,Heading 2 Char Char Car Car,BVI2 Car,Heading 2-BVI Car,RepHead2 Car,[1] Car"/>
    <w:basedOn w:val="Policepardfaut"/>
    <w:link w:val="Titre2"/>
    <w:rsid w:val="002D68F4"/>
    <w:rPr>
      <w:rFonts w:ascii="Times New Roman" w:eastAsia="Times New Roman" w:hAnsi="Times New Roman" w:cs="Times New Roman"/>
      <w:b/>
      <w:sz w:val="36"/>
      <w:szCs w:val="20"/>
      <w:lang w:val="en-AU"/>
    </w:rPr>
  </w:style>
  <w:style w:type="paragraph" w:customStyle="1" w:styleId="Tableheading">
    <w:name w:val="Table heading"/>
    <w:basedOn w:val="Normal"/>
    <w:rsid w:val="002D68F4"/>
    <w:rPr>
      <w:b/>
      <w:sz w:val="18"/>
    </w:rPr>
  </w:style>
  <w:style w:type="paragraph" w:styleId="Normalcentr">
    <w:name w:val="Block Text"/>
    <w:basedOn w:val="Normal"/>
    <w:link w:val="NormalcentrCar"/>
    <w:rsid w:val="002D68F4"/>
    <w:pPr>
      <w:numPr>
        <w:numId w:val="1"/>
      </w:numPr>
      <w:tabs>
        <w:tab w:val="clear" w:pos="360"/>
        <w:tab w:val="left" w:pos="900"/>
      </w:tabs>
      <w:spacing w:line="240" w:lineRule="auto"/>
      <w:ind w:left="900" w:right="902" w:firstLine="0"/>
    </w:pPr>
    <w:rPr>
      <w:rFonts w:eastAsia="Times"/>
      <w:sz w:val="16"/>
      <w:lang w:val="en-US"/>
    </w:rPr>
  </w:style>
  <w:style w:type="paragraph" w:customStyle="1" w:styleId="Bullet">
    <w:name w:val="Bullet"/>
    <w:basedOn w:val="Corpsdetexte"/>
    <w:rsid w:val="002D68F4"/>
    <w:pPr>
      <w:tabs>
        <w:tab w:val="num" w:pos="360"/>
      </w:tabs>
      <w:spacing w:after="240" w:line="240" w:lineRule="auto"/>
    </w:pPr>
  </w:style>
  <w:style w:type="paragraph" w:customStyle="1" w:styleId="TextBox">
    <w:name w:val="Text Box"/>
    <w:basedOn w:val="Corpsdetexte"/>
    <w:rsid w:val="002D68F4"/>
    <w:pPr>
      <w:pBdr>
        <w:top w:val="single" w:sz="4" w:space="1" w:color="auto"/>
        <w:left w:val="single" w:sz="4" w:space="4" w:color="auto"/>
        <w:bottom w:val="single" w:sz="4" w:space="1" w:color="auto"/>
        <w:right w:val="single" w:sz="4" w:space="4" w:color="auto"/>
      </w:pBdr>
      <w:shd w:val="clear" w:color="auto" w:fill="E0E0E0"/>
      <w:spacing w:after="240" w:line="240" w:lineRule="auto"/>
    </w:pPr>
  </w:style>
  <w:style w:type="paragraph" w:customStyle="1" w:styleId="TableText">
    <w:name w:val="Table Text"/>
    <w:basedOn w:val="Corpsdetexte"/>
    <w:rsid w:val="002D68F4"/>
    <w:pPr>
      <w:spacing w:after="240" w:line="240" w:lineRule="auto"/>
    </w:pPr>
    <w:rPr>
      <w:sz w:val="18"/>
    </w:rPr>
  </w:style>
  <w:style w:type="paragraph" w:customStyle="1" w:styleId="font5">
    <w:name w:val="font5"/>
    <w:basedOn w:val="Normal"/>
    <w:rsid w:val="002D68F4"/>
    <w:pPr>
      <w:spacing w:before="100" w:beforeAutospacing="1" w:after="100" w:afterAutospacing="1" w:line="240" w:lineRule="auto"/>
      <w:jc w:val="left"/>
    </w:pPr>
    <w:rPr>
      <w:rFonts w:eastAsia="Arial Unicode MS" w:cs="Arial"/>
      <w:sz w:val="16"/>
      <w:szCs w:val="16"/>
    </w:rPr>
  </w:style>
  <w:style w:type="paragraph" w:styleId="Corpsdetexte">
    <w:name w:val="Body Text"/>
    <w:aliases w:val="Code,heading3,Body Text - Level 2,bt,Body Text 11,Body Text 12,Orig Qstn,Original Question,NCDOT Body Text, ändrad,ändrad,paragraph 2,paragraph 21,Body,L1 Body Text,Body3,Tempo Body Text,body indent"/>
    <w:basedOn w:val="Normal"/>
    <w:link w:val="CorpsdetexteCar"/>
    <w:unhideWhenUsed/>
    <w:rsid w:val="002D68F4"/>
  </w:style>
  <w:style w:type="character" w:customStyle="1" w:styleId="CorpsdetexteCar">
    <w:name w:val="Corps de texte Car"/>
    <w:aliases w:val="Code Car,heading3 Car,Body Text - Level 2 Car,bt Car,Body Text 11 Car,Body Text 12 Car,Orig Qstn Car,Original Question Car,NCDOT Body Text Car, ändrad Car,ändrad Car,paragraph 2 Car,paragraph 21 Car,Body Car,L1 Body Text Car,Body3 Car"/>
    <w:basedOn w:val="Policepardfaut"/>
    <w:link w:val="Corpsdetexte"/>
    <w:rsid w:val="002D68F4"/>
    <w:rPr>
      <w:rFonts w:ascii="Times New Roman" w:eastAsia="Times New Roman" w:hAnsi="Times New Roman" w:cs="Times New Roman"/>
      <w:sz w:val="24"/>
      <w:szCs w:val="20"/>
      <w:lang w:val="en-AU"/>
    </w:rPr>
  </w:style>
  <w:style w:type="paragraph" w:styleId="Paragraphedeliste">
    <w:name w:val="List Paragraph"/>
    <w:aliases w:val="Citation List,본문(내용),List Paragraph (numbered (a))"/>
    <w:basedOn w:val="Normal"/>
    <w:link w:val="ParagraphedelisteCar"/>
    <w:uiPriority w:val="34"/>
    <w:qFormat/>
    <w:rsid w:val="00C751E9"/>
  </w:style>
  <w:style w:type="paragraph" w:styleId="Lgende">
    <w:name w:val="caption"/>
    <w:basedOn w:val="Normal"/>
    <w:next w:val="Normal"/>
    <w:link w:val="LgendeCar"/>
    <w:uiPriority w:val="35"/>
    <w:unhideWhenUsed/>
    <w:qFormat/>
    <w:rsid w:val="00FC24E8"/>
    <w:pPr>
      <w:spacing w:after="200" w:line="240" w:lineRule="auto"/>
    </w:pPr>
    <w:rPr>
      <w:b/>
      <w:bCs/>
      <w:color w:val="4F81BD" w:themeColor="accent1"/>
      <w:sz w:val="18"/>
      <w:szCs w:val="18"/>
    </w:rPr>
  </w:style>
  <w:style w:type="character" w:customStyle="1" w:styleId="Titre1Car">
    <w:name w:val="Titre 1 Car"/>
    <w:aliases w:val=" Car Car,[I] Car,Car Car"/>
    <w:basedOn w:val="Policepardfaut"/>
    <w:link w:val="Titre1"/>
    <w:rsid w:val="00421812"/>
    <w:rPr>
      <w:rFonts w:ascii="Times New Roman" w:eastAsia="Times New Roman" w:hAnsi="Times New Roman" w:cs="Times New Roman"/>
      <w:b/>
      <w:sz w:val="44"/>
      <w:szCs w:val="20"/>
      <w:lang w:val="en-AU"/>
    </w:rPr>
  </w:style>
  <w:style w:type="character" w:customStyle="1" w:styleId="ParagraphedelisteCar">
    <w:name w:val="Paragraphe de liste Car"/>
    <w:aliases w:val="Citation List Car,본문(내용) Car,List Paragraph (numbered (a)) Car"/>
    <w:basedOn w:val="Policepardfaut"/>
    <w:link w:val="Paragraphedeliste"/>
    <w:uiPriority w:val="34"/>
    <w:rsid w:val="00C751E9"/>
    <w:rPr>
      <w:rFonts w:ascii="Times New Roman" w:eastAsia="Times New Roman" w:hAnsi="Times New Roman" w:cs="Times New Roman"/>
      <w:sz w:val="24"/>
      <w:szCs w:val="20"/>
      <w:lang w:val="en-AU"/>
    </w:rPr>
  </w:style>
  <w:style w:type="table" w:styleId="Listeclaire-Accent1">
    <w:name w:val="Light List Accent 1"/>
    <w:basedOn w:val="Grilledetableau1"/>
    <w:uiPriority w:val="61"/>
    <w:rsid w:val="007504F9"/>
    <w:pPr>
      <w:spacing w:after="0" w:line="240" w:lineRule="auto"/>
    </w:pPr>
    <w:tblPr>
      <w:tblStyleRowBandSize w:val="1"/>
      <w:tblStyleColBandSize w:val="1"/>
    </w:tblPr>
    <w:tcPr>
      <w:shd w:val="clear" w:color="auto" w:fill="auto"/>
    </w:tc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i/>
        <w:i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dutableau">
    <w:name w:val="Table Grid"/>
    <w:basedOn w:val="TableauNormal"/>
    <w:uiPriority w:val="39"/>
    <w:rsid w:val="00AE257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bullet">
    <w:name w:val="MED bullet"/>
    <w:basedOn w:val="Normal"/>
    <w:link w:val="MEDbulletChar"/>
    <w:qFormat/>
    <w:rsid w:val="00AE2574"/>
    <w:pPr>
      <w:spacing w:line="240" w:lineRule="auto"/>
      <w:ind w:left="425" w:hanging="425"/>
      <w:jc w:val="left"/>
    </w:pPr>
    <w:rPr>
      <w:rFonts w:eastAsia="Cambria"/>
      <w:sz w:val="21"/>
      <w:szCs w:val="24"/>
    </w:rPr>
  </w:style>
  <w:style w:type="character" w:customStyle="1" w:styleId="MEDbulletChar">
    <w:name w:val="MED bullet Char"/>
    <w:basedOn w:val="Policepardfaut"/>
    <w:link w:val="MEDbullet"/>
    <w:rsid w:val="00AE2574"/>
    <w:rPr>
      <w:rFonts w:ascii="Times New Roman" w:eastAsia="Cambria" w:hAnsi="Times New Roman" w:cs="Times New Roman"/>
      <w:sz w:val="21"/>
      <w:szCs w:val="24"/>
      <w:lang w:val="en-AU"/>
    </w:rPr>
  </w:style>
  <w:style w:type="paragraph" w:customStyle="1" w:styleId="MEDbody">
    <w:name w:val="MED body"/>
    <w:basedOn w:val="Normal"/>
    <w:link w:val="MEDbodyChar"/>
    <w:qFormat/>
    <w:rsid w:val="003900FE"/>
    <w:pPr>
      <w:spacing w:after="200" w:line="240" w:lineRule="auto"/>
      <w:jc w:val="left"/>
    </w:pPr>
    <w:rPr>
      <w:rFonts w:eastAsia="Cambria"/>
      <w:sz w:val="21"/>
      <w:szCs w:val="24"/>
    </w:rPr>
  </w:style>
  <w:style w:type="paragraph" w:customStyle="1" w:styleId="MEDcontentsbody">
    <w:name w:val="MED contents body"/>
    <w:basedOn w:val="Normal"/>
    <w:qFormat/>
    <w:rsid w:val="003900FE"/>
    <w:pPr>
      <w:tabs>
        <w:tab w:val="right" w:leader="dot" w:pos="10188"/>
      </w:tabs>
      <w:spacing w:after="200" w:line="240" w:lineRule="auto"/>
      <w:jc w:val="left"/>
    </w:pPr>
    <w:rPr>
      <w:rFonts w:eastAsia="Cambria"/>
      <w:noProof/>
      <w:szCs w:val="24"/>
    </w:rPr>
  </w:style>
  <w:style w:type="character" w:styleId="Lienhypertexte">
    <w:name w:val="Hyperlink"/>
    <w:basedOn w:val="Policepardfaut"/>
    <w:uiPriority w:val="99"/>
    <w:rsid w:val="003900FE"/>
    <w:rPr>
      <w:color w:val="0000FF"/>
      <w:u w:val="single"/>
    </w:rPr>
  </w:style>
  <w:style w:type="character" w:customStyle="1" w:styleId="MEDbodyChar">
    <w:name w:val="MED body Char"/>
    <w:basedOn w:val="Policepardfaut"/>
    <w:link w:val="MEDbody"/>
    <w:rsid w:val="003900FE"/>
    <w:rPr>
      <w:rFonts w:ascii="Times New Roman" w:eastAsia="Cambria" w:hAnsi="Times New Roman" w:cs="Times New Roman"/>
      <w:sz w:val="21"/>
      <w:szCs w:val="24"/>
      <w:lang w:val="en-AU"/>
    </w:rPr>
  </w:style>
  <w:style w:type="character" w:customStyle="1" w:styleId="TextedebullesCar">
    <w:name w:val="Texte de bulles Car"/>
    <w:basedOn w:val="Policepardfaut"/>
    <w:link w:val="Textedebulles"/>
    <w:uiPriority w:val="99"/>
    <w:rsid w:val="006265A6"/>
    <w:rPr>
      <w:rFonts w:ascii="Segoe UI" w:eastAsia="Times New Roman" w:hAnsi="Segoe UI" w:cs="Segoe UI"/>
      <w:sz w:val="18"/>
      <w:szCs w:val="18"/>
      <w:lang w:val="en-AU"/>
    </w:rPr>
  </w:style>
  <w:style w:type="paragraph" w:styleId="PrformatHTML">
    <w:name w:val="HTML Preformatted"/>
    <w:basedOn w:val="Normal"/>
    <w:link w:val="PrformatHTMLCar"/>
    <w:unhideWhenUsed/>
    <w:rsid w:val="003B00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lang w:val="en-NZ" w:eastAsia="en-NZ"/>
    </w:rPr>
  </w:style>
  <w:style w:type="character" w:customStyle="1" w:styleId="PrformatHTMLCar">
    <w:name w:val="Préformaté HTML Car"/>
    <w:basedOn w:val="Policepardfaut"/>
    <w:link w:val="PrformatHTML"/>
    <w:rsid w:val="003B00DE"/>
    <w:rPr>
      <w:rFonts w:ascii="Courier New" w:eastAsia="Times New Roman" w:hAnsi="Courier New" w:cs="Courier New"/>
      <w:sz w:val="24"/>
      <w:szCs w:val="20"/>
      <w:lang w:val="en-NZ" w:eastAsia="en-NZ"/>
    </w:rPr>
  </w:style>
  <w:style w:type="paragraph" w:styleId="En-tte">
    <w:name w:val="header"/>
    <w:aliases w:val="*Header"/>
    <w:basedOn w:val="Normal"/>
    <w:link w:val="En-tteCar"/>
    <w:uiPriority w:val="99"/>
    <w:unhideWhenUsed/>
    <w:rsid w:val="00461D11"/>
    <w:pPr>
      <w:tabs>
        <w:tab w:val="center" w:pos="4513"/>
        <w:tab w:val="right" w:pos="9026"/>
      </w:tabs>
      <w:spacing w:after="0" w:line="240" w:lineRule="auto"/>
    </w:pPr>
  </w:style>
  <w:style w:type="table" w:styleId="Grilledetableau1">
    <w:name w:val="Table Grid 1"/>
    <w:basedOn w:val="TableauNormal"/>
    <w:uiPriority w:val="99"/>
    <w:semiHidden/>
    <w:unhideWhenUsed/>
    <w:rsid w:val="007504F9"/>
    <w:pPr>
      <w:spacing w:after="240" w:line="24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En-tteCar">
    <w:name w:val="En-tête Car"/>
    <w:aliases w:val="*Header Car"/>
    <w:basedOn w:val="Policepardfaut"/>
    <w:link w:val="En-tte"/>
    <w:uiPriority w:val="99"/>
    <w:rsid w:val="00461D11"/>
    <w:rPr>
      <w:rFonts w:ascii="Times New Roman" w:eastAsia="Times New Roman" w:hAnsi="Times New Roman" w:cs="Times New Roman"/>
      <w:sz w:val="24"/>
      <w:szCs w:val="20"/>
      <w:lang w:val="en-AU"/>
    </w:rPr>
  </w:style>
  <w:style w:type="paragraph" w:styleId="Pieddepage">
    <w:name w:val="footer"/>
    <w:basedOn w:val="Normal"/>
    <w:link w:val="PieddepageCar"/>
    <w:uiPriority w:val="99"/>
    <w:unhideWhenUsed/>
    <w:rsid w:val="00461D11"/>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461D11"/>
    <w:rPr>
      <w:rFonts w:ascii="Times New Roman" w:eastAsia="Times New Roman" w:hAnsi="Times New Roman" w:cs="Times New Roman"/>
      <w:sz w:val="24"/>
      <w:szCs w:val="20"/>
      <w:lang w:val="en-AU"/>
    </w:rPr>
  </w:style>
  <w:style w:type="character" w:styleId="Marquedecommentaire">
    <w:name w:val="annotation reference"/>
    <w:basedOn w:val="Policepardfaut"/>
    <w:uiPriority w:val="99"/>
    <w:unhideWhenUsed/>
    <w:rsid w:val="006267F5"/>
    <w:rPr>
      <w:sz w:val="18"/>
      <w:szCs w:val="18"/>
    </w:rPr>
  </w:style>
  <w:style w:type="paragraph" w:styleId="Commentaire">
    <w:name w:val="annotation text"/>
    <w:aliases w:val="Char1"/>
    <w:basedOn w:val="Normal"/>
    <w:link w:val="CommentaireCar"/>
    <w:uiPriority w:val="99"/>
    <w:unhideWhenUsed/>
    <w:rsid w:val="006267F5"/>
    <w:pPr>
      <w:spacing w:line="240" w:lineRule="auto"/>
    </w:pPr>
    <w:rPr>
      <w:szCs w:val="24"/>
    </w:rPr>
  </w:style>
  <w:style w:type="character" w:customStyle="1" w:styleId="CommentaireCar">
    <w:name w:val="Commentaire Car"/>
    <w:aliases w:val="Char1 Car"/>
    <w:basedOn w:val="Policepardfaut"/>
    <w:link w:val="Commentaire"/>
    <w:uiPriority w:val="99"/>
    <w:rsid w:val="006267F5"/>
    <w:rPr>
      <w:rFonts w:ascii="Times New Roman" w:eastAsia="Times New Roman" w:hAnsi="Times New Roman" w:cs="Times New Roman"/>
      <w:sz w:val="24"/>
      <w:szCs w:val="24"/>
      <w:lang w:val="en-AU"/>
    </w:rPr>
  </w:style>
  <w:style w:type="paragraph" w:styleId="Objetducommentaire">
    <w:name w:val="annotation subject"/>
    <w:basedOn w:val="Commentaire"/>
    <w:next w:val="Commentaire"/>
    <w:link w:val="ObjetducommentaireCar"/>
    <w:uiPriority w:val="99"/>
    <w:unhideWhenUsed/>
    <w:rsid w:val="006267F5"/>
    <w:rPr>
      <w:b/>
      <w:bCs/>
      <w:sz w:val="20"/>
      <w:szCs w:val="20"/>
    </w:rPr>
  </w:style>
  <w:style w:type="character" w:customStyle="1" w:styleId="ObjetducommentaireCar">
    <w:name w:val="Objet du commentaire Car"/>
    <w:basedOn w:val="CommentaireCar"/>
    <w:link w:val="Objetducommentaire"/>
    <w:uiPriority w:val="99"/>
    <w:rsid w:val="006267F5"/>
    <w:rPr>
      <w:rFonts w:ascii="Times New Roman" w:eastAsia="Times New Roman" w:hAnsi="Times New Roman" w:cs="Times New Roman"/>
      <w:b/>
      <w:bCs/>
      <w:sz w:val="20"/>
      <w:szCs w:val="20"/>
      <w:lang w:val="en-AU"/>
    </w:rPr>
  </w:style>
  <w:style w:type="paragraph" w:customStyle="1" w:styleId="Heading2-A">
    <w:name w:val="Heading 2 - A"/>
    <w:basedOn w:val="Titre2"/>
    <w:next w:val="Normal"/>
    <w:link w:val="Heading2-AChar"/>
    <w:rsid w:val="006267F5"/>
    <w:pPr>
      <w:keepLines/>
      <w:tabs>
        <w:tab w:val="clear" w:pos="737"/>
      </w:tabs>
      <w:spacing w:before="480" w:after="240" w:line="276" w:lineRule="auto"/>
      <w:contextualSpacing w:val="0"/>
      <w:jc w:val="both"/>
    </w:pPr>
    <w:rPr>
      <w:rFonts w:cs="Arial"/>
      <w:bCs/>
      <w:iCs/>
      <w:smallCaps/>
      <w:color w:val="000000" w:themeColor="text1"/>
      <w:sz w:val="24"/>
      <w:szCs w:val="28"/>
      <w:lang w:val="en-GB"/>
    </w:rPr>
  </w:style>
  <w:style w:type="paragraph" w:customStyle="1" w:styleId="Heading3-A">
    <w:name w:val="Heading 3 - A"/>
    <w:basedOn w:val="Titre3"/>
    <w:next w:val="Normal"/>
    <w:rsid w:val="006267F5"/>
    <w:pPr>
      <w:tabs>
        <w:tab w:val="left" w:pos="1080"/>
      </w:tabs>
      <w:spacing w:before="120" w:after="240" w:line="288" w:lineRule="auto"/>
      <w:contextualSpacing w:val="0"/>
    </w:pPr>
    <w:rPr>
      <w:rFonts w:ascii="Times New Roman" w:eastAsia="Times New Roman" w:hAnsi="Times New Roman" w:cs="Arial"/>
      <w:color w:val="000000" w:themeColor="text1"/>
      <w:szCs w:val="26"/>
      <w:lang w:val="en-GB"/>
    </w:rPr>
  </w:style>
  <w:style w:type="character" w:customStyle="1" w:styleId="Titre3Car">
    <w:name w:val="Titre 3 Car"/>
    <w:aliases w:val="Char Car,Char Char Char Car,[1.1] Car,Char Char1.1] Car"/>
    <w:basedOn w:val="Policepardfaut"/>
    <w:link w:val="Titre3"/>
    <w:rsid w:val="006267F5"/>
    <w:rPr>
      <w:rFonts w:asciiTheme="majorHAnsi" w:eastAsiaTheme="majorEastAsia" w:hAnsiTheme="majorHAnsi" w:cstheme="majorBidi"/>
      <w:b/>
      <w:bCs/>
      <w:color w:val="4F81BD" w:themeColor="accent1"/>
      <w:sz w:val="24"/>
      <w:szCs w:val="20"/>
      <w:lang w:val="en-AU"/>
    </w:rPr>
  </w:style>
  <w:style w:type="character" w:customStyle="1" w:styleId="Titre4Car">
    <w:name w:val="Titre 4 Car"/>
    <w:aliases w:val="Char13 Car,Sub-Clause Sub-paragraph Car,[1.1.1] Car, Sub-Clause Sub-paragraph Car, Char13 Car"/>
    <w:basedOn w:val="Policepardfaut"/>
    <w:link w:val="Titre4"/>
    <w:rsid w:val="00B55F08"/>
    <w:rPr>
      <w:rFonts w:ascii="Arial" w:eastAsia="Times New Roman" w:hAnsi="Arial" w:cs="Times New Roman"/>
      <w:b/>
      <w:sz w:val="28"/>
      <w:szCs w:val="20"/>
      <w:lang w:val="en-GB"/>
    </w:rPr>
  </w:style>
  <w:style w:type="character" w:customStyle="1" w:styleId="Titre5Car">
    <w:name w:val="Titre 5 Car"/>
    <w:aliases w:val=" Char12 Car,Char12 Car,[1.1.1.1] Car"/>
    <w:basedOn w:val="Policepardfaut"/>
    <w:link w:val="Titre5"/>
    <w:rsid w:val="00B55F08"/>
    <w:rPr>
      <w:rFonts w:ascii="Arial" w:eastAsia="Times New Roman" w:hAnsi="Arial" w:cs="Times New Roman"/>
      <w:b/>
      <w:i/>
      <w:sz w:val="26"/>
      <w:szCs w:val="20"/>
      <w:lang w:val="en-GB"/>
    </w:rPr>
  </w:style>
  <w:style w:type="character" w:customStyle="1" w:styleId="Titre6Car">
    <w:name w:val="Titre 6 Car"/>
    <w:basedOn w:val="Policepardfaut"/>
    <w:link w:val="Titre6"/>
    <w:rsid w:val="00D535E8"/>
    <w:rPr>
      <w:rFonts w:ascii="Times New Roman Bold" w:eastAsia="Times New Roman" w:hAnsi="Times New Roman Bold" w:cs="Times New Roman"/>
      <w:b/>
      <w:caps/>
      <w:sz w:val="28"/>
      <w:szCs w:val="28"/>
    </w:rPr>
  </w:style>
  <w:style w:type="character" w:customStyle="1" w:styleId="Titre7Car">
    <w:name w:val="Titre 7 Car"/>
    <w:basedOn w:val="Policepardfaut"/>
    <w:link w:val="Titre7"/>
    <w:rsid w:val="004104CC"/>
    <w:rPr>
      <w:rFonts w:ascii="Times New Roman" w:eastAsia="Times New Roman" w:hAnsi="Times New Roman" w:cs="Arial"/>
      <w:b/>
      <w:bCs/>
      <w:caps/>
      <w:color w:val="4F81BD" w:themeColor="accent1"/>
      <w:kern w:val="32"/>
      <w:sz w:val="28"/>
      <w:szCs w:val="32"/>
      <w:lang w:val="en-GB"/>
    </w:rPr>
  </w:style>
  <w:style w:type="character" w:customStyle="1" w:styleId="Titre8Car">
    <w:name w:val="Titre 8 Car"/>
    <w:basedOn w:val="Policepardfaut"/>
    <w:link w:val="Titre8"/>
    <w:rsid w:val="00B55F08"/>
    <w:rPr>
      <w:rFonts w:ascii="Arial" w:eastAsia="Times New Roman" w:hAnsi="Arial" w:cs="Times New Roman"/>
      <w:i/>
      <w:szCs w:val="20"/>
      <w:lang w:val="en-GB"/>
    </w:rPr>
  </w:style>
  <w:style w:type="character" w:customStyle="1" w:styleId="Titre9Car">
    <w:name w:val="Titre 9 Car"/>
    <w:aliases w:val=" Char Car,Char5 Car"/>
    <w:basedOn w:val="Policepardfaut"/>
    <w:link w:val="Titre9"/>
    <w:rsid w:val="00B55F08"/>
    <w:rPr>
      <w:rFonts w:ascii="Arial" w:eastAsia="Times New Roman" w:hAnsi="Arial" w:cs="Times New Roman"/>
      <w:szCs w:val="20"/>
      <w:lang w:val="en-GB"/>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rsid w:val="00B55F08"/>
    <w:pPr>
      <w:overflowPunct w:val="0"/>
      <w:autoSpaceDE w:val="0"/>
      <w:autoSpaceDN w:val="0"/>
      <w:adjustRightInd w:val="0"/>
      <w:spacing w:before="0" w:after="0" w:line="240" w:lineRule="auto"/>
      <w:contextualSpacing w:val="0"/>
      <w:jc w:val="left"/>
      <w:textAlignment w:val="baseline"/>
    </w:pPr>
    <w:rPr>
      <w:rFonts w:ascii="Arial" w:hAnsi="Arial"/>
      <w:sz w:val="18"/>
      <w:lang w:val="en-NZ"/>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basedOn w:val="Policepardfaut"/>
    <w:link w:val="Notedebasdepage"/>
    <w:uiPriority w:val="99"/>
    <w:rsid w:val="00B55F08"/>
    <w:rPr>
      <w:rFonts w:ascii="Arial" w:eastAsia="Times New Roman" w:hAnsi="Arial" w:cs="Times New Roman"/>
      <w:sz w:val="18"/>
      <w:szCs w:val="20"/>
      <w:lang w:val="en-NZ"/>
    </w:rPr>
  </w:style>
  <w:style w:type="paragraph" w:customStyle="1" w:styleId="TemplateVersioning">
    <w:name w:val="Template Versioning"/>
    <w:basedOn w:val="Notedebasdepage"/>
    <w:rsid w:val="00B55F08"/>
    <w:pPr>
      <w:spacing w:before="60" w:after="60"/>
    </w:pPr>
    <w:rPr>
      <w:b/>
      <w:bCs/>
      <w:sz w:val="16"/>
    </w:rPr>
  </w:style>
  <w:style w:type="paragraph" w:customStyle="1" w:styleId="Document1">
    <w:name w:val="Document 1"/>
    <w:next w:val="Document2"/>
    <w:rsid w:val="00B55F08"/>
    <w:pPr>
      <w:overflowPunct w:val="0"/>
      <w:autoSpaceDE w:val="0"/>
      <w:autoSpaceDN w:val="0"/>
      <w:adjustRightInd w:val="0"/>
      <w:spacing w:after="0" w:line="240" w:lineRule="auto"/>
      <w:textAlignment w:val="baseline"/>
    </w:pPr>
    <w:rPr>
      <w:rFonts w:ascii="Arial" w:eastAsia="Times New Roman" w:hAnsi="Arial" w:cs="Times New Roman"/>
      <w:b/>
      <w:sz w:val="28"/>
      <w:szCs w:val="20"/>
      <w:lang w:val="en-AU"/>
    </w:rPr>
  </w:style>
  <w:style w:type="paragraph" w:customStyle="1" w:styleId="Document2">
    <w:name w:val="Document 2"/>
    <w:basedOn w:val="Normal"/>
    <w:next w:val="Normal"/>
    <w:rsid w:val="00B55F08"/>
    <w:pPr>
      <w:tabs>
        <w:tab w:val="left" w:pos="4253"/>
      </w:tabs>
      <w:overflowPunct w:val="0"/>
      <w:autoSpaceDE w:val="0"/>
      <w:autoSpaceDN w:val="0"/>
      <w:adjustRightInd w:val="0"/>
      <w:spacing w:before="0" w:after="60" w:line="240" w:lineRule="auto"/>
      <w:contextualSpacing w:val="0"/>
      <w:jc w:val="left"/>
      <w:textAlignment w:val="baseline"/>
    </w:pPr>
    <w:rPr>
      <w:rFonts w:ascii="Arial" w:hAnsi="Arial"/>
      <w:b/>
      <w:sz w:val="22"/>
      <w:lang w:val="en-NZ"/>
    </w:rPr>
  </w:style>
  <w:style w:type="character" w:styleId="Numrodepage">
    <w:name w:val="page number"/>
    <w:basedOn w:val="Policepardfaut"/>
    <w:rsid w:val="00B55F08"/>
  </w:style>
  <w:style w:type="character" w:styleId="Appelnotedebasdep">
    <w:name w:val="footnote reference"/>
    <w:uiPriority w:val="99"/>
    <w:rsid w:val="00B55F08"/>
    <w:rPr>
      <w:vertAlign w:val="superscript"/>
    </w:rPr>
  </w:style>
  <w:style w:type="paragraph" w:customStyle="1" w:styleId="BBeforeLI">
    <w:name w:val="B Before LI"/>
    <w:basedOn w:val="Normal"/>
    <w:next w:val="Normal"/>
    <w:rsid w:val="00B55F08"/>
    <w:pPr>
      <w:keepNext/>
      <w:spacing w:before="0" w:after="40" w:line="240" w:lineRule="auto"/>
      <w:contextualSpacing w:val="0"/>
      <w:jc w:val="left"/>
    </w:pPr>
    <w:rPr>
      <w:rFonts w:ascii="Berkeley" w:hAnsi="Berkeley"/>
      <w:sz w:val="22"/>
      <w:lang w:val="en-NZ"/>
    </w:rPr>
  </w:style>
  <w:style w:type="paragraph" w:customStyle="1" w:styleId="InstructionText">
    <w:name w:val="Instruction Text"/>
    <w:basedOn w:val="Normal"/>
    <w:next w:val="Normal"/>
    <w:rsid w:val="00B55F08"/>
    <w:pPr>
      <w:tabs>
        <w:tab w:val="left" w:pos="4253"/>
      </w:tabs>
      <w:spacing w:before="0" w:after="60" w:line="240" w:lineRule="auto"/>
      <w:ind w:left="567" w:right="567"/>
      <w:contextualSpacing w:val="0"/>
      <w:jc w:val="left"/>
    </w:pPr>
    <w:rPr>
      <w:i/>
      <w:iCs/>
      <w:color w:val="0000FF"/>
      <w:sz w:val="22"/>
      <w:szCs w:val="24"/>
      <w:lang w:val="en-NZ"/>
    </w:rPr>
  </w:style>
  <w:style w:type="paragraph" w:customStyle="1" w:styleId="TableHeader">
    <w:name w:val="Table Header"/>
    <w:basedOn w:val="Normal"/>
    <w:rsid w:val="00B55F08"/>
    <w:pPr>
      <w:overflowPunct w:val="0"/>
      <w:autoSpaceDE w:val="0"/>
      <w:autoSpaceDN w:val="0"/>
      <w:adjustRightInd w:val="0"/>
      <w:spacing w:before="0" w:after="0" w:line="240" w:lineRule="auto"/>
      <w:contextualSpacing w:val="0"/>
      <w:jc w:val="left"/>
      <w:textAlignment w:val="baseline"/>
    </w:pPr>
    <w:rPr>
      <w:rFonts w:ascii="Arial Narrow" w:hAnsi="Arial Narrow"/>
      <w:b/>
      <w:sz w:val="20"/>
      <w:lang w:val="en-GB"/>
    </w:rPr>
  </w:style>
  <w:style w:type="paragraph" w:customStyle="1" w:styleId="msolistparagraph0">
    <w:name w:val="msolistparagraph"/>
    <w:basedOn w:val="Normal"/>
    <w:rsid w:val="00B55F08"/>
    <w:pPr>
      <w:spacing w:before="0" w:after="0" w:line="240" w:lineRule="auto"/>
      <w:ind w:left="720"/>
      <w:contextualSpacing w:val="0"/>
      <w:jc w:val="left"/>
    </w:pPr>
    <w:rPr>
      <w:rFonts w:ascii="Arial" w:eastAsia="Calibri" w:hAnsi="Arial" w:cs="Arial"/>
      <w:color w:val="000000"/>
      <w:sz w:val="20"/>
      <w:lang w:val="en-GB" w:eastAsia="en-GB"/>
    </w:rPr>
  </w:style>
  <w:style w:type="paragraph" w:styleId="TM1">
    <w:name w:val="toc 1"/>
    <w:basedOn w:val="Normal"/>
    <w:next w:val="Normal"/>
    <w:autoRedefine/>
    <w:uiPriority w:val="39"/>
    <w:qFormat/>
    <w:rsid w:val="00C30C62"/>
    <w:pPr>
      <w:tabs>
        <w:tab w:val="left" w:pos="360"/>
        <w:tab w:val="left" w:pos="1260"/>
        <w:tab w:val="right" w:leader="dot" w:pos="9350"/>
      </w:tabs>
      <w:spacing w:after="60" w:line="240" w:lineRule="auto"/>
      <w:ind w:left="346" w:hanging="288"/>
      <w:contextualSpacing w:val="0"/>
      <w:jc w:val="left"/>
    </w:pPr>
    <w:rPr>
      <w:rFonts w:ascii="Arial" w:hAnsi="Arial" w:cs="Times New Roman Mäori"/>
      <w:sz w:val="22"/>
      <w:szCs w:val="24"/>
    </w:rPr>
  </w:style>
  <w:style w:type="paragraph" w:styleId="TM2">
    <w:name w:val="toc 2"/>
    <w:basedOn w:val="Normal"/>
    <w:next w:val="Normal"/>
    <w:autoRedefine/>
    <w:uiPriority w:val="39"/>
    <w:qFormat/>
    <w:rsid w:val="00EA632A"/>
    <w:pPr>
      <w:tabs>
        <w:tab w:val="right" w:leader="dot" w:pos="9350"/>
      </w:tabs>
      <w:spacing w:before="0" w:after="0" w:line="240" w:lineRule="auto"/>
      <w:ind w:left="220"/>
      <w:contextualSpacing w:val="0"/>
      <w:jc w:val="left"/>
    </w:pPr>
    <w:rPr>
      <w:rFonts w:ascii="Arial" w:hAnsi="Arial" w:cs="Times New Roman Mäori"/>
      <w:sz w:val="22"/>
      <w:szCs w:val="24"/>
    </w:rPr>
  </w:style>
  <w:style w:type="paragraph" w:customStyle="1" w:styleId="ListBulletItalic">
    <w:name w:val="List Bullet Italic"/>
    <w:basedOn w:val="Listepuces"/>
    <w:rsid w:val="00B55F08"/>
    <w:pPr>
      <w:spacing w:after="120"/>
      <w:jc w:val="both"/>
    </w:pPr>
    <w:rPr>
      <w:rFonts w:ascii="Times New Roman" w:hAnsi="Times New Roman" w:cs="Times New Roman"/>
      <w:i/>
      <w:sz w:val="24"/>
      <w:szCs w:val="20"/>
      <w:lang w:val="en-GB" w:eastAsia="en-AU"/>
    </w:rPr>
  </w:style>
  <w:style w:type="paragraph" w:styleId="Listepuces">
    <w:name w:val="List Bullet"/>
    <w:basedOn w:val="Normal"/>
    <w:link w:val="ListepucesCar"/>
    <w:rsid w:val="00B55F08"/>
    <w:pPr>
      <w:tabs>
        <w:tab w:val="num" w:pos="1134"/>
      </w:tabs>
      <w:spacing w:before="0" w:after="0" w:line="240" w:lineRule="auto"/>
      <w:ind w:left="1134" w:hanging="454"/>
      <w:contextualSpacing w:val="0"/>
      <w:jc w:val="left"/>
    </w:pPr>
    <w:rPr>
      <w:rFonts w:ascii="Arial" w:hAnsi="Arial" w:cs="Times New Roman Mäori"/>
      <w:sz w:val="22"/>
      <w:szCs w:val="24"/>
    </w:rPr>
  </w:style>
  <w:style w:type="paragraph" w:styleId="Corpsdetexte2">
    <w:name w:val="Body Text 2"/>
    <w:aliases w:val=" Char1"/>
    <w:basedOn w:val="Normal"/>
    <w:link w:val="Corpsdetexte2Car"/>
    <w:uiPriority w:val="99"/>
    <w:rsid w:val="00B55F08"/>
    <w:pPr>
      <w:spacing w:before="0" w:line="480" w:lineRule="auto"/>
      <w:contextualSpacing w:val="0"/>
      <w:jc w:val="left"/>
    </w:pPr>
    <w:rPr>
      <w:rFonts w:ascii="Arial" w:hAnsi="Arial" w:cs="Times New Roman Mäori"/>
      <w:sz w:val="22"/>
      <w:szCs w:val="24"/>
    </w:rPr>
  </w:style>
  <w:style w:type="character" w:customStyle="1" w:styleId="Corpsdetexte2Car">
    <w:name w:val="Corps de texte 2 Car"/>
    <w:aliases w:val=" Char1 Car"/>
    <w:basedOn w:val="Policepardfaut"/>
    <w:link w:val="Corpsdetexte2"/>
    <w:uiPriority w:val="99"/>
    <w:rsid w:val="00B55F08"/>
    <w:rPr>
      <w:rFonts w:ascii="Arial" w:eastAsia="Times New Roman" w:hAnsi="Arial" w:cs="Times New Roman Mäori"/>
      <w:szCs w:val="24"/>
      <w:lang w:val="en-AU"/>
    </w:rPr>
  </w:style>
  <w:style w:type="paragraph" w:customStyle="1" w:styleId="Bullet2">
    <w:name w:val="Bullet2"/>
    <w:basedOn w:val="Bullet"/>
    <w:rsid w:val="00B55F08"/>
    <w:pPr>
      <w:tabs>
        <w:tab w:val="clear" w:pos="360"/>
        <w:tab w:val="left" w:pos="1491"/>
      </w:tabs>
      <w:spacing w:before="0" w:after="120"/>
      <w:ind w:left="1491" w:hanging="357"/>
      <w:contextualSpacing w:val="0"/>
      <w:jc w:val="left"/>
    </w:pPr>
    <w:rPr>
      <w:rFonts w:ascii="Arial" w:hAnsi="Arial" w:cs="Times New Roman Mäori"/>
      <w:sz w:val="22"/>
      <w:szCs w:val="24"/>
    </w:rPr>
  </w:style>
  <w:style w:type="paragraph" w:customStyle="1" w:styleId="Bullet3">
    <w:name w:val="Bullet3"/>
    <w:basedOn w:val="Bullet2"/>
    <w:rsid w:val="00B55F08"/>
    <w:pPr>
      <w:tabs>
        <w:tab w:val="num" w:pos="2007"/>
      </w:tabs>
    </w:pPr>
    <w:rPr>
      <w:lang w:val="en-GB"/>
    </w:rPr>
  </w:style>
  <w:style w:type="paragraph" w:styleId="Listenumros">
    <w:name w:val="List Number"/>
    <w:basedOn w:val="Normal"/>
    <w:rsid w:val="00B55F08"/>
    <w:pPr>
      <w:numPr>
        <w:numId w:val="3"/>
      </w:numPr>
      <w:spacing w:before="0" w:line="240" w:lineRule="auto"/>
      <w:contextualSpacing w:val="0"/>
      <w:jc w:val="left"/>
    </w:pPr>
    <w:rPr>
      <w:rFonts w:ascii="Arial" w:hAnsi="Arial" w:cs="Times New Roman Mäori"/>
      <w:sz w:val="22"/>
      <w:szCs w:val="24"/>
    </w:rPr>
  </w:style>
  <w:style w:type="paragraph" w:styleId="NormalWeb">
    <w:name w:val="Normal (Web)"/>
    <w:basedOn w:val="Normal"/>
    <w:uiPriority w:val="99"/>
    <w:rsid w:val="00B55F08"/>
    <w:pPr>
      <w:spacing w:before="0" w:after="240" w:line="240" w:lineRule="auto"/>
      <w:contextualSpacing w:val="0"/>
      <w:jc w:val="left"/>
    </w:pPr>
    <w:rPr>
      <w:szCs w:val="24"/>
      <w:lang w:val="en-GB" w:eastAsia="en-GB"/>
    </w:rPr>
  </w:style>
  <w:style w:type="paragraph" w:customStyle="1" w:styleId="Default">
    <w:name w:val="Default"/>
    <w:rsid w:val="00B55F08"/>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customStyle="1" w:styleId="xl37">
    <w:name w:val="xl37"/>
    <w:basedOn w:val="Normal"/>
    <w:rsid w:val="00B55F08"/>
    <w:pPr>
      <w:pBdr>
        <w:left w:val="single" w:sz="8" w:space="0" w:color="auto"/>
        <w:bottom w:val="single" w:sz="8" w:space="0" w:color="auto"/>
      </w:pBdr>
      <w:spacing w:before="100" w:beforeAutospacing="1" w:after="100" w:afterAutospacing="1" w:line="240" w:lineRule="auto"/>
      <w:contextualSpacing w:val="0"/>
      <w:jc w:val="left"/>
    </w:pPr>
    <w:rPr>
      <w:rFonts w:ascii="Arial Unicode MS" w:eastAsia="Arial Unicode MS" w:hAnsi="Arial Unicode MS" w:cs="Arial Unicode MS"/>
      <w:szCs w:val="24"/>
    </w:rPr>
  </w:style>
  <w:style w:type="paragraph" w:customStyle="1" w:styleId="Bullets">
    <w:name w:val="Bullets"/>
    <w:basedOn w:val="Normal"/>
    <w:rsid w:val="00B55F08"/>
    <w:pPr>
      <w:spacing w:before="0" w:after="0" w:line="240" w:lineRule="auto"/>
      <w:contextualSpacing w:val="0"/>
      <w:jc w:val="left"/>
    </w:pPr>
    <w:rPr>
      <w:rFonts w:ascii="Arial" w:hAnsi="Arial"/>
      <w:szCs w:val="24"/>
      <w:lang w:val="en-NZ"/>
    </w:rPr>
  </w:style>
  <w:style w:type="paragraph" w:customStyle="1" w:styleId="Pa11">
    <w:name w:val="Pa11"/>
    <w:basedOn w:val="Normal"/>
    <w:next w:val="Normal"/>
    <w:rsid w:val="00B55F08"/>
    <w:pPr>
      <w:autoSpaceDE w:val="0"/>
      <w:autoSpaceDN w:val="0"/>
      <w:adjustRightInd w:val="0"/>
      <w:spacing w:before="0" w:after="0" w:line="221" w:lineRule="atLeast"/>
      <w:contextualSpacing w:val="0"/>
      <w:jc w:val="left"/>
    </w:pPr>
    <w:rPr>
      <w:rFonts w:ascii="MetaBold-Roman" w:hAnsi="MetaBold-Roman"/>
      <w:szCs w:val="24"/>
      <w:lang w:val="en-GB" w:eastAsia="en-GB"/>
    </w:rPr>
  </w:style>
  <w:style w:type="paragraph" w:customStyle="1" w:styleId="Pa14">
    <w:name w:val="Pa14"/>
    <w:basedOn w:val="Normal"/>
    <w:next w:val="Normal"/>
    <w:rsid w:val="00B55F08"/>
    <w:pPr>
      <w:autoSpaceDE w:val="0"/>
      <w:autoSpaceDN w:val="0"/>
      <w:adjustRightInd w:val="0"/>
      <w:spacing w:before="0" w:after="0" w:line="221" w:lineRule="atLeast"/>
      <w:contextualSpacing w:val="0"/>
      <w:jc w:val="left"/>
    </w:pPr>
    <w:rPr>
      <w:rFonts w:ascii="MetaBold-Roman" w:hAnsi="MetaBold-Roman"/>
      <w:szCs w:val="24"/>
      <w:lang w:val="en-GB" w:eastAsia="en-GB"/>
    </w:rPr>
  </w:style>
  <w:style w:type="character" w:styleId="Lienhypertextesuivivisit">
    <w:name w:val="FollowedHyperlink"/>
    <w:rsid w:val="00B55F08"/>
    <w:rPr>
      <w:color w:val="800080"/>
      <w:u w:val="single"/>
    </w:rPr>
  </w:style>
  <w:style w:type="character" w:styleId="lev">
    <w:name w:val="Strong"/>
    <w:qFormat/>
    <w:rsid w:val="00B55F08"/>
    <w:rPr>
      <w:b/>
      <w:bCs/>
    </w:rPr>
  </w:style>
  <w:style w:type="character" w:customStyle="1" w:styleId="mw-headline">
    <w:name w:val="mw-headline"/>
    <w:basedOn w:val="Policepardfaut"/>
    <w:rsid w:val="00B55F08"/>
  </w:style>
  <w:style w:type="character" w:customStyle="1" w:styleId="body1">
    <w:name w:val="body1"/>
    <w:rsid w:val="00B55F08"/>
    <w:rPr>
      <w:color w:val="6E6E6E"/>
      <w:sz w:val="18"/>
      <w:szCs w:val="18"/>
    </w:rPr>
  </w:style>
  <w:style w:type="paragraph" w:customStyle="1" w:styleId="RecsL3">
    <w:name w:val="RecsL3"/>
    <w:basedOn w:val="RecsL2"/>
    <w:rsid w:val="00B55F08"/>
    <w:pPr>
      <w:numPr>
        <w:ilvl w:val="2"/>
      </w:numPr>
      <w:tabs>
        <w:tab w:val="clear" w:pos="0"/>
      </w:tabs>
      <w:ind w:left="2160" w:hanging="720"/>
    </w:pPr>
  </w:style>
  <w:style w:type="paragraph" w:customStyle="1" w:styleId="H3">
    <w:name w:val="H3"/>
    <w:basedOn w:val="Normal"/>
    <w:next w:val="Titre1"/>
    <w:rsid w:val="00B55F08"/>
    <w:pPr>
      <w:keepNext/>
      <w:widowControl w:val="0"/>
      <w:tabs>
        <w:tab w:val="left" w:pos="567"/>
        <w:tab w:val="left" w:pos="1134"/>
      </w:tabs>
      <w:spacing w:before="60" w:after="240"/>
      <w:contextualSpacing w:val="0"/>
    </w:pPr>
    <w:rPr>
      <w:rFonts w:ascii="Arial" w:hAnsi="Arial"/>
      <w:i/>
      <w:snapToGrid w:val="0"/>
      <w:sz w:val="20"/>
      <w:lang w:val="en-NZ"/>
    </w:rPr>
  </w:style>
  <w:style w:type="paragraph" w:customStyle="1" w:styleId="RecsL1">
    <w:name w:val="RecsL1"/>
    <w:basedOn w:val="Normal"/>
    <w:rsid w:val="00B55F08"/>
    <w:pPr>
      <w:widowControl w:val="0"/>
      <w:numPr>
        <w:numId w:val="4"/>
      </w:numPr>
      <w:tabs>
        <w:tab w:val="clear" w:pos="0"/>
        <w:tab w:val="left" w:pos="567"/>
        <w:tab w:val="left" w:pos="1134"/>
      </w:tabs>
      <w:spacing w:before="60" w:after="240"/>
      <w:contextualSpacing w:val="0"/>
    </w:pPr>
    <w:rPr>
      <w:rFonts w:ascii="Arial" w:hAnsi="Arial"/>
      <w:snapToGrid w:val="0"/>
      <w:sz w:val="20"/>
      <w:lang w:val="en-NZ"/>
    </w:rPr>
  </w:style>
  <w:style w:type="paragraph" w:customStyle="1" w:styleId="RecsL2">
    <w:name w:val="RecsL2"/>
    <w:basedOn w:val="Normal"/>
    <w:rsid w:val="00B55F08"/>
    <w:pPr>
      <w:widowControl w:val="0"/>
      <w:numPr>
        <w:ilvl w:val="1"/>
        <w:numId w:val="4"/>
      </w:numPr>
      <w:tabs>
        <w:tab w:val="clear" w:pos="720"/>
        <w:tab w:val="left" w:pos="567"/>
        <w:tab w:val="left" w:pos="1134"/>
      </w:tabs>
      <w:spacing w:before="60" w:after="240"/>
      <w:contextualSpacing w:val="0"/>
    </w:pPr>
    <w:rPr>
      <w:rFonts w:ascii="Arial" w:hAnsi="Arial"/>
      <w:snapToGrid w:val="0"/>
      <w:sz w:val="20"/>
      <w:lang w:val="en-NZ"/>
    </w:rPr>
  </w:style>
  <w:style w:type="paragraph" w:customStyle="1" w:styleId="RecsL4">
    <w:name w:val="RecsL4"/>
    <w:basedOn w:val="RecsL3"/>
    <w:rsid w:val="00B55F08"/>
    <w:pPr>
      <w:numPr>
        <w:ilvl w:val="3"/>
      </w:numPr>
      <w:tabs>
        <w:tab w:val="clear" w:pos="0"/>
      </w:tabs>
      <w:ind w:left="2880" w:hanging="720"/>
    </w:pPr>
  </w:style>
  <w:style w:type="character" w:styleId="Accentuation">
    <w:name w:val="Emphasis"/>
    <w:uiPriority w:val="20"/>
    <w:qFormat/>
    <w:rsid w:val="00B55F08"/>
    <w:rPr>
      <w:i/>
      <w:iCs/>
    </w:rPr>
  </w:style>
  <w:style w:type="paragraph" w:customStyle="1" w:styleId="MOTLevel1NumberedParagraph">
    <w:name w:val="MOT Level 1 Numbered Paragraph"/>
    <w:rsid w:val="00B55F08"/>
    <w:pPr>
      <w:numPr>
        <w:numId w:val="5"/>
      </w:numPr>
      <w:spacing w:after="220" w:line="240" w:lineRule="auto"/>
      <w:jc w:val="both"/>
    </w:pPr>
    <w:rPr>
      <w:rFonts w:ascii="Arial" w:eastAsia="Calibri" w:hAnsi="Arial" w:cs="Times New Roman"/>
      <w:lang w:val="en-NZ"/>
    </w:rPr>
  </w:style>
  <w:style w:type="paragraph" w:customStyle="1" w:styleId="note">
    <w:name w:val="note"/>
    <w:basedOn w:val="Normal"/>
    <w:rsid w:val="00B55F08"/>
    <w:pPr>
      <w:spacing w:before="100" w:beforeAutospacing="1" w:after="100" w:afterAutospacing="1" w:line="240" w:lineRule="auto"/>
      <w:contextualSpacing w:val="0"/>
      <w:jc w:val="left"/>
    </w:pPr>
    <w:rPr>
      <w:szCs w:val="24"/>
      <w:lang w:val="en-NZ" w:eastAsia="en-NZ"/>
    </w:rPr>
  </w:style>
  <w:style w:type="paragraph" w:customStyle="1" w:styleId="SSCNumbering1">
    <w:name w:val="SSC Numbering 1"/>
    <w:basedOn w:val="Normal"/>
    <w:rsid w:val="00B55F08"/>
    <w:pPr>
      <w:numPr>
        <w:numId w:val="6"/>
      </w:numPr>
      <w:spacing w:before="0" w:line="240" w:lineRule="auto"/>
      <w:contextualSpacing w:val="0"/>
    </w:pPr>
    <w:rPr>
      <w:lang w:val="en-NZ"/>
    </w:rPr>
  </w:style>
  <w:style w:type="paragraph" w:customStyle="1" w:styleId="SSCNumbering2">
    <w:name w:val="SSC Numbering 2"/>
    <w:basedOn w:val="SSCNumbering1"/>
    <w:rsid w:val="00B55F08"/>
    <w:pPr>
      <w:numPr>
        <w:ilvl w:val="1"/>
      </w:numPr>
    </w:pPr>
  </w:style>
  <w:style w:type="paragraph" w:customStyle="1" w:styleId="SSCNumbering3">
    <w:name w:val="SSC Numbering 3"/>
    <w:basedOn w:val="SSCNumbering1"/>
    <w:rsid w:val="00B55F08"/>
    <w:pPr>
      <w:numPr>
        <w:ilvl w:val="2"/>
      </w:numPr>
    </w:pPr>
  </w:style>
  <w:style w:type="paragraph" w:styleId="Retraitcorpsdetexte">
    <w:name w:val="Body Text Indent"/>
    <w:basedOn w:val="Normal"/>
    <w:link w:val="RetraitcorpsdetexteCar"/>
    <w:rsid w:val="00B55F08"/>
    <w:pPr>
      <w:spacing w:before="0" w:line="240" w:lineRule="auto"/>
      <w:ind w:left="283"/>
      <w:contextualSpacing w:val="0"/>
      <w:jc w:val="left"/>
    </w:pPr>
    <w:rPr>
      <w:rFonts w:ascii="Arial" w:hAnsi="Arial" w:cs="Times New Roman Mäori"/>
      <w:sz w:val="22"/>
      <w:szCs w:val="24"/>
    </w:rPr>
  </w:style>
  <w:style w:type="character" w:customStyle="1" w:styleId="RetraitcorpsdetexteCar">
    <w:name w:val="Retrait corps de texte Car"/>
    <w:basedOn w:val="Policepardfaut"/>
    <w:link w:val="Retraitcorpsdetexte"/>
    <w:rsid w:val="00B55F08"/>
    <w:rPr>
      <w:rFonts w:ascii="Arial" w:eastAsia="Times New Roman" w:hAnsi="Arial" w:cs="Times New Roman Mäori"/>
      <w:szCs w:val="24"/>
      <w:lang w:val="en-AU"/>
    </w:rPr>
  </w:style>
  <w:style w:type="paragraph" w:styleId="Retraitcorpsdetexte2">
    <w:name w:val="Body Text Indent 2"/>
    <w:aliases w:val=" Char3,Char3"/>
    <w:basedOn w:val="Normal"/>
    <w:link w:val="Retraitcorpsdetexte2Car"/>
    <w:rsid w:val="00B55F08"/>
    <w:pPr>
      <w:spacing w:before="0" w:line="480" w:lineRule="auto"/>
      <w:ind w:left="283"/>
      <w:contextualSpacing w:val="0"/>
      <w:jc w:val="left"/>
    </w:pPr>
    <w:rPr>
      <w:rFonts w:ascii="Arial" w:hAnsi="Arial" w:cs="Times New Roman Mäori"/>
      <w:sz w:val="22"/>
      <w:szCs w:val="24"/>
    </w:rPr>
  </w:style>
  <w:style w:type="character" w:customStyle="1" w:styleId="Retraitcorpsdetexte2Car">
    <w:name w:val="Retrait corps de texte 2 Car"/>
    <w:aliases w:val=" Char3 Car,Char3 Car"/>
    <w:basedOn w:val="Policepardfaut"/>
    <w:link w:val="Retraitcorpsdetexte2"/>
    <w:rsid w:val="00B55F08"/>
    <w:rPr>
      <w:rFonts w:ascii="Arial" w:eastAsia="Times New Roman" w:hAnsi="Arial" w:cs="Times New Roman Mäori"/>
      <w:szCs w:val="24"/>
      <w:lang w:val="en-AU"/>
    </w:rPr>
  </w:style>
  <w:style w:type="paragraph" w:customStyle="1" w:styleId="AgencyStdParagraph">
    <w:name w:val="Agency Std Paragraph"/>
    <w:autoRedefine/>
    <w:rsid w:val="00B55F08"/>
    <w:pPr>
      <w:spacing w:after="0" w:line="240" w:lineRule="auto"/>
      <w:jc w:val="both"/>
    </w:pPr>
    <w:rPr>
      <w:rFonts w:ascii="Times New Roman" w:eastAsia="Times New Roman" w:hAnsi="Times New Roman" w:cs="Times New Roman"/>
      <w:sz w:val="24"/>
      <w:szCs w:val="20"/>
      <w:lang w:val="en-GB" w:eastAsia="en-GB"/>
    </w:rPr>
  </w:style>
  <w:style w:type="paragraph" w:customStyle="1" w:styleId="AgencySubHeadings">
    <w:name w:val="Agency Sub Headings"/>
    <w:autoRedefine/>
    <w:rsid w:val="00B55F08"/>
    <w:pPr>
      <w:spacing w:after="0" w:line="240" w:lineRule="auto"/>
      <w:jc w:val="both"/>
    </w:pPr>
    <w:rPr>
      <w:rFonts w:ascii="Arial" w:eastAsia="Times New Roman" w:hAnsi="Arial" w:cs="Times New Roman"/>
      <w:b/>
      <w:sz w:val="20"/>
      <w:szCs w:val="20"/>
      <w:lang w:val="en-GB" w:eastAsia="en-GB"/>
    </w:rPr>
  </w:style>
  <w:style w:type="character" w:customStyle="1" w:styleId="NormalcentrCar">
    <w:name w:val="Normal centré Car"/>
    <w:link w:val="Normalcentr"/>
    <w:rsid w:val="00B55F08"/>
    <w:rPr>
      <w:rFonts w:ascii="Times New Roman" w:eastAsia="Times" w:hAnsi="Times New Roman" w:cs="Times New Roman"/>
      <w:sz w:val="16"/>
      <w:szCs w:val="20"/>
    </w:rPr>
  </w:style>
  <w:style w:type="paragraph" w:customStyle="1" w:styleId="Temp1Hd1">
    <w:name w:val="Temp1 Hd 1"/>
    <w:basedOn w:val="Normalcentr"/>
    <w:rsid w:val="00B55F08"/>
    <w:pPr>
      <w:widowControl w:val="0"/>
      <w:numPr>
        <w:numId w:val="7"/>
      </w:numPr>
      <w:tabs>
        <w:tab w:val="clear" w:pos="720"/>
        <w:tab w:val="clear" w:pos="900"/>
        <w:tab w:val="num" w:pos="360"/>
      </w:tabs>
      <w:spacing w:before="60" w:after="60"/>
      <w:ind w:left="360" w:right="0"/>
      <w:contextualSpacing w:val="0"/>
      <w:jc w:val="left"/>
    </w:pPr>
    <w:rPr>
      <w:rFonts w:ascii="Arial" w:eastAsia="Times New Roman" w:hAnsi="Arial" w:cs="Arial"/>
      <w:b/>
      <w:sz w:val="22"/>
      <w:szCs w:val="22"/>
    </w:rPr>
  </w:style>
  <w:style w:type="paragraph" w:styleId="TM3">
    <w:name w:val="toc 3"/>
    <w:basedOn w:val="Normal"/>
    <w:next w:val="Normal"/>
    <w:autoRedefine/>
    <w:uiPriority w:val="39"/>
    <w:qFormat/>
    <w:rsid w:val="00F00D96"/>
    <w:pPr>
      <w:tabs>
        <w:tab w:val="right" w:leader="dot" w:pos="9350"/>
      </w:tabs>
      <w:spacing w:before="0" w:after="0" w:line="240" w:lineRule="auto"/>
      <w:ind w:left="446"/>
      <w:contextualSpacing w:val="0"/>
      <w:jc w:val="left"/>
    </w:pPr>
    <w:rPr>
      <w:rFonts w:ascii="Arial" w:hAnsi="Arial" w:cs="Times New Roman Mäori"/>
      <w:sz w:val="22"/>
      <w:szCs w:val="24"/>
    </w:rPr>
  </w:style>
  <w:style w:type="character" w:customStyle="1" w:styleId="GPBGTTH2Char">
    <w:name w:val="GPB GTT H2 Char"/>
    <w:link w:val="GPBGTTH2"/>
    <w:locked/>
    <w:rsid w:val="00B55F08"/>
    <w:rPr>
      <w:rFonts w:ascii="Arial" w:eastAsia="Cambria" w:hAnsi="Arial" w:cs="Arial"/>
      <w:b/>
      <w:color w:val="204D84"/>
      <w:sz w:val="24"/>
      <w:szCs w:val="32"/>
      <w:lang w:val="en-GB"/>
    </w:rPr>
  </w:style>
  <w:style w:type="paragraph" w:customStyle="1" w:styleId="GPBGTTH2">
    <w:name w:val="GPB GTT H2"/>
    <w:basedOn w:val="Normal"/>
    <w:link w:val="GPBGTTH2Char"/>
    <w:qFormat/>
    <w:rsid w:val="00B55F08"/>
    <w:pPr>
      <w:spacing w:line="240" w:lineRule="auto"/>
      <w:contextualSpacing w:val="0"/>
      <w:jc w:val="left"/>
    </w:pPr>
    <w:rPr>
      <w:rFonts w:ascii="Arial" w:eastAsia="Cambria" w:hAnsi="Arial" w:cs="Arial"/>
      <w:b/>
      <w:color w:val="204D84"/>
      <w:szCs w:val="32"/>
      <w:lang w:val="en-GB"/>
    </w:rPr>
  </w:style>
  <w:style w:type="paragraph" w:styleId="Corpsdetexte3">
    <w:name w:val="Body Text 3"/>
    <w:basedOn w:val="Normal"/>
    <w:link w:val="Corpsdetexte3Car"/>
    <w:rsid w:val="00C811D2"/>
    <w:pPr>
      <w:tabs>
        <w:tab w:val="left" w:pos="360"/>
        <w:tab w:val="left" w:pos="9090"/>
        <w:tab w:val="right" w:pos="9142"/>
      </w:tabs>
      <w:overflowPunct w:val="0"/>
      <w:autoSpaceDE w:val="0"/>
      <w:autoSpaceDN w:val="0"/>
      <w:adjustRightInd w:val="0"/>
      <w:spacing w:before="0" w:after="0" w:line="240" w:lineRule="auto"/>
      <w:ind w:right="-4"/>
      <w:contextualSpacing w:val="0"/>
      <w:textAlignment w:val="baseline"/>
    </w:pPr>
    <w:rPr>
      <w:sz w:val="20"/>
      <w:lang w:val="en-GB"/>
    </w:rPr>
  </w:style>
  <w:style w:type="character" w:customStyle="1" w:styleId="Corpsdetexte3Car">
    <w:name w:val="Corps de texte 3 Car"/>
    <w:basedOn w:val="Policepardfaut"/>
    <w:link w:val="Corpsdetexte3"/>
    <w:rsid w:val="00C811D2"/>
    <w:rPr>
      <w:rFonts w:ascii="Times New Roman" w:eastAsia="Times New Roman" w:hAnsi="Times New Roman" w:cs="Times New Roman"/>
      <w:sz w:val="20"/>
      <w:szCs w:val="20"/>
      <w:lang w:val="en-GB"/>
    </w:rPr>
  </w:style>
  <w:style w:type="paragraph" w:customStyle="1" w:styleId="BodyTextMultiline">
    <w:name w:val="Body Text Multiline"/>
    <w:basedOn w:val="Corpsdetexte"/>
    <w:uiPriority w:val="99"/>
    <w:rsid w:val="00C811D2"/>
    <w:pPr>
      <w:numPr>
        <w:numId w:val="8"/>
      </w:numPr>
      <w:tabs>
        <w:tab w:val="clear" w:pos="459"/>
        <w:tab w:val="num" w:pos="397"/>
      </w:tabs>
      <w:spacing w:before="0" w:after="170" w:line="280" w:lineRule="atLeast"/>
      <w:ind w:left="792" w:hanging="792"/>
      <w:contextualSpacing w:val="0"/>
    </w:pPr>
    <w:rPr>
      <w:color w:val="000000"/>
      <w:lang w:val="en-GB"/>
    </w:rPr>
  </w:style>
  <w:style w:type="paragraph" w:styleId="En-ttedetabledesmatires">
    <w:name w:val="TOC Heading"/>
    <w:basedOn w:val="Titre1"/>
    <w:next w:val="Normal"/>
    <w:uiPriority w:val="39"/>
    <w:unhideWhenUsed/>
    <w:qFormat/>
    <w:rsid w:val="00C811D2"/>
    <w:pPr>
      <w:keepNext/>
      <w:keepLines/>
      <w:numPr>
        <w:numId w:val="2"/>
      </w:numPr>
      <w:spacing w:before="480" w:after="0"/>
      <w:ind w:left="810"/>
      <w:outlineLvl w:val="9"/>
    </w:pPr>
    <w:rPr>
      <w:rFonts w:asciiTheme="majorHAnsi" w:eastAsiaTheme="majorEastAsia" w:hAnsiTheme="majorHAnsi" w:cstheme="majorBidi"/>
      <w:bCs/>
      <w:color w:val="365F91" w:themeColor="accent1" w:themeShade="BF"/>
      <w:sz w:val="28"/>
      <w:szCs w:val="28"/>
    </w:rPr>
  </w:style>
  <w:style w:type="character" w:customStyle="1" w:styleId="BalloonTextChar15">
    <w:name w:val="Balloon Text Char15"/>
    <w:basedOn w:val="Policepardfaut"/>
    <w:uiPriority w:val="99"/>
    <w:semiHidden/>
    <w:rsid w:val="00C811D2"/>
    <w:rPr>
      <w:rFonts w:ascii="Lucida Grande" w:hAnsi="Lucida Grande"/>
      <w:sz w:val="18"/>
      <w:szCs w:val="18"/>
    </w:rPr>
  </w:style>
  <w:style w:type="paragraph" w:customStyle="1" w:styleId="Box">
    <w:name w:val="Box"/>
    <w:basedOn w:val="Normal"/>
    <w:qFormat/>
    <w:rsid w:val="00C811D2"/>
    <w:pPr>
      <w:keepNext/>
      <w:keepLines/>
      <w:spacing w:before="0" w:after="0" w:line="240" w:lineRule="auto"/>
      <w:contextualSpacing w:val="0"/>
      <w:jc w:val="center"/>
    </w:pPr>
    <w:rPr>
      <w:rFonts w:eastAsiaTheme="minorHAnsi"/>
      <w:b/>
      <w:sz w:val="20"/>
      <w:szCs w:val="24"/>
      <w:lang w:val="en-US"/>
    </w:rPr>
  </w:style>
  <w:style w:type="character" w:customStyle="1" w:styleId="BalloonTextChar3">
    <w:name w:val="Balloon Text Char3"/>
    <w:basedOn w:val="Policepardfaut"/>
    <w:uiPriority w:val="99"/>
    <w:rsid w:val="00C811D2"/>
    <w:rPr>
      <w:rFonts w:ascii="Tahoma" w:hAnsi="Tahoma" w:cs="Tahoma"/>
      <w:sz w:val="16"/>
      <w:szCs w:val="16"/>
    </w:rPr>
  </w:style>
  <w:style w:type="paragraph" w:customStyle="1" w:styleId="Figures">
    <w:name w:val="Figures"/>
    <w:basedOn w:val="Box"/>
    <w:qFormat/>
    <w:rsid w:val="00C811D2"/>
  </w:style>
  <w:style w:type="paragraph" w:styleId="Rvision">
    <w:name w:val="Revision"/>
    <w:hidden/>
    <w:uiPriority w:val="99"/>
    <w:rsid w:val="00C811D2"/>
    <w:pPr>
      <w:spacing w:after="0" w:line="240" w:lineRule="auto"/>
    </w:pPr>
    <w:rPr>
      <w:rFonts w:ascii="Times New Roman" w:hAnsi="Times New Roman"/>
      <w:sz w:val="24"/>
    </w:rPr>
  </w:style>
  <w:style w:type="paragraph" w:styleId="TM4">
    <w:name w:val="toc 4"/>
    <w:basedOn w:val="Normal"/>
    <w:next w:val="Normal"/>
    <w:autoRedefine/>
    <w:uiPriority w:val="39"/>
    <w:unhideWhenUsed/>
    <w:rsid w:val="00C811D2"/>
    <w:pPr>
      <w:spacing w:before="0" w:after="0" w:line="240" w:lineRule="auto"/>
      <w:ind w:left="720"/>
      <w:contextualSpacing w:val="0"/>
      <w:jc w:val="left"/>
    </w:pPr>
    <w:rPr>
      <w:rFonts w:asciiTheme="minorHAnsi" w:eastAsiaTheme="minorHAnsi" w:hAnsiTheme="minorHAnsi" w:cstheme="minorBidi"/>
      <w:sz w:val="18"/>
      <w:szCs w:val="18"/>
      <w:lang w:val="en-US"/>
    </w:rPr>
  </w:style>
  <w:style w:type="paragraph" w:styleId="TM5">
    <w:name w:val="toc 5"/>
    <w:basedOn w:val="Normal"/>
    <w:next w:val="Normal"/>
    <w:autoRedefine/>
    <w:uiPriority w:val="39"/>
    <w:unhideWhenUsed/>
    <w:rsid w:val="00C811D2"/>
    <w:pPr>
      <w:spacing w:before="0" w:after="0" w:line="240" w:lineRule="auto"/>
      <w:ind w:left="960"/>
      <w:contextualSpacing w:val="0"/>
      <w:jc w:val="left"/>
    </w:pPr>
    <w:rPr>
      <w:rFonts w:asciiTheme="minorHAnsi" w:eastAsiaTheme="minorHAnsi" w:hAnsiTheme="minorHAnsi" w:cstheme="minorBidi"/>
      <w:sz w:val="18"/>
      <w:szCs w:val="18"/>
      <w:lang w:val="en-US"/>
    </w:rPr>
  </w:style>
  <w:style w:type="paragraph" w:styleId="TM6">
    <w:name w:val="toc 6"/>
    <w:basedOn w:val="Normal"/>
    <w:next w:val="Normal"/>
    <w:autoRedefine/>
    <w:uiPriority w:val="39"/>
    <w:unhideWhenUsed/>
    <w:rsid w:val="00C811D2"/>
    <w:pPr>
      <w:spacing w:before="0" w:after="0" w:line="240" w:lineRule="auto"/>
      <w:ind w:left="1200"/>
      <w:contextualSpacing w:val="0"/>
      <w:jc w:val="left"/>
    </w:pPr>
    <w:rPr>
      <w:rFonts w:asciiTheme="minorHAnsi" w:eastAsiaTheme="minorHAnsi" w:hAnsiTheme="minorHAnsi" w:cstheme="minorBidi"/>
      <w:sz w:val="18"/>
      <w:szCs w:val="18"/>
      <w:lang w:val="en-US"/>
    </w:rPr>
  </w:style>
  <w:style w:type="paragraph" w:styleId="TM7">
    <w:name w:val="toc 7"/>
    <w:basedOn w:val="Normal"/>
    <w:next w:val="Normal"/>
    <w:autoRedefine/>
    <w:uiPriority w:val="39"/>
    <w:unhideWhenUsed/>
    <w:rsid w:val="00C811D2"/>
    <w:pPr>
      <w:spacing w:before="0" w:after="0" w:line="240" w:lineRule="auto"/>
      <w:ind w:left="1440"/>
      <w:contextualSpacing w:val="0"/>
      <w:jc w:val="left"/>
    </w:pPr>
    <w:rPr>
      <w:rFonts w:asciiTheme="minorHAnsi" w:eastAsiaTheme="minorHAnsi" w:hAnsiTheme="minorHAnsi" w:cstheme="minorBidi"/>
      <w:sz w:val="18"/>
      <w:szCs w:val="18"/>
      <w:lang w:val="en-US"/>
    </w:rPr>
  </w:style>
  <w:style w:type="paragraph" w:styleId="TM8">
    <w:name w:val="toc 8"/>
    <w:basedOn w:val="Normal"/>
    <w:next w:val="Normal"/>
    <w:autoRedefine/>
    <w:uiPriority w:val="39"/>
    <w:unhideWhenUsed/>
    <w:rsid w:val="00C811D2"/>
    <w:pPr>
      <w:spacing w:before="0" w:after="0" w:line="240" w:lineRule="auto"/>
      <w:ind w:left="1680"/>
      <w:contextualSpacing w:val="0"/>
      <w:jc w:val="left"/>
    </w:pPr>
    <w:rPr>
      <w:rFonts w:asciiTheme="minorHAnsi" w:eastAsiaTheme="minorHAnsi" w:hAnsiTheme="minorHAnsi" w:cstheme="minorBidi"/>
      <w:sz w:val="18"/>
      <w:szCs w:val="18"/>
      <w:lang w:val="en-US"/>
    </w:rPr>
  </w:style>
  <w:style w:type="paragraph" w:styleId="TM9">
    <w:name w:val="toc 9"/>
    <w:basedOn w:val="Normal"/>
    <w:next w:val="Normal"/>
    <w:autoRedefine/>
    <w:uiPriority w:val="39"/>
    <w:unhideWhenUsed/>
    <w:rsid w:val="00C811D2"/>
    <w:pPr>
      <w:spacing w:before="0" w:after="0" w:line="240" w:lineRule="auto"/>
      <w:ind w:left="1920"/>
      <w:contextualSpacing w:val="0"/>
      <w:jc w:val="left"/>
    </w:pPr>
    <w:rPr>
      <w:rFonts w:asciiTheme="minorHAnsi" w:eastAsiaTheme="minorHAnsi" w:hAnsiTheme="minorHAnsi" w:cstheme="minorBidi"/>
      <w:sz w:val="18"/>
      <w:szCs w:val="18"/>
      <w:lang w:val="en-US"/>
    </w:rPr>
  </w:style>
  <w:style w:type="character" w:customStyle="1" w:styleId="apple-converted-space">
    <w:name w:val="apple-converted-space"/>
    <w:basedOn w:val="Policepardfaut"/>
    <w:rsid w:val="00C811D2"/>
  </w:style>
  <w:style w:type="paragraph" w:customStyle="1" w:styleId="paranormaltext">
    <w:name w:val="paranormaltext"/>
    <w:basedOn w:val="Normal"/>
    <w:rsid w:val="00C811D2"/>
    <w:pPr>
      <w:spacing w:beforeLines="1" w:afterLines="1" w:line="240" w:lineRule="auto"/>
      <w:contextualSpacing w:val="0"/>
      <w:jc w:val="left"/>
    </w:pPr>
    <w:rPr>
      <w:rFonts w:ascii="Times" w:eastAsiaTheme="minorHAnsi" w:hAnsi="Times" w:cstheme="minorBidi"/>
      <w:sz w:val="20"/>
    </w:rPr>
  </w:style>
  <w:style w:type="paragraph" w:customStyle="1" w:styleId="tocindent4">
    <w:name w:val="tocindent4"/>
    <w:basedOn w:val="Normal"/>
    <w:rsid w:val="00C811D2"/>
    <w:pPr>
      <w:spacing w:beforeLines="1" w:afterLines="1" w:line="240" w:lineRule="auto"/>
      <w:contextualSpacing w:val="0"/>
      <w:jc w:val="left"/>
    </w:pPr>
    <w:rPr>
      <w:rFonts w:ascii="Times" w:eastAsiaTheme="minorHAnsi" w:hAnsi="Times" w:cstheme="minorBidi"/>
      <w:sz w:val="20"/>
    </w:rPr>
  </w:style>
  <w:style w:type="paragraph" w:customStyle="1" w:styleId="tocindent8">
    <w:name w:val="tocindent8"/>
    <w:basedOn w:val="Normal"/>
    <w:rsid w:val="00C811D2"/>
    <w:pPr>
      <w:spacing w:beforeLines="1" w:afterLines="1" w:line="240" w:lineRule="auto"/>
      <w:contextualSpacing w:val="0"/>
      <w:jc w:val="left"/>
    </w:pPr>
    <w:rPr>
      <w:rFonts w:ascii="Times" w:eastAsiaTheme="minorHAnsi" w:hAnsi="Times" w:cstheme="minorBidi"/>
      <w:sz w:val="20"/>
    </w:rPr>
  </w:style>
  <w:style w:type="paragraph" w:customStyle="1" w:styleId="AMParagraph1">
    <w:name w:val="AMParagraph1"/>
    <w:link w:val="AMParagraph1Char"/>
    <w:uiPriority w:val="99"/>
    <w:rsid w:val="00C811D2"/>
    <w:pPr>
      <w:tabs>
        <w:tab w:val="left" w:pos="578"/>
      </w:tabs>
      <w:spacing w:after="120" w:line="240" w:lineRule="auto"/>
      <w:jc w:val="both"/>
    </w:pPr>
    <w:rPr>
      <w:rFonts w:ascii="Times New Roman" w:eastAsia="Times New Roman" w:hAnsi="Times New Roman" w:cs="Times New Roman"/>
      <w:sz w:val="20"/>
      <w:szCs w:val="20"/>
      <w:lang w:bidi="he-IL"/>
    </w:rPr>
  </w:style>
  <w:style w:type="character" w:customStyle="1" w:styleId="AMParagraph1Char">
    <w:name w:val="AMParagraph1 Char"/>
    <w:basedOn w:val="Policepardfaut"/>
    <w:link w:val="AMParagraph1"/>
    <w:uiPriority w:val="99"/>
    <w:rsid w:val="00C811D2"/>
    <w:rPr>
      <w:rFonts w:ascii="Times New Roman" w:eastAsia="Times New Roman" w:hAnsi="Times New Roman" w:cs="Times New Roman"/>
      <w:sz w:val="20"/>
      <w:szCs w:val="20"/>
      <w:lang w:bidi="he-IL"/>
    </w:rPr>
  </w:style>
  <w:style w:type="paragraph" w:customStyle="1" w:styleId="AMTitle2">
    <w:name w:val="AMTitle2"/>
    <w:uiPriority w:val="99"/>
    <w:rsid w:val="00C811D2"/>
    <w:pPr>
      <w:keepNext/>
      <w:spacing w:before="240" w:after="120" w:line="240" w:lineRule="auto"/>
    </w:pPr>
    <w:rPr>
      <w:rFonts w:ascii="Times New Roman" w:eastAsia="Times New Roman" w:hAnsi="Times New Roman" w:cs="Times New Roman"/>
      <w:b/>
      <w:caps/>
      <w:sz w:val="20"/>
      <w:szCs w:val="20"/>
      <w:lang w:bidi="he-IL"/>
    </w:rPr>
  </w:style>
  <w:style w:type="paragraph" w:customStyle="1" w:styleId="Style2">
    <w:name w:val="Style2"/>
    <w:basedOn w:val="Paragraphedeliste"/>
    <w:link w:val="Style2Char"/>
    <w:qFormat/>
    <w:rsid w:val="00C811D2"/>
    <w:pPr>
      <w:widowControl w:val="0"/>
      <w:autoSpaceDE w:val="0"/>
      <w:autoSpaceDN w:val="0"/>
      <w:adjustRightInd w:val="0"/>
      <w:spacing w:before="0" w:after="0" w:line="240" w:lineRule="auto"/>
      <w:outlineLvl w:val="1"/>
    </w:pPr>
    <w:rPr>
      <w:rFonts w:ascii="Arial" w:eastAsia="Rockwell" w:hAnsi="Arial" w:cs="Calibri"/>
      <w:b/>
      <w:bCs/>
      <w:szCs w:val="36"/>
    </w:rPr>
  </w:style>
  <w:style w:type="paragraph" w:customStyle="1" w:styleId="Style23">
    <w:name w:val="Style23"/>
    <w:basedOn w:val="Normal"/>
    <w:link w:val="Style23Char"/>
    <w:qFormat/>
    <w:rsid w:val="00C811D2"/>
    <w:pPr>
      <w:widowControl w:val="0"/>
      <w:numPr>
        <w:numId w:val="9"/>
      </w:numPr>
      <w:autoSpaceDE w:val="0"/>
      <w:autoSpaceDN w:val="0"/>
      <w:adjustRightInd w:val="0"/>
      <w:spacing w:before="0" w:after="0" w:line="240" w:lineRule="auto"/>
      <w:contextualSpacing w:val="0"/>
      <w:outlineLvl w:val="1"/>
    </w:pPr>
    <w:rPr>
      <w:rFonts w:ascii="Arial" w:hAnsi="Arial" w:cs="Calibri"/>
      <w:b/>
      <w:iCs/>
      <w:sz w:val="22"/>
      <w:szCs w:val="36"/>
    </w:rPr>
  </w:style>
  <w:style w:type="paragraph" w:styleId="Explorateurdedocuments">
    <w:name w:val="Document Map"/>
    <w:aliases w:val=" Char4,Char4"/>
    <w:basedOn w:val="Normal"/>
    <w:link w:val="ExplorateurdedocumentsCar"/>
    <w:uiPriority w:val="99"/>
    <w:unhideWhenUsed/>
    <w:rsid w:val="00C811D2"/>
    <w:pPr>
      <w:spacing w:before="0" w:after="0" w:line="240" w:lineRule="auto"/>
      <w:contextualSpacing w:val="0"/>
      <w:jc w:val="left"/>
    </w:pPr>
    <w:rPr>
      <w:rFonts w:ascii="Lucida Grande" w:eastAsiaTheme="minorHAnsi" w:hAnsi="Lucida Grande" w:cstheme="minorBidi"/>
      <w:szCs w:val="24"/>
      <w:lang w:val="en-GB"/>
    </w:rPr>
  </w:style>
  <w:style w:type="character" w:customStyle="1" w:styleId="ExplorateurdedocumentsCar">
    <w:name w:val="Explorateur de documents Car"/>
    <w:aliases w:val=" Char4 Car,Char4 Car"/>
    <w:basedOn w:val="Policepardfaut"/>
    <w:link w:val="Explorateurdedocuments"/>
    <w:uiPriority w:val="99"/>
    <w:rsid w:val="00C811D2"/>
    <w:rPr>
      <w:rFonts w:ascii="Lucida Grande" w:hAnsi="Lucida Grande"/>
      <w:sz w:val="24"/>
      <w:szCs w:val="24"/>
      <w:lang w:val="en-GB"/>
    </w:rPr>
  </w:style>
  <w:style w:type="character" w:customStyle="1" w:styleId="Style1Char">
    <w:name w:val="Style1 Char"/>
    <w:basedOn w:val="Policepardfaut"/>
    <w:link w:val="Style1"/>
    <w:rsid w:val="00C811D2"/>
    <w:rPr>
      <w:rFonts w:ascii="Arial" w:hAnsi="Arial" w:cs="Calibri"/>
      <w:szCs w:val="26"/>
      <w:lang w:val="en-GB"/>
    </w:rPr>
  </w:style>
  <w:style w:type="paragraph" w:customStyle="1" w:styleId="Style1">
    <w:name w:val="Style1"/>
    <w:basedOn w:val="Normal"/>
    <w:link w:val="Style1Char"/>
    <w:qFormat/>
    <w:rsid w:val="00C811D2"/>
    <w:pPr>
      <w:spacing w:before="0" w:after="0" w:line="240" w:lineRule="auto"/>
      <w:contextualSpacing w:val="0"/>
      <w:jc w:val="left"/>
    </w:pPr>
    <w:rPr>
      <w:rFonts w:ascii="Arial" w:eastAsiaTheme="minorHAnsi" w:hAnsi="Arial" w:cs="Calibri"/>
      <w:sz w:val="22"/>
      <w:szCs w:val="26"/>
      <w:lang w:val="en-GB"/>
    </w:rPr>
  </w:style>
  <w:style w:type="paragraph" w:styleId="Retraitcorpsdetexte3">
    <w:name w:val="Body Text Indent 3"/>
    <w:basedOn w:val="Normal"/>
    <w:link w:val="Retraitcorpsdetexte3Car"/>
    <w:rsid w:val="00C811D2"/>
    <w:pPr>
      <w:spacing w:before="0" w:line="240" w:lineRule="auto"/>
      <w:ind w:left="283"/>
      <w:contextualSpacing w:val="0"/>
      <w:jc w:val="left"/>
    </w:pPr>
    <w:rPr>
      <w:rFonts w:asciiTheme="minorHAnsi" w:eastAsiaTheme="minorHAnsi" w:hAnsiTheme="minorHAnsi" w:cstheme="minorBidi"/>
      <w:sz w:val="16"/>
      <w:szCs w:val="16"/>
      <w:lang w:val="en-GB"/>
    </w:rPr>
  </w:style>
  <w:style w:type="character" w:customStyle="1" w:styleId="Retraitcorpsdetexte3Car">
    <w:name w:val="Retrait corps de texte 3 Car"/>
    <w:basedOn w:val="Policepardfaut"/>
    <w:link w:val="Retraitcorpsdetexte3"/>
    <w:rsid w:val="00C811D2"/>
    <w:rPr>
      <w:sz w:val="16"/>
      <w:szCs w:val="16"/>
      <w:lang w:val="en-GB"/>
    </w:rPr>
  </w:style>
  <w:style w:type="character" w:customStyle="1" w:styleId="BalloonTextChar2">
    <w:name w:val="Balloon Text Char2"/>
    <w:basedOn w:val="Policepardfaut"/>
    <w:uiPriority w:val="99"/>
    <w:rsid w:val="00C811D2"/>
    <w:rPr>
      <w:rFonts w:ascii="Lucida Grande" w:eastAsiaTheme="minorEastAsia" w:hAnsi="Lucida Grande"/>
      <w:sz w:val="18"/>
      <w:szCs w:val="18"/>
    </w:rPr>
  </w:style>
  <w:style w:type="paragraph" w:customStyle="1" w:styleId="BankNormal">
    <w:name w:val="BankNormal"/>
    <w:basedOn w:val="Normal"/>
    <w:link w:val="BankNormalChar"/>
    <w:rsid w:val="00C811D2"/>
    <w:pPr>
      <w:spacing w:before="0" w:after="240" w:line="240" w:lineRule="auto"/>
      <w:contextualSpacing w:val="0"/>
      <w:jc w:val="left"/>
    </w:pPr>
    <w:rPr>
      <w:lang w:val="en-US"/>
    </w:rPr>
  </w:style>
  <w:style w:type="paragraph" w:customStyle="1" w:styleId="BodyText1">
    <w:name w:val="Body Text 1"/>
    <w:basedOn w:val="Corpsdetexte2"/>
    <w:autoRedefine/>
    <w:rsid w:val="00C811D2"/>
    <w:pPr>
      <w:spacing w:after="0" w:line="240" w:lineRule="auto"/>
      <w:jc w:val="both"/>
    </w:pPr>
    <w:rPr>
      <w:rFonts w:ascii="Times New Roman" w:hAnsi="Times New Roman" w:cs="Times New Roman"/>
      <w:sz w:val="24"/>
    </w:rPr>
  </w:style>
  <w:style w:type="paragraph" w:styleId="Listepuces2">
    <w:name w:val="List Bullet 2"/>
    <w:basedOn w:val="ListBullet1"/>
    <w:autoRedefine/>
    <w:rsid w:val="00C811D2"/>
    <w:pPr>
      <w:numPr>
        <w:numId w:val="10"/>
      </w:numPr>
      <w:spacing w:after="120"/>
      <w:jc w:val="both"/>
    </w:pPr>
    <w:rPr>
      <w:rFonts w:ascii="Times" w:eastAsia="Times New Roman" w:hAnsi="Times"/>
      <w:sz w:val="22"/>
    </w:rPr>
  </w:style>
  <w:style w:type="paragraph" w:customStyle="1" w:styleId="ListBullet1">
    <w:name w:val="List Bullet 1"/>
    <w:basedOn w:val="Listepuces"/>
    <w:autoRedefine/>
    <w:rsid w:val="00C811D2"/>
    <w:pPr>
      <w:tabs>
        <w:tab w:val="clear" w:pos="1134"/>
      </w:tabs>
      <w:ind w:left="0" w:firstLine="0"/>
    </w:pPr>
    <w:rPr>
      <w:rFonts w:ascii="Rockwell" w:eastAsia="Rockwell" w:hAnsi="Rockwell" w:cs="Times New Roman"/>
      <w:sz w:val="24"/>
    </w:rPr>
  </w:style>
  <w:style w:type="paragraph" w:styleId="Listepuces3">
    <w:name w:val="List Bullet 3"/>
    <w:basedOn w:val="Listenumros2"/>
    <w:autoRedefine/>
    <w:rsid w:val="00C811D2"/>
    <w:pPr>
      <w:numPr>
        <w:numId w:val="11"/>
      </w:numPr>
      <w:tabs>
        <w:tab w:val="num" w:pos="2268"/>
      </w:tabs>
      <w:ind w:left="2269" w:hanging="284"/>
      <w:jc w:val="both"/>
    </w:pPr>
    <w:rPr>
      <w:rFonts w:ascii="Times" w:hAnsi="Times"/>
      <w:sz w:val="22"/>
    </w:rPr>
  </w:style>
  <w:style w:type="paragraph" w:styleId="Listenumros2">
    <w:name w:val="List Number 2"/>
    <w:basedOn w:val="Normal"/>
    <w:rsid w:val="00C811D2"/>
    <w:pPr>
      <w:spacing w:before="0" w:after="0" w:line="240" w:lineRule="auto"/>
      <w:contextualSpacing w:val="0"/>
      <w:jc w:val="left"/>
    </w:pPr>
    <w:rPr>
      <w:szCs w:val="24"/>
    </w:rPr>
  </w:style>
  <w:style w:type="paragraph" w:customStyle="1" w:styleId="PageHeader">
    <w:name w:val="Page Header"/>
    <w:autoRedefine/>
    <w:rsid w:val="00C811D2"/>
    <w:pPr>
      <w:spacing w:before="240" w:after="240" w:line="240" w:lineRule="auto"/>
      <w:jc w:val="center"/>
    </w:pPr>
    <w:rPr>
      <w:rFonts w:ascii="Arial" w:eastAsia="Times New Roman" w:hAnsi="Arial" w:cs="Times New Roman"/>
      <w:b/>
      <w:caps/>
      <w:szCs w:val="24"/>
      <w:lang w:val="en-AU"/>
    </w:rPr>
  </w:style>
  <w:style w:type="paragraph" w:customStyle="1" w:styleId="DefaultText">
    <w:name w:val="Default Text"/>
    <w:rsid w:val="00C811D2"/>
    <w:pPr>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4"/>
    </w:rPr>
  </w:style>
  <w:style w:type="paragraph" w:customStyle="1" w:styleId="ZHeader1">
    <w:name w:val="ZHeader1"/>
    <w:basedOn w:val="En-tte"/>
    <w:rsid w:val="00C811D2"/>
    <w:pPr>
      <w:tabs>
        <w:tab w:val="clear" w:pos="4513"/>
        <w:tab w:val="clear" w:pos="9026"/>
        <w:tab w:val="center" w:pos="4536"/>
        <w:tab w:val="right" w:pos="8931"/>
      </w:tabs>
      <w:spacing w:before="480" w:after="240" w:line="288" w:lineRule="auto"/>
      <w:contextualSpacing w:val="0"/>
      <w:jc w:val="left"/>
    </w:pPr>
    <w:rPr>
      <w:rFonts w:ascii="Arial Black" w:hAnsi="Arial Black"/>
      <w:caps/>
      <w:spacing w:val="20"/>
      <w:sz w:val="22"/>
    </w:rPr>
  </w:style>
  <w:style w:type="character" w:customStyle="1" w:styleId="txt8ptarialnegro2">
    <w:name w:val="txt8ptarialnegro2"/>
    <w:basedOn w:val="Policepardfaut"/>
    <w:rsid w:val="00C811D2"/>
    <w:rPr>
      <w:rFonts w:ascii="Arial" w:hAnsi="Arial" w:cs="Arial" w:hint="default"/>
      <w:b w:val="0"/>
      <w:bCs w:val="0"/>
      <w:i w:val="0"/>
      <w:iCs w:val="0"/>
      <w:strike w:val="0"/>
      <w:dstrike w:val="0"/>
      <w:color w:val="000000"/>
      <w:sz w:val="20"/>
      <w:szCs w:val="20"/>
      <w:u w:val="none"/>
      <w:effect w:val="none"/>
    </w:rPr>
  </w:style>
  <w:style w:type="paragraph" w:customStyle="1" w:styleId="ANOTACION">
    <w:name w:val="ANOTACION"/>
    <w:basedOn w:val="Normal"/>
    <w:rsid w:val="00C811D2"/>
    <w:pPr>
      <w:spacing w:before="101" w:after="101" w:line="216" w:lineRule="atLeast"/>
      <w:contextualSpacing w:val="0"/>
      <w:jc w:val="center"/>
    </w:pPr>
    <w:rPr>
      <w:b/>
      <w:sz w:val="18"/>
      <w:lang w:val="es-ES_tradnl" w:eastAsia="es-ES"/>
    </w:rPr>
  </w:style>
  <w:style w:type="paragraph" w:styleId="Tabledesillustrations">
    <w:name w:val="table of figures"/>
    <w:basedOn w:val="Normal"/>
    <w:next w:val="Normal"/>
    <w:uiPriority w:val="99"/>
    <w:rsid w:val="00C811D2"/>
    <w:pPr>
      <w:spacing w:before="0" w:after="0" w:line="240" w:lineRule="auto"/>
      <w:ind w:left="480" w:hanging="480"/>
      <w:contextualSpacing w:val="0"/>
      <w:jc w:val="left"/>
    </w:pPr>
    <w:rPr>
      <w:rFonts w:ascii="Rockwell" w:eastAsia="Rockwell" w:hAnsi="Rockwell"/>
      <w:szCs w:val="24"/>
    </w:rPr>
  </w:style>
  <w:style w:type="paragraph" w:customStyle="1" w:styleId="Sinespaciado">
    <w:name w:val="Sin espaciado"/>
    <w:uiPriority w:val="1"/>
    <w:qFormat/>
    <w:rsid w:val="00C811D2"/>
    <w:pPr>
      <w:spacing w:after="0" w:line="240" w:lineRule="auto"/>
    </w:pPr>
    <w:rPr>
      <w:rFonts w:ascii="Calibri" w:eastAsia="Calibri" w:hAnsi="Calibri" w:cs="Times New Roman"/>
    </w:rPr>
  </w:style>
  <w:style w:type="paragraph" w:customStyle="1" w:styleId="Prrafodelista">
    <w:name w:val="Párrafo de lista"/>
    <w:basedOn w:val="Normal"/>
    <w:uiPriority w:val="34"/>
    <w:qFormat/>
    <w:rsid w:val="00C811D2"/>
    <w:pPr>
      <w:spacing w:before="0" w:after="200"/>
      <w:ind w:left="720"/>
      <w:jc w:val="left"/>
    </w:pPr>
    <w:rPr>
      <w:rFonts w:ascii="Calibri" w:eastAsia="Calibri" w:hAnsi="Calibri"/>
      <w:sz w:val="22"/>
      <w:szCs w:val="22"/>
      <w:lang w:val="en-US"/>
    </w:rPr>
  </w:style>
  <w:style w:type="character" w:customStyle="1" w:styleId="Style2Char">
    <w:name w:val="Style2 Char"/>
    <w:basedOn w:val="ParagraphedelisteCar"/>
    <w:link w:val="Style2"/>
    <w:rsid w:val="00C811D2"/>
    <w:rPr>
      <w:rFonts w:ascii="Arial" w:eastAsia="Rockwell" w:hAnsi="Arial" w:cs="Calibri"/>
      <w:b/>
      <w:bCs/>
      <w:sz w:val="24"/>
      <w:szCs w:val="36"/>
      <w:lang w:val="en-AU"/>
    </w:rPr>
  </w:style>
  <w:style w:type="paragraph" w:customStyle="1" w:styleId="Style3">
    <w:name w:val="Style3"/>
    <w:basedOn w:val="Paragraphedeliste"/>
    <w:link w:val="Style3Char"/>
    <w:qFormat/>
    <w:rsid w:val="00C811D2"/>
    <w:pPr>
      <w:widowControl w:val="0"/>
      <w:numPr>
        <w:numId w:val="13"/>
      </w:numPr>
      <w:autoSpaceDE w:val="0"/>
      <w:autoSpaceDN w:val="0"/>
      <w:adjustRightInd w:val="0"/>
      <w:spacing w:before="0" w:after="0" w:line="240" w:lineRule="auto"/>
      <w:ind w:left="850" w:hanging="493"/>
      <w:outlineLvl w:val="1"/>
    </w:pPr>
    <w:rPr>
      <w:rFonts w:ascii="Arial" w:eastAsia="Rockwell" w:hAnsi="Arial" w:cs="Calibri"/>
      <w:b/>
      <w:bCs/>
      <w:szCs w:val="36"/>
    </w:rPr>
  </w:style>
  <w:style w:type="character" w:customStyle="1" w:styleId="Style3Char">
    <w:name w:val="Style3 Char"/>
    <w:basedOn w:val="ParagraphedelisteCar"/>
    <w:link w:val="Style3"/>
    <w:rsid w:val="00C811D2"/>
    <w:rPr>
      <w:rFonts w:ascii="Arial" w:eastAsia="Rockwell" w:hAnsi="Arial" w:cs="Calibri"/>
      <w:b/>
      <w:bCs/>
      <w:sz w:val="24"/>
      <w:szCs w:val="36"/>
      <w:lang w:val="en-AU"/>
    </w:rPr>
  </w:style>
  <w:style w:type="paragraph" w:customStyle="1" w:styleId="Style4">
    <w:name w:val="Style4"/>
    <w:basedOn w:val="Titre1"/>
    <w:link w:val="Style4Char"/>
    <w:qFormat/>
    <w:rsid w:val="00C811D2"/>
    <w:pPr>
      <w:keepNext/>
      <w:tabs>
        <w:tab w:val="num" w:pos="680"/>
      </w:tabs>
      <w:spacing w:before="0" w:after="0" w:line="240" w:lineRule="auto"/>
      <w:ind w:left="1701" w:hanging="1701"/>
      <w:contextualSpacing w:val="0"/>
      <w:jc w:val="left"/>
    </w:pPr>
    <w:rPr>
      <w:rFonts w:ascii="Times New Roman Bold" w:hAnsi="Times New Roman Bold" w:cs="Arial"/>
      <w:bCs/>
      <w:color w:val="000000"/>
      <w:kern w:val="32"/>
      <w:sz w:val="24"/>
      <w:szCs w:val="32"/>
    </w:rPr>
  </w:style>
  <w:style w:type="character" w:customStyle="1" w:styleId="Style4Char">
    <w:name w:val="Style4 Char"/>
    <w:basedOn w:val="Titre1Car"/>
    <w:link w:val="Style4"/>
    <w:rsid w:val="00C811D2"/>
    <w:rPr>
      <w:rFonts w:ascii="Times New Roman Bold" w:eastAsia="Times New Roman" w:hAnsi="Times New Roman Bold" w:cs="Arial"/>
      <w:b/>
      <w:bCs/>
      <w:color w:val="000000"/>
      <w:kern w:val="32"/>
      <w:sz w:val="24"/>
      <w:szCs w:val="32"/>
      <w:lang w:val="en-AU"/>
    </w:rPr>
  </w:style>
  <w:style w:type="paragraph" w:customStyle="1" w:styleId="Style5">
    <w:name w:val="Style5"/>
    <w:basedOn w:val="Titre1"/>
    <w:link w:val="Style5Char"/>
    <w:qFormat/>
    <w:rsid w:val="00C811D2"/>
    <w:pPr>
      <w:keepNext/>
      <w:tabs>
        <w:tab w:val="num" w:pos="680"/>
      </w:tabs>
      <w:spacing w:before="0" w:after="0" w:line="240" w:lineRule="auto"/>
      <w:ind w:left="1701" w:hanging="1701"/>
      <w:contextualSpacing w:val="0"/>
      <w:jc w:val="left"/>
    </w:pPr>
    <w:rPr>
      <w:rFonts w:ascii="Times New Roman Bold" w:hAnsi="Times New Roman Bold" w:cs="Arial"/>
      <w:bCs/>
      <w:color w:val="000000"/>
      <w:kern w:val="32"/>
      <w:sz w:val="24"/>
      <w:szCs w:val="32"/>
    </w:rPr>
  </w:style>
  <w:style w:type="character" w:customStyle="1" w:styleId="Style5Char">
    <w:name w:val="Style5 Char"/>
    <w:basedOn w:val="Titre1Car"/>
    <w:link w:val="Style5"/>
    <w:rsid w:val="00C811D2"/>
    <w:rPr>
      <w:rFonts w:ascii="Times New Roman Bold" w:eastAsia="Times New Roman" w:hAnsi="Times New Roman Bold" w:cs="Arial"/>
      <w:b/>
      <w:bCs/>
      <w:color w:val="000000"/>
      <w:kern w:val="32"/>
      <w:sz w:val="24"/>
      <w:szCs w:val="32"/>
      <w:lang w:val="en-AU"/>
    </w:rPr>
  </w:style>
  <w:style w:type="paragraph" w:customStyle="1" w:styleId="Style6">
    <w:name w:val="Style6"/>
    <w:basedOn w:val="Titre1"/>
    <w:link w:val="Style6Char"/>
    <w:qFormat/>
    <w:rsid w:val="00C811D2"/>
    <w:pPr>
      <w:keepNext/>
      <w:tabs>
        <w:tab w:val="num" w:pos="680"/>
      </w:tabs>
      <w:spacing w:before="0" w:after="0" w:line="240" w:lineRule="auto"/>
      <w:ind w:left="1701" w:hanging="1701"/>
      <w:contextualSpacing w:val="0"/>
      <w:jc w:val="left"/>
    </w:pPr>
    <w:rPr>
      <w:rFonts w:ascii="Times New Roman Bold" w:hAnsi="Times New Roman Bold" w:cs="Arial"/>
      <w:bCs/>
      <w:color w:val="000000"/>
      <w:kern w:val="32"/>
      <w:sz w:val="24"/>
      <w:szCs w:val="32"/>
    </w:rPr>
  </w:style>
  <w:style w:type="character" w:customStyle="1" w:styleId="Style6Char">
    <w:name w:val="Style6 Char"/>
    <w:basedOn w:val="Titre1Car"/>
    <w:link w:val="Style6"/>
    <w:rsid w:val="00C811D2"/>
    <w:rPr>
      <w:rFonts w:ascii="Times New Roman Bold" w:eastAsia="Times New Roman" w:hAnsi="Times New Roman Bold" w:cs="Arial"/>
      <w:b/>
      <w:bCs/>
      <w:color w:val="000000"/>
      <w:kern w:val="32"/>
      <w:sz w:val="24"/>
      <w:szCs w:val="32"/>
      <w:lang w:val="en-AU"/>
    </w:rPr>
  </w:style>
  <w:style w:type="paragraph" w:customStyle="1" w:styleId="Style7">
    <w:name w:val="Style7"/>
    <w:basedOn w:val="Titre1"/>
    <w:link w:val="Style7Char"/>
    <w:qFormat/>
    <w:rsid w:val="00C811D2"/>
    <w:pPr>
      <w:keepNext/>
      <w:tabs>
        <w:tab w:val="num" w:pos="680"/>
      </w:tabs>
      <w:spacing w:before="0" w:after="0" w:line="240" w:lineRule="auto"/>
      <w:ind w:left="1701" w:hanging="1701"/>
      <w:contextualSpacing w:val="0"/>
      <w:jc w:val="left"/>
    </w:pPr>
    <w:rPr>
      <w:rFonts w:ascii="Times New Roman Bold" w:hAnsi="Times New Roman Bold" w:cs="Arial"/>
      <w:bCs/>
      <w:color w:val="000000"/>
      <w:kern w:val="32"/>
      <w:sz w:val="24"/>
      <w:szCs w:val="32"/>
    </w:rPr>
  </w:style>
  <w:style w:type="character" w:customStyle="1" w:styleId="Style7Char">
    <w:name w:val="Style7 Char"/>
    <w:basedOn w:val="Titre1Car"/>
    <w:link w:val="Style7"/>
    <w:rsid w:val="00C811D2"/>
    <w:rPr>
      <w:rFonts w:ascii="Times New Roman Bold" w:eastAsia="Times New Roman" w:hAnsi="Times New Roman Bold" w:cs="Arial"/>
      <w:b/>
      <w:bCs/>
      <w:color w:val="000000"/>
      <w:kern w:val="32"/>
      <w:sz w:val="24"/>
      <w:szCs w:val="32"/>
      <w:lang w:val="en-AU"/>
    </w:rPr>
  </w:style>
  <w:style w:type="paragraph" w:customStyle="1" w:styleId="Style8">
    <w:name w:val="Style8"/>
    <w:basedOn w:val="Paragraphedeliste"/>
    <w:link w:val="Style8Char"/>
    <w:uiPriority w:val="99"/>
    <w:qFormat/>
    <w:rsid w:val="00C811D2"/>
    <w:pPr>
      <w:widowControl w:val="0"/>
      <w:numPr>
        <w:numId w:val="12"/>
      </w:numPr>
      <w:autoSpaceDE w:val="0"/>
      <w:autoSpaceDN w:val="0"/>
      <w:adjustRightInd w:val="0"/>
      <w:spacing w:before="0" w:after="0" w:line="240" w:lineRule="auto"/>
    </w:pPr>
    <w:rPr>
      <w:rFonts w:ascii="Arial Bold" w:eastAsia="Rockwell" w:hAnsi="Arial Bold" w:cs="Calibri"/>
      <w:b/>
      <w:bCs/>
      <w:szCs w:val="36"/>
    </w:rPr>
  </w:style>
  <w:style w:type="character" w:customStyle="1" w:styleId="Style8Char">
    <w:name w:val="Style8 Char"/>
    <w:basedOn w:val="ParagraphedelisteCar"/>
    <w:link w:val="Style8"/>
    <w:uiPriority w:val="99"/>
    <w:rsid w:val="00C811D2"/>
    <w:rPr>
      <w:rFonts w:ascii="Arial Bold" w:eastAsia="Rockwell" w:hAnsi="Arial Bold" w:cs="Calibri"/>
      <w:b/>
      <w:bCs/>
      <w:sz w:val="24"/>
      <w:szCs w:val="36"/>
      <w:lang w:val="en-AU"/>
    </w:rPr>
  </w:style>
  <w:style w:type="paragraph" w:customStyle="1" w:styleId="Style9">
    <w:name w:val="Style9"/>
    <w:basedOn w:val="Style8"/>
    <w:link w:val="Style9Char"/>
    <w:uiPriority w:val="99"/>
    <w:qFormat/>
    <w:rsid w:val="00C811D2"/>
    <w:pPr>
      <w:outlineLvl w:val="1"/>
    </w:pPr>
  </w:style>
  <w:style w:type="character" w:customStyle="1" w:styleId="Style9Char">
    <w:name w:val="Style9 Char"/>
    <w:basedOn w:val="Style8Char"/>
    <w:link w:val="Style9"/>
    <w:uiPriority w:val="99"/>
    <w:rsid w:val="00C811D2"/>
    <w:rPr>
      <w:rFonts w:ascii="Arial Bold" w:eastAsia="Rockwell" w:hAnsi="Arial Bold" w:cs="Calibri"/>
      <w:b/>
      <w:bCs/>
      <w:sz w:val="24"/>
      <w:szCs w:val="36"/>
      <w:lang w:val="en-AU"/>
    </w:rPr>
  </w:style>
  <w:style w:type="paragraph" w:customStyle="1" w:styleId="Style10">
    <w:name w:val="Style10"/>
    <w:basedOn w:val="Style9"/>
    <w:link w:val="Style10Char"/>
    <w:qFormat/>
    <w:rsid w:val="00C811D2"/>
  </w:style>
  <w:style w:type="character" w:customStyle="1" w:styleId="Style10Char">
    <w:name w:val="Style10 Char"/>
    <w:basedOn w:val="Style9Char"/>
    <w:link w:val="Style10"/>
    <w:rsid w:val="00C811D2"/>
    <w:rPr>
      <w:rFonts w:ascii="Arial Bold" w:eastAsia="Rockwell" w:hAnsi="Arial Bold" w:cs="Calibri"/>
      <w:b/>
      <w:bCs/>
      <w:sz w:val="24"/>
      <w:szCs w:val="36"/>
      <w:lang w:val="en-AU"/>
    </w:rPr>
  </w:style>
  <w:style w:type="paragraph" w:customStyle="1" w:styleId="Style11">
    <w:name w:val="Style11"/>
    <w:basedOn w:val="Style10"/>
    <w:link w:val="Style11Char"/>
    <w:qFormat/>
    <w:rsid w:val="00C811D2"/>
  </w:style>
  <w:style w:type="character" w:customStyle="1" w:styleId="Style11Char">
    <w:name w:val="Style11 Char"/>
    <w:basedOn w:val="Style10Char"/>
    <w:link w:val="Style11"/>
    <w:rsid w:val="00C811D2"/>
    <w:rPr>
      <w:rFonts w:ascii="Arial Bold" w:eastAsia="Rockwell" w:hAnsi="Arial Bold" w:cs="Calibri"/>
      <w:b/>
      <w:bCs/>
      <w:sz w:val="24"/>
      <w:szCs w:val="36"/>
      <w:lang w:val="en-AU"/>
    </w:rPr>
  </w:style>
  <w:style w:type="paragraph" w:customStyle="1" w:styleId="Style12">
    <w:name w:val="Style12"/>
    <w:basedOn w:val="Style11"/>
    <w:link w:val="Style12Char"/>
    <w:qFormat/>
    <w:rsid w:val="00C811D2"/>
    <w:pPr>
      <w:ind w:left="850" w:hanging="493"/>
    </w:pPr>
  </w:style>
  <w:style w:type="character" w:customStyle="1" w:styleId="Style12Char">
    <w:name w:val="Style12 Char"/>
    <w:basedOn w:val="Style11Char"/>
    <w:link w:val="Style12"/>
    <w:rsid w:val="00C811D2"/>
    <w:rPr>
      <w:rFonts w:ascii="Arial Bold" w:eastAsia="Rockwell" w:hAnsi="Arial Bold" w:cs="Calibri"/>
      <w:b/>
      <w:bCs/>
      <w:sz w:val="24"/>
      <w:szCs w:val="36"/>
      <w:lang w:val="en-AU"/>
    </w:rPr>
  </w:style>
  <w:style w:type="paragraph" w:customStyle="1" w:styleId="Style13">
    <w:name w:val="Style13"/>
    <w:basedOn w:val="Style1"/>
    <w:link w:val="Style13Char"/>
    <w:qFormat/>
    <w:rsid w:val="00C811D2"/>
    <w:pPr>
      <w:widowControl w:val="0"/>
      <w:autoSpaceDE w:val="0"/>
      <w:autoSpaceDN w:val="0"/>
      <w:adjustRightInd w:val="0"/>
      <w:jc w:val="both"/>
      <w:outlineLvl w:val="0"/>
    </w:pPr>
    <w:rPr>
      <w:rFonts w:eastAsia="Times New Roman" w:cs="Arial"/>
      <w:b/>
      <w:bCs/>
      <w:smallCaps/>
      <w:color w:val="000000"/>
      <w:kern w:val="32"/>
      <w:szCs w:val="32"/>
      <w:lang w:val="en-AU"/>
    </w:rPr>
  </w:style>
  <w:style w:type="character" w:customStyle="1" w:styleId="Style13Char">
    <w:name w:val="Style13 Char"/>
    <w:basedOn w:val="Style1Char"/>
    <w:link w:val="Style13"/>
    <w:rsid w:val="00C811D2"/>
    <w:rPr>
      <w:rFonts w:ascii="Arial" w:eastAsia="Times New Roman" w:hAnsi="Arial" w:cs="Arial"/>
      <w:b/>
      <w:bCs/>
      <w:smallCaps/>
      <w:color w:val="000000"/>
      <w:kern w:val="32"/>
      <w:szCs w:val="32"/>
      <w:lang w:val="en-AU"/>
    </w:rPr>
  </w:style>
  <w:style w:type="paragraph" w:customStyle="1" w:styleId="Style14">
    <w:name w:val="Style14"/>
    <w:basedOn w:val="Titre2"/>
    <w:link w:val="Style14Char"/>
    <w:qFormat/>
    <w:rsid w:val="00C811D2"/>
    <w:pPr>
      <w:tabs>
        <w:tab w:val="clear" w:pos="737"/>
        <w:tab w:val="num" w:pos="680"/>
      </w:tabs>
      <w:spacing w:before="0" w:after="240" w:line="276" w:lineRule="auto"/>
      <w:ind w:left="792" w:hanging="792"/>
      <w:contextualSpacing w:val="0"/>
      <w:jc w:val="center"/>
    </w:pPr>
    <w:rPr>
      <w:rFonts w:ascii="Arial" w:hAnsi="Arial" w:cs="Calibri"/>
      <w:iCs/>
      <w:smallCaps/>
      <w:szCs w:val="36"/>
    </w:rPr>
  </w:style>
  <w:style w:type="character" w:customStyle="1" w:styleId="Style14Char">
    <w:name w:val="Style14 Char"/>
    <w:basedOn w:val="Titre2Car"/>
    <w:link w:val="Style14"/>
    <w:rsid w:val="00C811D2"/>
    <w:rPr>
      <w:rFonts w:ascii="Arial" w:eastAsia="Times New Roman" w:hAnsi="Arial" w:cs="Calibri"/>
      <w:b/>
      <w:iCs/>
      <w:smallCaps/>
      <w:sz w:val="36"/>
      <w:szCs w:val="36"/>
      <w:lang w:val="en-AU"/>
    </w:rPr>
  </w:style>
  <w:style w:type="paragraph" w:customStyle="1" w:styleId="Style15">
    <w:name w:val="Style15"/>
    <w:basedOn w:val="Titre2"/>
    <w:link w:val="Style15Char"/>
    <w:qFormat/>
    <w:rsid w:val="00C811D2"/>
    <w:pPr>
      <w:tabs>
        <w:tab w:val="clear" w:pos="737"/>
        <w:tab w:val="num" w:pos="680"/>
      </w:tabs>
      <w:spacing w:before="0" w:after="240" w:line="276" w:lineRule="auto"/>
      <w:ind w:left="792" w:hanging="792"/>
      <w:contextualSpacing w:val="0"/>
      <w:jc w:val="center"/>
    </w:pPr>
    <w:rPr>
      <w:rFonts w:ascii="Arial" w:hAnsi="Arial" w:cs="Calibri"/>
      <w:iCs/>
      <w:smallCaps/>
      <w:szCs w:val="36"/>
    </w:rPr>
  </w:style>
  <w:style w:type="character" w:customStyle="1" w:styleId="Style15Char">
    <w:name w:val="Style15 Char"/>
    <w:basedOn w:val="Titre2Car"/>
    <w:link w:val="Style15"/>
    <w:rsid w:val="00C811D2"/>
    <w:rPr>
      <w:rFonts w:ascii="Arial" w:eastAsia="Times New Roman" w:hAnsi="Arial" w:cs="Calibri"/>
      <w:b/>
      <w:iCs/>
      <w:smallCaps/>
      <w:sz w:val="36"/>
      <w:szCs w:val="36"/>
      <w:lang w:val="en-AU"/>
    </w:rPr>
  </w:style>
  <w:style w:type="paragraph" w:customStyle="1" w:styleId="Style16">
    <w:name w:val="Style16"/>
    <w:basedOn w:val="Titre1"/>
    <w:link w:val="Style16Char"/>
    <w:qFormat/>
    <w:rsid w:val="00C811D2"/>
    <w:pPr>
      <w:keepNext/>
      <w:tabs>
        <w:tab w:val="num" w:pos="680"/>
      </w:tabs>
      <w:spacing w:before="0" w:after="0" w:line="240" w:lineRule="auto"/>
      <w:ind w:left="1701" w:hanging="1701"/>
      <w:contextualSpacing w:val="0"/>
      <w:jc w:val="left"/>
    </w:pPr>
    <w:rPr>
      <w:rFonts w:ascii="Times New Roman Bold" w:hAnsi="Times New Roman Bold" w:cs="Arial"/>
      <w:bCs/>
      <w:color w:val="000000"/>
      <w:kern w:val="32"/>
      <w:sz w:val="24"/>
      <w:szCs w:val="32"/>
    </w:rPr>
  </w:style>
  <w:style w:type="character" w:customStyle="1" w:styleId="Style16Char">
    <w:name w:val="Style16 Char"/>
    <w:basedOn w:val="Titre1Car"/>
    <w:link w:val="Style16"/>
    <w:rsid w:val="00C811D2"/>
    <w:rPr>
      <w:rFonts w:ascii="Times New Roman Bold" w:eastAsia="Times New Roman" w:hAnsi="Times New Roman Bold" w:cs="Arial"/>
      <w:b/>
      <w:bCs/>
      <w:color w:val="000000"/>
      <w:kern w:val="32"/>
      <w:sz w:val="24"/>
      <w:szCs w:val="32"/>
      <w:lang w:val="en-AU"/>
    </w:rPr>
  </w:style>
  <w:style w:type="paragraph" w:customStyle="1" w:styleId="Style17">
    <w:name w:val="Style17"/>
    <w:basedOn w:val="Style15"/>
    <w:link w:val="Style17Char"/>
    <w:qFormat/>
    <w:rsid w:val="00C811D2"/>
  </w:style>
  <w:style w:type="character" w:customStyle="1" w:styleId="Style17Char">
    <w:name w:val="Style17 Char"/>
    <w:basedOn w:val="Style15Char"/>
    <w:link w:val="Style17"/>
    <w:rsid w:val="00C811D2"/>
    <w:rPr>
      <w:rFonts w:ascii="Arial" w:eastAsia="Times New Roman" w:hAnsi="Arial" w:cs="Calibri"/>
      <w:b/>
      <w:iCs/>
      <w:smallCaps/>
      <w:sz w:val="36"/>
      <w:szCs w:val="36"/>
      <w:lang w:val="en-AU"/>
    </w:rPr>
  </w:style>
  <w:style w:type="paragraph" w:customStyle="1" w:styleId="Style18">
    <w:name w:val="Style18"/>
    <w:basedOn w:val="Style14"/>
    <w:link w:val="Style18Char"/>
    <w:qFormat/>
    <w:rsid w:val="00C811D2"/>
  </w:style>
  <w:style w:type="character" w:customStyle="1" w:styleId="Style18Char">
    <w:name w:val="Style18 Char"/>
    <w:basedOn w:val="Style14Char"/>
    <w:link w:val="Style18"/>
    <w:rsid w:val="00C811D2"/>
    <w:rPr>
      <w:rFonts w:ascii="Arial" w:eastAsia="Times New Roman" w:hAnsi="Arial" w:cs="Calibri"/>
      <w:b/>
      <w:iCs/>
      <w:smallCaps/>
      <w:sz w:val="36"/>
      <w:szCs w:val="36"/>
      <w:lang w:val="en-AU"/>
    </w:rPr>
  </w:style>
  <w:style w:type="paragraph" w:customStyle="1" w:styleId="Style19">
    <w:name w:val="Style19"/>
    <w:basedOn w:val="Normal"/>
    <w:link w:val="Style19Char"/>
    <w:qFormat/>
    <w:rsid w:val="00C811D2"/>
    <w:pPr>
      <w:widowControl w:val="0"/>
      <w:autoSpaceDE w:val="0"/>
      <w:autoSpaceDN w:val="0"/>
      <w:adjustRightInd w:val="0"/>
      <w:spacing w:before="0" w:after="0" w:line="240" w:lineRule="auto"/>
      <w:contextualSpacing w:val="0"/>
    </w:pPr>
    <w:rPr>
      <w:rFonts w:ascii="Arial" w:hAnsi="Arial" w:cs="Calibri"/>
      <w:b/>
      <w:iCs/>
      <w:sz w:val="22"/>
      <w:szCs w:val="36"/>
    </w:rPr>
  </w:style>
  <w:style w:type="character" w:customStyle="1" w:styleId="Style19Char">
    <w:name w:val="Style19 Char"/>
    <w:basedOn w:val="Policepardfaut"/>
    <w:link w:val="Style19"/>
    <w:rsid w:val="00C811D2"/>
    <w:rPr>
      <w:rFonts w:ascii="Arial" w:eastAsia="Times New Roman" w:hAnsi="Arial" w:cs="Calibri"/>
      <w:b/>
      <w:iCs/>
      <w:szCs w:val="36"/>
      <w:lang w:val="en-AU"/>
    </w:rPr>
  </w:style>
  <w:style w:type="paragraph" w:customStyle="1" w:styleId="Style20">
    <w:name w:val="Style20"/>
    <w:basedOn w:val="Normal"/>
    <w:link w:val="Style20Char"/>
    <w:qFormat/>
    <w:rsid w:val="00C811D2"/>
    <w:pPr>
      <w:spacing w:before="0" w:after="0" w:line="240" w:lineRule="auto"/>
      <w:contextualSpacing w:val="0"/>
      <w:jc w:val="center"/>
    </w:pPr>
    <w:rPr>
      <w:rFonts w:ascii="Arial Bold" w:eastAsia="Rockwell" w:hAnsi="Arial Bold"/>
      <w:b/>
      <w:szCs w:val="24"/>
    </w:rPr>
  </w:style>
  <w:style w:type="character" w:customStyle="1" w:styleId="Style20Char">
    <w:name w:val="Style20 Char"/>
    <w:basedOn w:val="Policepardfaut"/>
    <w:link w:val="Style20"/>
    <w:rsid w:val="00C811D2"/>
    <w:rPr>
      <w:rFonts w:ascii="Arial Bold" w:eastAsia="Rockwell" w:hAnsi="Arial Bold" w:cs="Times New Roman"/>
      <w:b/>
      <w:sz w:val="24"/>
      <w:szCs w:val="24"/>
      <w:lang w:val="en-AU"/>
    </w:rPr>
  </w:style>
  <w:style w:type="paragraph" w:customStyle="1" w:styleId="Style21">
    <w:name w:val="Style21"/>
    <w:basedOn w:val="Style19"/>
    <w:link w:val="Style21Char"/>
    <w:qFormat/>
    <w:rsid w:val="00C811D2"/>
    <w:pPr>
      <w:ind w:left="851"/>
      <w:outlineLvl w:val="2"/>
    </w:pPr>
    <w:rPr>
      <w:i/>
    </w:rPr>
  </w:style>
  <w:style w:type="character" w:customStyle="1" w:styleId="Style21Char">
    <w:name w:val="Style21 Char"/>
    <w:basedOn w:val="Style19Char"/>
    <w:link w:val="Style21"/>
    <w:rsid w:val="00C811D2"/>
    <w:rPr>
      <w:rFonts w:ascii="Arial" w:eastAsia="Times New Roman" w:hAnsi="Arial" w:cs="Calibri"/>
      <w:b/>
      <w:i/>
      <w:iCs/>
      <w:szCs w:val="36"/>
      <w:lang w:val="en-AU"/>
    </w:rPr>
  </w:style>
  <w:style w:type="paragraph" w:customStyle="1" w:styleId="Style22">
    <w:name w:val="Style22"/>
    <w:basedOn w:val="Style21"/>
    <w:link w:val="Style22Char"/>
    <w:qFormat/>
    <w:rsid w:val="00C811D2"/>
  </w:style>
  <w:style w:type="character" w:customStyle="1" w:styleId="Style22Char">
    <w:name w:val="Style22 Char"/>
    <w:basedOn w:val="Style21Char"/>
    <w:link w:val="Style22"/>
    <w:rsid w:val="00C811D2"/>
    <w:rPr>
      <w:rFonts w:ascii="Arial" w:eastAsia="Times New Roman" w:hAnsi="Arial" w:cs="Calibri"/>
      <w:b/>
      <w:i/>
      <w:iCs/>
      <w:szCs w:val="36"/>
      <w:lang w:val="en-AU"/>
    </w:rPr>
  </w:style>
  <w:style w:type="character" w:customStyle="1" w:styleId="Style23Char">
    <w:name w:val="Style23 Char"/>
    <w:basedOn w:val="Style19Char"/>
    <w:link w:val="Style23"/>
    <w:rsid w:val="00C811D2"/>
    <w:rPr>
      <w:rFonts w:ascii="Arial" w:eastAsia="Times New Roman" w:hAnsi="Arial" w:cs="Calibri"/>
      <w:b/>
      <w:iCs/>
      <w:szCs w:val="36"/>
      <w:lang w:val="en-AU"/>
    </w:rPr>
  </w:style>
  <w:style w:type="paragraph" w:customStyle="1" w:styleId="Style24">
    <w:name w:val="Style24"/>
    <w:basedOn w:val="Style19"/>
    <w:link w:val="Style24Char"/>
    <w:qFormat/>
    <w:rsid w:val="00C811D2"/>
    <w:pPr>
      <w:tabs>
        <w:tab w:val="num" w:pos="772"/>
      </w:tabs>
      <w:ind w:left="772" w:hanging="360"/>
      <w:outlineLvl w:val="1"/>
    </w:pPr>
  </w:style>
  <w:style w:type="character" w:customStyle="1" w:styleId="Style24Char">
    <w:name w:val="Style24 Char"/>
    <w:basedOn w:val="Style19Char"/>
    <w:link w:val="Style24"/>
    <w:rsid w:val="00C811D2"/>
    <w:rPr>
      <w:rFonts w:ascii="Arial" w:eastAsia="Times New Roman" w:hAnsi="Arial" w:cs="Calibri"/>
      <w:b/>
      <w:iCs/>
      <w:szCs w:val="36"/>
      <w:lang w:val="en-AU"/>
    </w:rPr>
  </w:style>
  <w:style w:type="paragraph" w:customStyle="1" w:styleId="Style25">
    <w:name w:val="Style25"/>
    <w:basedOn w:val="Style19"/>
    <w:link w:val="Style25Char"/>
    <w:qFormat/>
    <w:rsid w:val="00C811D2"/>
    <w:pPr>
      <w:numPr>
        <w:numId w:val="14"/>
      </w:numPr>
      <w:outlineLvl w:val="1"/>
    </w:pPr>
  </w:style>
  <w:style w:type="character" w:customStyle="1" w:styleId="Style25Char">
    <w:name w:val="Style25 Char"/>
    <w:basedOn w:val="Style19Char"/>
    <w:link w:val="Style25"/>
    <w:rsid w:val="00C811D2"/>
    <w:rPr>
      <w:rFonts w:ascii="Arial" w:eastAsia="Times New Roman" w:hAnsi="Arial" w:cs="Calibri"/>
      <w:b/>
      <w:iCs/>
      <w:szCs w:val="36"/>
      <w:lang w:val="en-AU"/>
    </w:rPr>
  </w:style>
  <w:style w:type="paragraph" w:customStyle="1" w:styleId="Style26">
    <w:name w:val="Style26"/>
    <w:basedOn w:val="Normal"/>
    <w:link w:val="Style26Char"/>
    <w:qFormat/>
    <w:rsid w:val="00C811D2"/>
    <w:pPr>
      <w:keepNext/>
      <w:spacing w:before="240" w:line="240" w:lineRule="auto"/>
      <w:contextualSpacing w:val="0"/>
      <w:jc w:val="left"/>
      <w:outlineLvl w:val="0"/>
    </w:pPr>
    <w:rPr>
      <w:rFonts w:ascii="Arial Bold" w:eastAsia="Rockwell" w:hAnsi="Arial Bold"/>
      <w:b/>
      <w:sz w:val="22"/>
      <w:szCs w:val="24"/>
    </w:rPr>
  </w:style>
  <w:style w:type="character" w:customStyle="1" w:styleId="Style26Char">
    <w:name w:val="Style26 Char"/>
    <w:basedOn w:val="Policepardfaut"/>
    <w:link w:val="Style26"/>
    <w:rsid w:val="00C811D2"/>
    <w:rPr>
      <w:rFonts w:ascii="Arial Bold" w:eastAsia="Rockwell" w:hAnsi="Arial Bold" w:cs="Times New Roman"/>
      <w:b/>
      <w:szCs w:val="24"/>
      <w:lang w:val="en-AU"/>
    </w:rPr>
  </w:style>
  <w:style w:type="paragraph" w:customStyle="1" w:styleId="Style27">
    <w:name w:val="Style27"/>
    <w:basedOn w:val="Titre1"/>
    <w:link w:val="Style27Char"/>
    <w:qFormat/>
    <w:rsid w:val="00C811D2"/>
    <w:pPr>
      <w:keepNext/>
      <w:tabs>
        <w:tab w:val="num" w:pos="680"/>
      </w:tabs>
      <w:spacing w:before="0" w:after="0" w:line="240" w:lineRule="auto"/>
      <w:ind w:left="1701" w:hanging="1701"/>
      <w:contextualSpacing w:val="0"/>
      <w:jc w:val="left"/>
    </w:pPr>
    <w:rPr>
      <w:rFonts w:ascii="Times New Roman Bold" w:hAnsi="Times New Roman Bold" w:cs="Arial"/>
      <w:bCs/>
      <w:color w:val="000000"/>
      <w:kern w:val="32"/>
      <w:sz w:val="24"/>
      <w:szCs w:val="32"/>
    </w:rPr>
  </w:style>
  <w:style w:type="character" w:customStyle="1" w:styleId="Style27Char">
    <w:name w:val="Style27 Char"/>
    <w:basedOn w:val="Titre1Car"/>
    <w:link w:val="Style27"/>
    <w:rsid w:val="00C811D2"/>
    <w:rPr>
      <w:rFonts w:ascii="Times New Roman Bold" w:eastAsia="Times New Roman" w:hAnsi="Times New Roman Bold" w:cs="Arial"/>
      <w:b/>
      <w:bCs/>
      <w:color w:val="000000"/>
      <w:kern w:val="32"/>
      <w:sz w:val="24"/>
      <w:szCs w:val="32"/>
      <w:lang w:val="en-AU"/>
    </w:rPr>
  </w:style>
  <w:style w:type="paragraph" w:customStyle="1" w:styleId="Style28">
    <w:name w:val="Style28"/>
    <w:basedOn w:val="Titre1"/>
    <w:link w:val="Style28Char"/>
    <w:qFormat/>
    <w:rsid w:val="00C811D2"/>
    <w:pPr>
      <w:keepNext/>
      <w:tabs>
        <w:tab w:val="num" w:pos="680"/>
      </w:tabs>
      <w:spacing w:before="0" w:after="0" w:line="240" w:lineRule="auto"/>
      <w:ind w:left="1701" w:hanging="1701"/>
      <w:contextualSpacing w:val="0"/>
      <w:jc w:val="left"/>
    </w:pPr>
    <w:rPr>
      <w:rFonts w:ascii="Times New Roman Bold" w:hAnsi="Times New Roman Bold" w:cs="Arial"/>
      <w:bCs/>
      <w:color w:val="000000"/>
      <w:kern w:val="32"/>
      <w:sz w:val="24"/>
      <w:szCs w:val="32"/>
    </w:rPr>
  </w:style>
  <w:style w:type="character" w:customStyle="1" w:styleId="Style28Char">
    <w:name w:val="Style28 Char"/>
    <w:basedOn w:val="Titre1Car"/>
    <w:link w:val="Style28"/>
    <w:rsid w:val="00C811D2"/>
    <w:rPr>
      <w:rFonts w:ascii="Times New Roman Bold" w:eastAsia="Times New Roman" w:hAnsi="Times New Roman Bold" w:cs="Arial"/>
      <w:b/>
      <w:bCs/>
      <w:color w:val="000000"/>
      <w:kern w:val="32"/>
      <w:sz w:val="24"/>
      <w:szCs w:val="32"/>
      <w:lang w:val="en-AU"/>
    </w:rPr>
  </w:style>
  <w:style w:type="paragraph" w:customStyle="1" w:styleId="Style29">
    <w:name w:val="Style29"/>
    <w:basedOn w:val="Style28"/>
    <w:link w:val="Style29Char"/>
    <w:qFormat/>
    <w:rsid w:val="00C811D2"/>
    <w:pPr>
      <w:outlineLvl w:val="2"/>
    </w:pPr>
  </w:style>
  <w:style w:type="character" w:customStyle="1" w:styleId="Style29Char">
    <w:name w:val="Style29 Char"/>
    <w:basedOn w:val="Style28Char"/>
    <w:link w:val="Style29"/>
    <w:rsid w:val="00C811D2"/>
    <w:rPr>
      <w:rFonts w:ascii="Times New Roman Bold" w:eastAsia="Times New Roman" w:hAnsi="Times New Roman Bold" w:cs="Arial"/>
      <w:b/>
      <w:bCs/>
      <w:color w:val="000000"/>
      <w:kern w:val="32"/>
      <w:sz w:val="24"/>
      <w:szCs w:val="32"/>
      <w:lang w:val="en-AU"/>
    </w:rPr>
  </w:style>
  <w:style w:type="paragraph" w:customStyle="1" w:styleId="Style30">
    <w:name w:val="Style30"/>
    <w:basedOn w:val="Style28"/>
    <w:link w:val="Style30Char"/>
    <w:qFormat/>
    <w:rsid w:val="00C811D2"/>
    <w:pPr>
      <w:outlineLvl w:val="2"/>
    </w:pPr>
  </w:style>
  <w:style w:type="character" w:customStyle="1" w:styleId="Style30Char">
    <w:name w:val="Style30 Char"/>
    <w:basedOn w:val="Style28Char"/>
    <w:link w:val="Style30"/>
    <w:rsid w:val="00C811D2"/>
    <w:rPr>
      <w:rFonts w:ascii="Times New Roman Bold" w:eastAsia="Times New Roman" w:hAnsi="Times New Roman Bold" w:cs="Arial"/>
      <w:b/>
      <w:bCs/>
      <w:color w:val="000000"/>
      <w:kern w:val="32"/>
      <w:sz w:val="24"/>
      <w:szCs w:val="32"/>
      <w:lang w:val="en-AU"/>
    </w:rPr>
  </w:style>
  <w:style w:type="paragraph" w:customStyle="1" w:styleId="Style31">
    <w:name w:val="Style31"/>
    <w:basedOn w:val="Normal"/>
    <w:link w:val="Style31Char"/>
    <w:qFormat/>
    <w:rsid w:val="00C811D2"/>
    <w:pPr>
      <w:widowControl w:val="0"/>
      <w:autoSpaceDE w:val="0"/>
      <w:autoSpaceDN w:val="0"/>
      <w:adjustRightInd w:val="0"/>
      <w:spacing w:before="0" w:after="0" w:line="240" w:lineRule="auto"/>
      <w:contextualSpacing w:val="0"/>
      <w:jc w:val="center"/>
    </w:pPr>
    <w:rPr>
      <w:rFonts w:ascii="Arial" w:eastAsia="Rockwell" w:hAnsi="Arial" w:cs="Calibri"/>
      <w:b/>
      <w:bCs/>
      <w:sz w:val="22"/>
      <w:szCs w:val="36"/>
    </w:rPr>
  </w:style>
  <w:style w:type="character" w:customStyle="1" w:styleId="Style31Char">
    <w:name w:val="Style31 Char"/>
    <w:basedOn w:val="Policepardfaut"/>
    <w:link w:val="Style31"/>
    <w:rsid w:val="00C811D2"/>
    <w:rPr>
      <w:rFonts w:ascii="Arial" w:eastAsia="Rockwell" w:hAnsi="Arial" w:cs="Calibri"/>
      <w:b/>
      <w:bCs/>
      <w:szCs w:val="36"/>
      <w:lang w:val="en-AU"/>
    </w:rPr>
  </w:style>
  <w:style w:type="paragraph" w:customStyle="1" w:styleId="Style32">
    <w:name w:val="Style32"/>
    <w:basedOn w:val="Titre1"/>
    <w:link w:val="Style32Char"/>
    <w:qFormat/>
    <w:rsid w:val="00C811D2"/>
    <w:pPr>
      <w:keepNext/>
      <w:tabs>
        <w:tab w:val="num" w:pos="680"/>
      </w:tabs>
      <w:spacing w:before="0" w:after="0" w:line="240" w:lineRule="auto"/>
      <w:ind w:left="1701" w:hanging="1701"/>
      <w:contextualSpacing w:val="0"/>
      <w:jc w:val="left"/>
    </w:pPr>
    <w:rPr>
      <w:rFonts w:ascii="Times New Roman Bold" w:hAnsi="Times New Roman Bold" w:cs="Arial"/>
      <w:bCs/>
      <w:color w:val="000000"/>
      <w:kern w:val="32"/>
      <w:sz w:val="24"/>
      <w:szCs w:val="32"/>
    </w:rPr>
  </w:style>
  <w:style w:type="character" w:customStyle="1" w:styleId="Style32Char">
    <w:name w:val="Style32 Char"/>
    <w:basedOn w:val="Titre1Car"/>
    <w:link w:val="Style32"/>
    <w:rsid w:val="00C811D2"/>
    <w:rPr>
      <w:rFonts w:ascii="Times New Roman Bold" w:eastAsia="Times New Roman" w:hAnsi="Times New Roman Bold" w:cs="Arial"/>
      <w:b/>
      <w:bCs/>
      <w:color w:val="000000"/>
      <w:kern w:val="32"/>
      <w:sz w:val="24"/>
      <w:szCs w:val="32"/>
      <w:lang w:val="en-AU"/>
    </w:rPr>
  </w:style>
  <w:style w:type="paragraph" w:customStyle="1" w:styleId="Style33">
    <w:name w:val="Style33"/>
    <w:basedOn w:val="Style32"/>
    <w:link w:val="Style33Char"/>
    <w:qFormat/>
    <w:rsid w:val="00C811D2"/>
    <w:pPr>
      <w:outlineLvl w:val="9"/>
    </w:pPr>
  </w:style>
  <w:style w:type="character" w:customStyle="1" w:styleId="Style33Char">
    <w:name w:val="Style33 Char"/>
    <w:basedOn w:val="Style32Char"/>
    <w:link w:val="Style33"/>
    <w:rsid w:val="00C811D2"/>
    <w:rPr>
      <w:rFonts w:ascii="Times New Roman Bold" w:eastAsia="Times New Roman" w:hAnsi="Times New Roman Bold" w:cs="Arial"/>
      <w:b/>
      <w:bCs/>
      <w:color w:val="000000"/>
      <w:kern w:val="32"/>
      <w:sz w:val="24"/>
      <w:szCs w:val="32"/>
      <w:lang w:val="en-AU"/>
    </w:rPr>
  </w:style>
  <w:style w:type="paragraph" w:customStyle="1" w:styleId="Style34">
    <w:name w:val="Style34"/>
    <w:basedOn w:val="Titre1"/>
    <w:link w:val="Style34Char"/>
    <w:qFormat/>
    <w:rsid w:val="00C811D2"/>
    <w:pPr>
      <w:keepNext/>
      <w:tabs>
        <w:tab w:val="num" w:pos="680"/>
      </w:tabs>
      <w:spacing w:before="0" w:after="0" w:line="240" w:lineRule="auto"/>
      <w:ind w:left="1701" w:hanging="1701"/>
      <w:contextualSpacing w:val="0"/>
      <w:jc w:val="left"/>
    </w:pPr>
    <w:rPr>
      <w:rFonts w:ascii="Times New Roman Bold" w:hAnsi="Times New Roman Bold" w:cs="Arial"/>
      <w:bCs/>
      <w:color w:val="000000"/>
      <w:kern w:val="32"/>
      <w:sz w:val="24"/>
      <w:szCs w:val="32"/>
    </w:rPr>
  </w:style>
  <w:style w:type="character" w:customStyle="1" w:styleId="Style34Char">
    <w:name w:val="Style34 Char"/>
    <w:basedOn w:val="Titre1Car"/>
    <w:link w:val="Style34"/>
    <w:rsid w:val="00C811D2"/>
    <w:rPr>
      <w:rFonts w:ascii="Times New Roman Bold" w:eastAsia="Times New Roman" w:hAnsi="Times New Roman Bold" w:cs="Arial"/>
      <w:b/>
      <w:bCs/>
      <w:color w:val="000000"/>
      <w:kern w:val="32"/>
      <w:sz w:val="24"/>
      <w:szCs w:val="32"/>
      <w:lang w:val="en-AU"/>
    </w:rPr>
  </w:style>
  <w:style w:type="paragraph" w:customStyle="1" w:styleId="Style35">
    <w:name w:val="Style35"/>
    <w:basedOn w:val="Style34"/>
    <w:link w:val="Style35Char"/>
    <w:qFormat/>
    <w:rsid w:val="00C811D2"/>
    <w:pPr>
      <w:outlineLvl w:val="9"/>
    </w:pPr>
  </w:style>
  <w:style w:type="character" w:customStyle="1" w:styleId="Style35Char">
    <w:name w:val="Style35 Char"/>
    <w:basedOn w:val="Style34Char"/>
    <w:link w:val="Style35"/>
    <w:rsid w:val="00C811D2"/>
    <w:rPr>
      <w:rFonts w:ascii="Times New Roman Bold" w:eastAsia="Times New Roman" w:hAnsi="Times New Roman Bold" w:cs="Arial"/>
      <w:b/>
      <w:bCs/>
      <w:color w:val="000000"/>
      <w:kern w:val="32"/>
      <w:sz w:val="24"/>
      <w:szCs w:val="32"/>
      <w:lang w:val="en-AU"/>
    </w:rPr>
  </w:style>
  <w:style w:type="paragraph" w:customStyle="1" w:styleId="Style36">
    <w:name w:val="Style36"/>
    <w:basedOn w:val="Style34"/>
    <w:link w:val="Style36Char"/>
    <w:qFormat/>
    <w:rsid w:val="00C811D2"/>
    <w:pPr>
      <w:outlineLvl w:val="9"/>
    </w:pPr>
  </w:style>
  <w:style w:type="character" w:customStyle="1" w:styleId="Style36Char">
    <w:name w:val="Style36 Char"/>
    <w:basedOn w:val="Style34Char"/>
    <w:link w:val="Style36"/>
    <w:rsid w:val="00C811D2"/>
    <w:rPr>
      <w:rFonts w:ascii="Times New Roman Bold" w:eastAsia="Times New Roman" w:hAnsi="Times New Roman Bold" w:cs="Arial"/>
      <w:b/>
      <w:bCs/>
      <w:color w:val="000000"/>
      <w:kern w:val="32"/>
      <w:sz w:val="24"/>
      <w:szCs w:val="32"/>
      <w:lang w:val="en-AU"/>
    </w:rPr>
  </w:style>
  <w:style w:type="paragraph" w:customStyle="1" w:styleId="Style37">
    <w:name w:val="Style37"/>
    <w:basedOn w:val="Style34"/>
    <w:link w:val="Style37Char"/>
    <w:qFormat/>
    <w:rsid w:val="00C811D2"/>
    <w:pPr>
      <w:outlineLvl w:val="9"/>
    </w:pPr>
  </w:style>
  <w:style w:type="character" w:customStyle="1" w:styleId="Style37Char">
    <w:name w:val="Style37 Char"/>
    <w:basedOn w:val="Style34Char"/>
    <w:link w:val="Style37"/>
    <w:rsid w:val="00C811D2"/>
    <w:rPr>
      <w:rFonts w:ascii="Times New Roman Bold" w:eastAsia="Times New Roman" w:hAnsi="Times New Roman Bold" w:cs="Arial"/>
      <w:b/>
      <w:bCs/>
      <w:color w:val="000000"/>
      <w:kern w:val="32"/>
      <w:sz w:val="24"/>
      <w:szCs w:val="32"/>
      <w:lang w:val="en-AU"/>
    </w:rPr>
  </w:style>
  <w:style w:type="paragraph" w:customStyle="1" w:styleId="Style38">
    <w:name w:val="Style38"/>
    <w:basedOn w:val="Style36"/>
    <w:link w:val="Style38Char"/>
    <w:qFormat/>
    <w:rsid w:val="00C811D2"/>
  </w:style>
  <w:style w:type="character" w:customStyle="1" w:styleId="Style38Char">
    <w:name w:val="Style38 Char"/>
    <w:basedOn w:val="Style36Char"/>
    <w:link w:val="Style38"/>
    <w:rsid w:val="00C811D2"/>
    <w:rPr>
      <w:rFonts w:ascii="Times New Roman Bold" w:eastAsia="Times New Roman" w:hAnsi="Times New Roman Bold" w:cs="Arial"/>
      <w:b/>
      <w:bCs/>
      <w:color w:val="000000"/>
      <w:kern w:val="32"/>
      <w:sz w:val="24"/>
      <w:szCs w:val="32"/>
      <w:lang w:val="en-AU"/>
    </w:rPr>
  </w:style>
  <w:style w:type="paragraph" w:customStyle="1" w:styleId="Style39">
    <w:name w:val="Style39"/>
    <w:basedOn w:val="Style36"/>
    <w:link w:val="Style39Char"/>
    <w:qFormat/>
    <w:rsid w:val="00C811D2"/>
  </w:style>
  <w:style w:type="character" w:customStyle="1" w:styleId="Style39Char">
    <w:name w:val="Style39 Char"/>
    <w:basedOn w:val="Style36Char"/>
    <w:link w:val="Style39"/>
    <w:rsid w:val="00C811D2"/>
    <w:rPr>
      <w:rFonts w:ascii="Times New Roman Bold" w:eastAsia="Times New Roman" w:hAnsi="Times New Roman Bold" w:cs="Arial"/>
      <w:b/>
      <w:bCs/>
      <w:color w:val="000000"/>
      <w:kern w:val="32"/>
      <w:sz w:val="24"/>
      <w:szCs w:val="32"/>
      <w:lang w:val="en-AU"/>
    </w:rPr>
  </w:style>
  <w:style w:type="paragraph" w:customStyle="1" w:styleId="Style40">
    <w:name w:val="Style40"/>
    <w:basedOn w:val="Style39"/>
    <w:link w:val="Style40Char"/>
    <w:qFormat/>
    <w:rsid w:val="00C811D2"/>
  </w:style>
  <w:style w:type="character" w:customStyle="1" w:styleId="Style40Char">
    <w:name w:val="Style40 Char"/>
    <w:basedOn w:val="Style39Char"/>
    <w:link w:val="Style40"/>
    <w:rsid w:val="00C811D2"/>
    <w:rPr>
      <w:rFonts w:ascii="Times New Roman Bold" w:eastAsia="Times New Roman" w:hAnsi="Times New Roman Bold" w:cs="Arial"/>
      <w:b/>
      <w:bCs/>
      <w:color w:val="000000"/>
      <w:kern w:val="32"/>
      <w:sz w:val="24"/>
      <w:szCs w:val="32"/>
      <w:lang w:val="en-AU"/>
    </w:rPr>
  </w:style>
  <w:style w:type="paragraph" w:customStyle="1" w:styleId="Style41">
    <w:name w:val="Style41"/>
    <w:basedOn w:val="Style36"/>
    <w:link w:val="Style41Char"/>
    <w:qFormat/>
    <w:rsid w:val="00C811D2"/>
  </w:style>
  <w:style w:type="character" w:customStyle="1" w:styleId="Style41Char">
    <w:name w:val="Style41 Char"/>
    <w:basedOn w:val="Style36Char"/>
    <w:link w:val="Style41"/>
    <w:rsid w:val="00C811D2"/>
    <w:rPr>
      <w:rFonts w:ascii="Times New Roman Bold" w:eastAsia="Times New Roman" w:hAnsi="Times New Roman Bold" w:cs="Arial"/>
      <w:b/>
      <w:bCs/>
      <w:color w:val="000000"/>
      <w:kern w:val="32"/>
      <w:sz w:val="24"/>
      <w:szCs w:val="32"/>
      <w:lang w:val="en-AU"/>
    </w:rPr>
  </w:style>
  <w:style w:type="paragraph" w:customStyle="1" w:styleId="Style42">
    <w:name w:val="Style42"/>
    <w:basedOn w:val="Style32"/>
    <w:link w:val="Style42Char"/>
    <w:qFormat/>
    <w:rsid w:val="00C811D2"/>
    <w:pPr>
      <w:outlineLvl w:val="9"/>
    </w:pPr>
  </w:style>
  <w:style w:type="character" w:customStyle="1" w:styleId="Style42Char">
    <w:name w:val="Style42 Char"/>
    <w:basedOn w:val="Style32Char"/>
    <w:link w:val="Style42"/>
    <w:rsid w:val="00C811D2"/>
    <w:rPr>
      <w:rFonts w:ascii="Times New Roman Bold" w:eastAsia="Times New Roman" w:hAnsi="Times New Roman Bold" w:cs="Arial"/>
      <w:b/>
      <w:bCs/>
      <w:color w:val="000000"/>
      <w:kern w:val="32"/>
      <w:sz w:val="24"/>
      <w:szCs w:val="32"/>
      <w:lang w:val="en-AU"/>
    </w:rPr>
  </w:style>
  <w:style w:type="paragraph" w:customStyle="1" w:styleId="Style43">
    <w:name w:val="Style43"/>
    <w:basedOn w:val="Style32"/>
    <w:link w:val="Style43Char"/>
    <w:qFormat/>
    <w:rsid w:val="00C811D2"/>
    <w:pPr>
      <w:outlineLvl w:val="9"/>
    </w:pPr>
  </w:style>
  <w:style w:type="character" w:customStyle="1" w:styleId="Style43Char">
    <w:name w:val="Style43 Char"/>
    <w:basedOn w:val="Style32Char"/>
    <w:link w:val="Style43"/>
    <w:rsid w:val="00C811D2"/>
    <w:rPr>
      <w:rFonts w:ascii="Times New Roman Bold" w:eastAsia="Times New Roman" w:hAnsi="Times New Roman Bold" w:cs="Arial"/>
      <w:b/>
      <w:bCs/>
      <w:color w:val="000000"/>
      <w:kern w:val="32"/>
      <w:sz w:val="24"/>
      <w:szCs w:val="32"/>
      <w:lang w:val="en-AU"/>
    </w:rPr>
  </w:style>
  <w:style w:type="numbering" w:styleId="111111">
    <w:name w:val="Outline List 2"/>
    <w:basedOn w:val="Aucuneliste"/>
    <w:rsid w:val="00C811D2"/>
    <w:pPr>
      <w:numPr>
        <w:numId w:val="15"/>
      </w:numPr>
    </w:pPr>
  </w:style>
  <w:style w:type="paragraph" w:styleId="Notedefin">
    <w:name w:val="endnote text"/>
    <w:basedOn w:val="Normal"/>
    <w:link w:val="NotedefinCar"/>
    <w:uiPriority w:val="99"/>
    <w:rsid w:val="00C811D2"/>
    <w:pPr>
      <w:spacing w:before="0" w:after="0" w:line="240" w:lineRule="auto"/>
      <w:contextualSpacing w:val="0"/>
    </w:pPr>
    <w:rPr>
      <w:rFonts w:ascii="Arial" w:eastAsia="SimSun" w:hAnsi="Arial"/>
      <w:sz w:val="20"/>
      <w:szCs w:val="24"/>
      <w:lang w:val="en-US" w:eastAsia="zh-CN"/>
    </w:rPr>
  </w:style>
  <w:style w:type="character" w:customStyle="1" w:styleId="NotedefinCar">
    <w:name w:val="Note de fin Car"/>
    <w:basedOn w:val="Policepardfaut"/>
    <w:link w:val="Notedefin"/>
    <w:uiPriority w:val="99"/>
    <w:rsid w:val="00C811D2"/>
    <w:rPr>
      <w:rFonts w:ascii="Arial" w:eastAsia="SimSun" w:hAnsi="Arial" w:cs="Times New Roman"/>
      <w:sz w:val="20"/>
      <w:szCs w:val="24"/>
      <w:lang w:eastAsia="zh-CN"/>
    </w:rPr>
  </w:style>
  <w:style w:type="paragraph" w:customStyle="1" w:styleId="StyleBodyTextArial">
    <w:name w:val="Style Body Text + Arial"/>
    <w:basedOn w:val="Corpsdetexte"/>
    <w:rsid w:val="00C811D2"/>
    <w:pPr>
      <w:spacing w:before="0" w:after="60" w:line="280" w:lineRule="atLeast"/>
      <w:contextualSpacing w:val="0"/>
      <w:jc w:val="left"/>
    </w:pPr>
    <w:rPr>
      <w:rFonts w:ascii="Arial" w:eastAsia="SimSun" w:hAnsi="Arial"/>
      <w:szCs w:val="24"/>
      <w:lang w:val="es-ES" w:eastAsia="en-AU"/>
    </w:rPr>
  </w:style>
  <w:style w:type="character" w:customStyle="1" w:styleId="StyleBlue">
    <w:name w:val="Style Blue"/>
    <w:basedOn w:val="Policepardfaut"/>
    <w:rsid w:val="00C811D2"/>
    <w:rPr>
      <w:color w:val="FF0000"/>
    </w:rPr>
  </w:style>
  <w:style w:type="paragraph" w:customStyle="1" w:styleId="REPORTNAME">
    <w:name w:val="REPORT NAME"/>
    <w:rsid w:val="00C811D2"/>
    <w:pPr>
      <w:spacing w:before="2000" w:after="0" w:line="240" w:lineRule="auto"/>
    </w:pPr>
    <w:rPr>
      <w:rFonts w:ascii="Times New Roman" w:eastAsia="Times New Roman" w:hAnsi="Times New Roman" w:cs="Times New Roman"/>
      <w:b/>
      <w:bCs/>
      <w:sz w:val="28"/>
      <w:szCs w:val="28"/>
      <w:lang w:val="en-GB"/>
    </w:rPr>
  </w:style>
  <w:style w:type="paragraph" w:styleId="Retraitnormal">
    <w:name w:val="Normal Indent"/>
    <w:basedOn w:val="Normal"/>
    <w:rsid w:val="00C811D2"/>
    <w:pPr>
      <w:spacing w:before="0" w:after="0" w:line="240" w:lineRule="auto"/>
      <w:ind w:left="1304"/>
      <w:contextualSpacing w:val="0"/>
      <w:jc w:val="left"/>
    </w:pPr>
    <w:rPr>
      <w:rFonts w:eastAsia="Batang" w:cs="Mangal"/>
      <w:szCs w:val="24"/>
      <w:lang w:val="en-GB" w:eastAsia="ko-KR" w:bidi="hi-IN"/>
    </w:rPr>
  </w:style>
  <w:style w:type="paragraph" w:customStyle="1" w:styleId="BOX0">
    <w:name w:val="BOX"/>
    <w:rsid w:val="00C811D2"/>
    <w:pPr>
      <w:keepLines/>
      <w:pBdr>
        <w:top w:val="single" w:sz="12" w:space="0" w:color="000000"/>
        <w:left w:val="single" w:sz="12" w:space="0" w:color="000000"/>
        <w:bottom w:val="single" w:sz="12" w:space="0" w:color="000000"/>
        <w:right w:val="single" w:sz="12" w:space="0" w:color="000000"/>
        <w:between w:val="single" w:sz="12" w:space="0" w:color="000000"/>
      </w:pBdr>
      <w:tabs>
        <w:tab w:val="left" w:pos="2835"/>
      </w:tabs>
      <w:spacing w:after="0" w:line="240" w:lineRule="auto"/>
      <w:ind w:left="2835" w:right="1701" w:hanging="567"/>
    </w:pPr>
    <w:rPr>
      <w:rFonts w:ascii="Times New Roman" w:eastAsia="Times New Roman" w:hAnsi="Times New Roman" w:cs="Times New Roman"/>
      <w:i/>
      <w:iCs/>
      <w:sz w:val="24"/>
      <w:szCs w:val="24"/>
      <w:lang w:val="en-GB"/>
    </w:rPr>
  </w:style>
  <w:style w:type="paragraph" w:styleId="Titre">
    <w:name w:val="Title"/>
    <w:aliases w:val="Cover Title"/>
    <w:basedOn w:val="Normal"/>
    <w:link w:val="TitreCar"/>
    <w:qFormat/>
    <w:rsid w:val="00C811D2"/>
    <w:pPr>
      <w:spacing w:before="0" w:after="0" w:line="240" w:lineRule="auto"/>
      <w:contextualSpacing w:val="0"/>
      <w:jc w:val="center"/>
    </w:pPr>
    <w:rPr>
      <w:rFonts w:eastAsia="Batang" w:cs="Mangal"/>
      <w:b/>
      <w:bCs/>
      <w:szCs w:val="24"/>
      <w:lang w:val="en-US" w:eastAsia="ko-KR" w:bidi="hi-IN"/>
    </w:rPr>
  </w:style>
  <w:style w:type="character" w:customStyle="1" w:styleId="TitreCar">
    <w:name w:val="Titre Car"/>
    <w:aliases w:val="Cover Title Car"/>
    <w:basedOn w:val="Policepardfaut"/>
    <w:link w:val="Titre"/>
    <w:rsid w:val="00C811D2"/>
    <w:rPr>
      <w:rFonts w:ascii="Times New Roman" w:eastAsia="Batang" w:hAnsi="Times New Roman" w:cs="Mangal"/>
      <w:b/>
      <w:bCs/>
      <w:sz w:val="24"/>
      <w:szCs w:val="24"/>
      <w:lang w:eastAsia="ko-KR" w:bidi="hi-IN"/>
    </w:rPr>
  </w:style>
  <w:style w:type="paragraph" w:customStyle="1" w:styleId="ChapterNumber">
    <w:name w:val="ChapterNumber"/>
    <w:basedOn w:val="Normal"/>
    <w:next w:val="Normal"/>
    <w:rsid w:val="00C811D2"/>
    <w:pPr>
      <w:overflowPunct w:val="0"/>
      <w:autoSpaceDE w:val="0"/>
      <w:autoSpaceDN w:val="0"/>
      <w:adjustRightInd w:val="0"/>
      <w:spacing w:before="0" w:after="360" w:line="240" w:lineRule="auto"/>
      <w:contextualSpacing w:val="0"/>
      <w:jc w:val="left"/>
      <w:textAlignment w:val="baseline"/>
    </w:pPr>
    <w:rPr>
      <w:rFonts w:eastAsia="Batang" w:cs="Mangal"/>
      <w:szCs w:val="24"/>
      <w:lang w:val="en-US" w:eastAsia="ko-KR" w:bidi="hi-IN"/>
    </w:rPr>
  </w:style>
  <w:style w:type="paragraph" w:styleId="Date">
    <w:name w:val="Date"/>
    <w:basedOn w:val="Normal"/>
    <w:next w:val="Normal"/>
    <w:link w:val="DateCar"/>
    <w:uiPriority w:val="99"/>
    <w:rsid w:val="00C811D2"/>
    <w:pPr>
      <w:spacing w:before="0" w:after="0" w:line="240" w:lineRule="auto"/>
      <w:contextualSpacing w:val="0"/>
      <w:jc w:val="left"/>
    </w:pPr>
    <w:rPr>
      <w:rFonts w:eastAsia="Batang" w:cs="Mangal"/>
      <w:szCs w:val="24"/>
      <w:lang w:val="en-GB" w:eastAsia="ko-KR" w:bidi="hi-IN"/>
    </w:rPr>
  </w:style>
  <w:style w:type="character" w:customStyle="1" w:styleId="DateCar">
    <w:name w:val="Date Car"/>
    <w:basedOn w:val="Policepardfaut"/>
    <w:link w:val="Date"/>
    <w:uiPriority w:val="99"/>
    <w:rsid w:val="00C811D2"/>
    <w:rPr>
      <w:rFonts w:ascii="Times New Roman" w:eastAsia="Batang" w:hAnsi="Times New Roman" w:cs="Mangal"/>
      <w:sz w:val="24"/>
      <w:szCs w:val="24"/>
      <w:lang w:val="en-GB" w:eastAsia="ko-KR" w:bidi="hi-IN"/>
    </w:rPr>
  </w:style>
  <w:style w:type="paragraph" w:customStyle="1" w:styleId="Headiing3">
    <w:name w:val="Headiing3"/>
    <w:basedOn w:val="Normal"/>
    <w:rsid w:val="00C811D2"/>
    <w:pPr>
      <w:tabs>
        <w:tab w:val="num" w:pos="1309"/>
      </w:tabs>
      <w:spacing w:before="0" w:after="0" w:line="240" w:lineRule="auto"/>
      <w:ind w:left="1309" w:hanging="360"/>
      <w:contextualSpacing w:val="0"/>
      <w:jc w:val="left"/>
    </w:pPr>
    <w:rPr>
      <w:rFonts w:eastAsia="Batang" w:cs="Mangal"/>
      <w:b/>
      <w:bCs/>
      <w:szCs w:val="24"/>
      <w:lang w:val="en-GB" w:eastAsia="ko-KR" w:bidi="hi-IN"/>
    </w:rPr>
  </w:style>
  <w:style w:type="character" w:styleId="MachinecrireHTML">
    <w:name w:val="HTML Typewriter"/>
    <w:basedOn w:val="Policepardfaut"/>
    <w:rsid w:val="00C811D2"/>
    <w:rPr>
      <w:rFonts w:ascii="Courier New" w:eastAsia="Times New Roman" w:hAnsi="Courier New" w:cs="Courier New"/>
      <w:sz w:val="20"/>
      <w:szCs w:val="20"/>
    </w:rPr>
  </w:style>
  <w:style w:type="character" w:customStyle="1" w:styleId="link-mailto">
    <w:name w:val="link-mailto"/>
    <w:basedOn w:val="Policepardfaut"/>
    <w:rsid w:val="00C811D2"/>
  </w:style>
  <w:style w:type="paragraph" w:styleId="Sous-titre">
    <w:name w:val="Subtitle"/>
    <w:basedOn w:val="Normal"/>
    <w:link w:val="Sous-titreCar"/>
    <w:uiPriority w:val="11"/>
    <w:qFormat/>
    <w:rsid w:val="00C811D2"/>
    <w:pPr>
      <w:spacing w:before="0" w:after="60" w:line="240" w:lineRule="auto"/>
      <w:contextualSpacing w:val="0"/>
      <w:jc w:val="center"/>
      <w:outlineLvl w:val="1"/>
    </w:pPr>
    <w:rPr>
      <w:rFonts w:cs="Arial"/>
      <w:szCs w:val="24"/>
      <w:lang w:val="en-US"/>
    </w:rPr>
  </w:style>
  <w:style w:type="character" w:customStyle="1" w:styleId="Sous-titreCar">
    <w:name w:val="Sous-titre Car"/>
    <w:basedOn w:val="Policepardfaut"/>
    <w:link w:val="Sous-titre"/>
    <w:uiPriority w:val="11"/>
    <w:rsid w:val="00C811D2"/>
    <w:rPr>
      <w:rFonts w:ascii="Times New Roman" w:eastAsia="Times New Roman" w:hAnsi="Times New Roman" w:cs="Arial"/>
      <w:sz w:val="24"/>
      <w:szCs w:val="24"/>
    </w:rPr>
  </w:style>
  <w:style w:type="paragraph" w:customStyle="1" w:styleId="BodyText10">
    <w:name w:val="Body Text1"/>
    <w:basedOn w:val="Normal"/>
    <w:rsid w:val="00C811D2"/>
    <w:pPr>
      <w:spacing w:before="0" w:after="0" w:line="240" w:lineRule="auto"/>
      <w:contextualSpacing w:val="0"/>
      <w:jc w:val="left"/>
    </w:pPr>
    <w:rPr>
      <w:rFonts w:ascii="Arial" w:hAnsi="Arial"/>
      <w:b/>
      <w:smallCaps/>
      <w:sz w:val="22"/>
      <w:lang w:val="en-US"/>
    </w:rPr>
  </w:style>
  <w:style w:type="paragraph" w:customStyle="1" w:styleId="ZEF-DP-Funote">
    <w:name w:val="ZEF-DP-Fußnote"/>
    <w:basedOn w:val="Normal"/>
    <w:rsid w:val="00C811D2"/>
    <w:pPr>
      <w:tabs>
        <w:tab w:val="left" w:pos="0"/>
      </w:tabs>
      <w:spacing w:before="0" w:after="0" w:line="240" w:lineRule="auto"/>
      <w:contextualSpacing w:val="0"/>
    </w:pPr>
    <w:rPr>
      <w:szCs w:val="24"/>
      <w:lang w:val="en-US"/>
    </w:rPr>
  </w:style>
  <w:style w:type="paragraph" w:customStyle="1" w:styleId="MTCenterHead">
    <w:name w:val="MTCenterHead"/>
    <w:basedOn w:val="Normal"/>
    <w:rsid w:val="00C811D2"/>
    <w:pPr>
      <w:spacing w:before="0" w:after="240" w:line="240" w:lineRule="auto"/>
      <w:contextualSpacing w:val="0"/>
      <w:jc w:val="center"/>
    </w:pPr>
    <w:rPr>
      <w:lang w:val="en-GB"/>
    </w:rPr>
  </w:style>
  <w:style w:type="paragraph" w:styleId="Textedemacro">
    <w:name w:val="macro"/>
    <w:link w:val="TextedemacroCar"/>
    <w:rsid w:val="00C811D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4"/>
      <w:szCs w:val="24"/>
      <w:lang w:val="en-GB"/>
    </w:rPr>
  </w:style>
  <w:style w:type="character" w:customStyle="1" w:styleId="TextedemacroCar">
    <w:name w:val="Texte de macro Car"/>
    <w:basedOn w:val="Policepardfaut"/>
    <w:link w:val="Textedemacro"/>
    <w:rsid w:val="00C811D2"/>
    <w:rPr>
      <w:rFonts w:ascii="Courier New" w:eastAsia="Times New Roman" w:hAnsi="Courier New" w:cs="Times New Roman"/>
      <w:sz w:val="24"/>
      <w:szCs w:val="24"/>
      <w:lang w:val="en-GB"/>
    </w:rPr>
  </w:style>
  <w:style w:type="paragraph" w:customStyle="1" w:styleId="NormalCentered">
    <w:name w:val="Normal + Centered"/>
    <w:basedOn w:val="Normal"/>
    <w:rsid w:val="00C811D2"/>
    <w:pPr>
      <w:spacing w:before="0" w:after="0" w:line="240" w:lineRule="auto"/>
      <w:contextualSpacing w:val="0"/>
      <w:jc w:val="center"/>
    </w:pPr>
    <w:rPr>
      <w:rFonts w:eastAsia="Batang" w:cs="Mangal"/>
      <w:szCs w:val="24"/>
      <w:lang w:val="en-GB" w:eastAsia="ko-KR" w:bidi="hi-IN"/>
    </w:rPr>
  </w:style>
  <w:style w:type="character" w:customStyle="1" w:styleId="m1">
    <w:name w:val="m1"/>
    <w:basedOn w:val="Policepardfaut"/>
    <w:rsid w:val="00C811D2"/>
    <w:rPr>
      <w:color w:val="0000FF"/>
    </w:rPr>
  </w:style>
  <w:style w:type="character" w:customStyle="1" w:styleId="pi1">
    <w:name w:val="pi1"/>
    <w:basedOn w:val="Policepardfaut"/>
    <w:rsid w:val="00C811D2"/>
    <w:rPr>
      <w:color w:val="0000FF"/>
    </w:rPr>
  </w:style>
  <w:style w:type="character" w:customStyle="1" w:styleId="c">
    <w:name w:val="c"/>
    <w:basedOn w:val="Policepardfaut"/>
    <w:rsid w:val="00C811D2"/>
  </w:style>
  <w:style w:type="character" w:customStyle="1" w:styleId="cb1">
    <w:name w:val="cb1"/>
    <w:basedOn w:val="Policepardfaut"/>
    <w:rsid w:val="00C811D2"/>
    <w:rPr>
      <w:rFonts w:ascii="Courier" w:hAnsi="Courier" w:hint="default"/>
      <w:color w:val="888888"/>
      <w:sz w:val="24"/>
      <w:szCs w:val="24"/>
    </w:rPr>
  </w:style>
  <w:style w:type="character" w:customStyle="1" w:styleId="b1">
    <w:name w:val="b1"/>
    <w:basedOn w:val="Policepardfaut"/>
    <w:rsid w:val="00C811D2"/>
    <w:rPr>
      <w:rFonts w:ascii="Courier New" w:hAnsi="Courier New" w:cs="Courier New" w:hint="default"/>
      <w:b/>
      <w:bCs/>
      <w:strike w:val="0"/>
      <w:dstrike w:val="0"/>
      <w:color w:val="FF0000"/>
      <w:u w:val="none"/>
      <w:effect w:val="none"/>
    </w:rPr>
  </w:style>
  <w:style w:type="character" w:customStyle="1" w:styleId="t1">
    <w:name w:val="t1"/>
    <w:basedOn w:val="Policepardfaut"/>
    <w:rsid w:val="00C811D2"/>
    <w:rPr>
      <w:color w:val="990000"/>
    </w:rPr>
  </w:style>
  <w:style w:type="character" w:customStyle="1" w:styleId="ns1">
    <w:name w:val="ns1"/>
    <w:basedOn w:val="Policepardfaut"/>
    <w:rsid w:val="00C811D2"/>
    <w:rPr>
      <w:color w:val="FF0000"/>
    </w:rPr>
  </w:style>
  <w:style w:type="character" w:customStyle="1" w:styleId="tx1">
    <w:name w:val="tx1"/>
    <w:basedOn w:val="Policepardfaut"/>
    <w:rsid w:val="00C811D2"/>
    <w:rPr>
      <w:b/>
      <w:bCs/>
    </w:rPr>
  </w:style>
  <w:style w:type="paragraph" w:customStyle="1" w:styleId="b">
    <w:name w:val="b"/>
    <w:basedOn w:val="Normal"/>
    <w:rsid w:val="00C811D2"/>
    <w:pPr>
      <w:spacing w:before="100" w:beforeAutospacing="1" w:after="100" w:afterAutospacing="1" w:line="240" w:lineRule="auto"/>
      <w:contextualSpacing w:val="0"/>
      <w:jc w:val="left"/>
    </w:pPr>
    <w:rPr>
      <w:rFonts w:ascii="Courier New" w:eastAsia="MS Mincho" w:hAnsi="Courier New" w:cs="Courier New"/>
      <w:b/>
      <w:bCs/>
      <w:color w:val="FF0000"/>
      <w:szCs w:val="24"/>
      <w:lang w:val="en-US" w:eastAsia="ja-JP"/>
    </w:rPr>
  </w:style>
  <w:style w:type="paragraph" w:customStyle="1" w:styleId="e">
    <w:name w:val="e"/>
    <w:basedOn w:val="Normal"/>
    <w:rsid w:val="00C811D2"/>
    <w:pPr>
      <w:spacing w:before="100" w:beforeAutospacing="1" w:after="100" w:afterAutospacing="1" w:line="240" w:lineRule="auto"/>
      <w:ind w:left="240" w:right="240" w:hanging="240"/>
      <w:contextualSpacing w:val="0"/>
      <w:jc w:val="left"/>
    </w:pPr>
    <w:rPr>
      <w:rFonts w:eastAsia="MS Mincho"/>
      <w:szCs w:val="24"/>
      <w:lang w:val="en-US" w:eastAsia="ja-JP"/>
    </w:rPr>
  </w:style>
  <w:style w:type="paragraph" w:customStyle="1" w:styleId="k">
    <w:name w:val="k"/>
    <w:basedOn w:val="Normal"/>
    <w:rsid w:val="00C811D2"/>
    <w:pPr>
      <w:spacing w:before="100" w:beforeAutospacing="1" w:after="100" w:afterAutospacing="1" w:line="240" w:lineRule="auto"/>
      <w:ind w:left="240" w:right="240" w:hanging="240"/>
      <w:contextualSpacing w:val="0"/>
      <w:jc w:val="left"/>
    </w:pPr>
    <w:rPr>
      <w:rFonts w:eastAsia="MS Mincho"/>
      <w:szCs w:val="24"/>
      <w:lang w:val="en-US" w:eastAsia="ja-JP"/>
    </w:rPr>
  </w:style>
  <w:style w:type="paragraph" w:customStyle="1" w:styleId="t">
    <w:name w:val="t"/>
    <w:basedOn w:val="Normal"/>
    <w:rsid w:val="00C811D2"/>
    <w:pPr>
      <w:spacing w:before="100" w:beforeAutospacing="1" w:after="100" w:afterAutospacing="1" w:line="240" w:lineRule="auto"/>
      <w:contextualSpacing w:val="0"/>
      <w:jc w:val="left"/>
    </w:pPr>
    <w:rPr>
      <w:rFonts w:eastAsia="MS Mincho"/>
      <w:color w:val="990000"/>
      <w:szCs w:val="24"/>
      <w:lang w:val="en-US" w:eastAsia="ja-JP"/>
    </w:rPr>
  </w:style>
  <w:style w:type="paragraph" w:customStyle="1" w:styleId="xt">
    <w:name w:val="xt"/>
    <w:basedOn w:val="Normal"/>
    <w:rsid w:val="00C811D2"/>
    <w:pPr>
      <w:spacing w:before="100" w:beforeAutospacing="1" w:after="100" w:afterAutospacing="1" w:line="240" w:lineRule="auto"/>
      <w:contextualSpacing w:val="0"/>
      <w:jc w:val="left"/>
    </w:pPr>
    <w:rPr>
      <w:rFonts w:eastAsia="MS Mincho"/>
      <w:color w:val="990099"/>
      <w:szCs w:val="24"/>
      <w:lang w:val="en-US" w:eastAsia="ja-JP"/>
    </w:rPr>
  </w:style>
  <w:style w:type="paragraph" w:customStyle="1" w:styleId="ns">
    <w:name w:val="ns"/>
    <w:basedOn w:val="Normal"/>
    <w:rsid w:val="00C811D2"/>
    <w:pPr>
      <w:spacing w:before="100" w:beforeAutospacing="1" w:after="100" w:afterAutospacing="1" w:line="240" w:lineRule="auto"/>
      <w:contextualSpacing w:val="0"/>
      <w:jc w:val="left"/>
    </w:pPr>
    <w:rPr>
      <w:rFonts w:eastAsia="MS Mincho"/>
      <w:color w:val="FF0000"/>
      <w:szCs w:val="24"/>
      <w:lang w:val="en-US" w:eastAsia="ja-JP"/>
    </w:rPr>
  </w:style>
  <w:style w:type="paragraph" w:customStyle="1" w:styleId="dt">
    <w:name w:val="dt"/>
    <w:basedOn w:val="Normal"/>
    <w:rsid w:val="00C811D2"/>
    <w:pPr>
      <w:spacing w:before="100" w:beforeAutospacing="1" w:after="100" w:afterAutospacing="1" w:line="240" w:lineRule="auto"/>
      <w:contextualSpacing w:val="0"/>
      <w:jc w:val="left"/>
    </w:pPr>
    <w:rPr>
      <w:rFonts w:eastAsia="MS Mincho"/>
      <w:color w:val="008000"/>
      <w:szCs w:val="24"/>
      <w:lang w:val="en-US" w:eastAsia="ja-JP"/>
    </w:rPr>
  </w:style>
  <w:style w:type="paragraph" w:customStyle="1" w:styleId="m">
    <w:name w:val="m"/>
    <w:basedOn w:val="Normal"/>
    <w:rsid w:val="00C811D2"/>
    <w:pPr>
      <w:spacing w:before="100" w:beforeAutospacing="1" w:after="100" w:afterAutospacing="1" w:line="240" w:lineRule="auto"/>
      <w:contextualSpacing w:val="0"/>
      <w:jc w:val="left"/>
    </w:pPr>
    <w:rPr>
      <w:rFonts w:eastAsia="MS Mincho"/>
      <w:color w:val="0000FF"/>
      <w:szCs w:val="24"/>
      <w:lang w:val="en-US" w:eastAsia="ja-JP"/>
    </w:rPr>
  </w:style>
  <w:style w:type="paragraph" w:customStyle="1" w:styleId="tx">
    <w:name w:val="tx"/>
    <w:basedOn w:val="Normal"/>
    <w:rsid w:val="00C811D2"/>
    <w:pPr>
      <w:spacing w:before="100" w:beforeAutospacing="1" w:after="100" w:afterAutospacing="1" w:line="240" w:lineRule="auto"/>
      <w:contextualSpacing w:val="0"/>
      <w:jc w:val="left"/>
    </w:pPr>
    <w:rPr>
      <w:rFonts w:eastAsia="MS Mincho"/>
      <w:b/>
      <w:bCs/>
      <w:szCs w:val="24"/>
      <w:lang w:val="en-US" w:eastAsia="ja-JP"/>
    </w:rPr>
  </w:style>
  <w:style w:type="paragraph" w:customStyle="1" w:styleId="db">
    <w:name w:val="db"/>
    <w:basedOn w:val="Normal"/>
    <w:rsid w:val="00C811D2"/>
    <w:pPr>
      <w:pBdr>
        <w:left w:val="single" w:sz="6" w:space="4" w:color="CCCCCC"/>
      </w:pBdr>
      <w:spacing w:before="0" w:after="0" w:line="240" w:lineRule="auto"/>
      <w:ind w:left="240"/>
      <w:contextualSpacing w:val="0"/>
      <w:jc w:val="left"/>
    </w:pPr>
    <w:rPr>
      <w:rFonts w:ascii="Courier" w:eastAsia="MS Mincho" w:hAnsi="Courier"/>
      <w:szCs w:val="24"/>
      <w:lang w:val="en-US" w:eastAsia="ja-JP"/>
    </w:rPr>
  </w:style>
  <w:style w:type="paragraph" w:customStyle="1" w:styleId="di">
    <w:name w:val="di"/>
    <w:basedOn w:val="Normal"/>
    <w:rsid w:val="00C811D2"/>
    <w:pPr>
      <w:spacing w:before="100" w:beforeAutospacing="1" w:after="100" w:afterAutospacing="1" w:line="240" w:lineRule="auto"/>
      <w:contextualSpacing w:val="0"/>
      <w:jc w:val="left"/>
    </w:pPr>
    <w:rPr>
      <w:rFonts w:ascii="Courier" w:eastAsia="MS Mincho" w:hAnsi="Courier"/>
      <w:szCs w:val="24"/>
      <w:lang w:val="en-US" w:eastAsia="ja-JP"/>
    </w:rPr>
  </w:style>
  <w:style w:type="paragraph" w:customStyle="1" w:styleId="d">
    <w:name w:val="d"/>
    <w:basedOn w:val="Normal"/>
    <w:rsid w:val="00C811D2"/>
    <w:pPr>
      <w:spacing w:before="100" w:beforeAutospacing="1" w:after="100" w:afterAutospacing="1" w:line="240" w:lineRule="auto"/>
      <w:contextualSpacing w:val="0"/>
      <w:jc w:val="left"/>
    </w:pPr>
    <w:rPr>
      <w:rFonts w:eastAsia="MS Mincho"/>
      <w:color w:val="0000FF"/>
      <w:szCs w:val="24"/>
      <w:lang w:val="en-US" w:eastAsia="ja-JP"/>
    </w:rPr>
  </w:style>
  <w:style w:type="paragraph" w:customStyle="1" w:styleId="pi">
    <w:name w:val="pi"/>
    <w:basedOn w:val="Normal"/>
    <w:rsid w:val="00C811D2"/>
    <w:pPr>
      <w:spacing w:before="100" w:beforeAutospacing="1" w:after="100" w:afterAutospacing="1" w:line="240" w:lineRule="auto"/>
      <w:contextualSpacing w:val="0"/>
      <w:jc w:val="left"/>
    </w:pPr>
    <w:rPr>
      <w:rFonts w:eastAsia="MS Mincho"/>
      <w:color w:val="0000FF"/>
      <w:szCs w:val="24"/>
      <w:lang w:val="en-US" w:eastAsia="ja-JP"/>
    </w:rPr>
  </w:style>
  <w:style w:type="paragraph" w:customStyle="1" w:styleId="cb">
    <w:name w:val="cb"/>
    <w:basedOn w:val="Normal"/>
    <w:rsid w:val="00C811D2"/>
    <w:pPr>
      <w:spacing w:before="0" w:after="0" w:line="240" w:lineRule="auto"/>
      <w:ind w:left="240"/>
      <w:contextualSpacing w:val="0"/>
      <w:jc w:val="left"/>
    </w:pPr>
    <w:rPr>
      <w:rFonts w:ascii="Courier" w:eastAsia="MS Mincho" w:hAnsi="Courier"/>
      <w:color w:val="888888"/>
      <w:szCs w:val="24"/>
      <w:lang w:val="en-US" w:eastAsia="ja-JP"/>
    </w:rPr>
  </w:style>
  <w:style w:type="paragraph" w:customStyle="1" w:styleId="ci">
    <w:name w:val="ci"/>
    <w:basedOn w:val="Normal"/>
    <w:rsid w:val="00C811D2"/>
    <w:pPr>
      <w:spacing w:before="100" w:beforeAutospacing="1" w:after="100" w:afterAutospacing="1" w:line="240" w:lineRule="auto"/>
      <w:contextualSpacing w:val="0"/>
      <w:jc w:val="left"/>
    </w:pPr>
    <w:rPr>
      <w:rFonts w:ascii="Courier" w:eastAsia="MS Mincho" w:hAnsi="Courier"/>
      <w:color w:val="888888"/>
      <w:szCs w:val="24"/>
      <w:lang w:val="en-US" w:eastAsia="ja-JP"/>
    </w:rPr>
  </w:style>
  <w:style w:type="character" w:customStyle="1" w:styleId="ci1">
    <w:name w:val="ci1"/>
    <w:basedOn w:val="Policepardfaut"/>
    <w:rsid w:val="00C811D2"/>
    <w:rPr>
      <w:rFonts w:ascii="Courier" w:hAnsi="Courier" w:hint="default"/>
      <w:color w:val="888888"/>
      <w:sz w:val="24"/>
      <w:szCs w:val="24"/>
    </w:rPr>
  </w:style>
  <w:style w:type="paragraph" w:customStyle="1" w:styleId="CM37">
    <w:name w:val="CM37"/>
    <w:basedOn w:val="Default"/>
    <w:next w:val="Default"/>
    <w:rsid w:val="00C811D2"/>
    <w:pPr>
      <w:widowControl w:val="0"/>
      <w:spacing w:after="60"/>
    </w:pPr>
    <w:rPr>
      <w:rFonts w:eastAsia="MS Mincho" w:cs="Times New Roman"/>
      <w:color w:val="auto"/>
      <w:lang w:val="en-US" w:eastAsia="ja-JP"/>
    </w:rPr>
  </w:style>
  <w:style w:type="paragraph" w:customStyle="1" w:styleId="CM1">
    <w:name w:val="CM1"/>
    <w:basedOn w:val="Default"/>
    <w:next w:val="Default"/>
    <w:rsid w:val="00C811D2"/>
    <w:pPr>
      <w:widowControl w:val="0"/>
    </w:pPr>
    <w:rPr>
      <w:rFonts w:eastAsia="MS Mincho" w:cs="Times New Roman"/>
      <w:color w:val="auto"/>
      <w:lang w:val="en-US" w:eastAsia="ja-JP"/>
    </w:rPr>
  </w:style>
  <w:style w:type="paragraph" w:customStyle="1" w:styleId="CM24">
    <w:name w:val="CM24"/>
    <w:basedOn w:val="Default"/>
    <w:next w:val="Default"/>
    <w:rsid w:val="00C811D2"/>
    <w:pPr>
      <w:widowControl w:val="0"/>
      <w:spacing w:after="255"/>
    </w:pPr>
    <w:rPr>
      <w:rFonts w:eastAsia="MS Mincho" w:cs="Times New Roman"/>
      <w:color w:val="auto"/>
      <w:lang w:val="en-US" w:eastAsia="ja-JP"/>
    </w:rPr>
  </w:style>
  <w:style w:type="paragraph" w:customStyle="1" w:styleId="CM25">
    <w:name w:val="CM25"/>
    <w:basedOn w:val="Default"/>
    <w:next w:val="Default"/>
    <w:rsid w:val="00C811D2"/>
    <w:pPr>
      <w:widowControl w:val="0"/>
      <w:spacing w:after="368"/>
    </w:pPr>
    <w:rPr>
      <w:rFonts w:eastAsia="MS Mincho" w:cs="Times New Roman"/>
      <w:color w:val="auto"/>
      <w:lang w:val="en-US" w:eastAsia="ja-JP"/>
    </w:rPr>
  </w:style>
  <w:style w:type="paragraph" w:customStyle="1" w:styleId="CM26">
    <w:name w:val="CM26"/>
    <w:basedOn w:val="Default"/>
    <w:next w:val="Default"/>
    <w:rsid w:val="00C811D2"/>
    <w:pPr>
      <w:widowControl w:val="0"/>
      <w:spacing w:after="123"/>
    </w:pPr>
    <w:rPr>
      <w:rFonts w:eastAsia="MS Mincho" w:cs="Times New Roman"/>
      <w:color w:val="auto"/>
      <w:lang w:val="en-US" w:eastAsia="ja-JP"/>
    </w:rPr>
  </w:style>
  <w:style w:type="paragraph" w:customStyle="1" w:styleId="CM6">
    <w:name w:val="CM6"/>
    <w:basedOn w:val="Default"/>
    <w:next w:val="Default"/>
    <w:rsid w:val="00C811D2"/>
    <w:pPr>
      <w:widowControl w:val="0"/>
      <w:spacing w:line="231" w:lineRule="atLeast"/>
    </w:pPr>
    <w:rPr>
      <w:rFonts w:eastAsia="MS Mincho" w:cs="Times New Roman"/>
      <w:color w:val="auto"/>
      <w:lang w:val="en-US" w:eastAsia="ja-JP"/>
    </w:rPr>
  </w:style>
  <w:style w:type="paragraph" w:customStyle="1" w:styleId="CM7">
    <w:name w:val="CM7"/>
    <w:basedOn w:val="Default"/>
    <w:next w:val="Default"/>
    <w:rsid w:val="00C811D2"/>
    <w:pPr>
      <w:widowControl w:val="0"/>
      <w:spacing w:line="231" w:lineRule="atLeast"/>
    </w:pPr>
    <w:rPr>
      <w:rFonts w:eastAsia="MS Mincho" w:cs="Times New Roman"/>
      <w:color w:val="auto"/>
      <w:lang w:val="en-US" w:eastAsia="ja-JP"/>
    </w:rPr>
  </w:style>
  <w:style w:type="character" w:customStyle="1" w:styleId="Stylepi1Verdana9pt">
    <w:name w:val="Style pi1 + Verdana 9 pt"/>
    <w:basedOn w:val="pi1"/>
    <w:rsid w:val="00C811D2"/>
    <w:rPr>
      <w:rFonts w:ascii="Verdana" w:hAnsi="Verdana"/>
      <w:color w:val="0000FF"/>
      <w:sz w:val="18"/>
    </w:rPr>
  </w:style>
  <w:style w:type="paragraph" w:customStyle="1" w:styleId="Style11ptBoldLinespacing15lines">
    <w:name w:val="Style 11 pt Bold Line spacing:  1.5 lines"/>
    <w:basedOn w:val="Normal"/>
    <w:rsid w:val="00C811D2"/>
    <w:pPr>
      <w:spacing w:before="0" w:after="0" w:line="360" w:lineRule="auto"/>
      <w:contextualSpacing w:val="0"/>
      <w:jc w:val="left"/>
    </w:pPr>
    <w:rPr>
      <w:rFonts w:ascii="Arial" w:hAnsi="Arial"/>
      <w:b/>
      <w:bCs/>
      <w:sz w:val="22"/>
      <w:lang w:val="en-GB"/>
    </w:rPr>
  </w:style>
  <w:style w:type="paragraph" w:customStyle="1" w:styleId="MainParawithChapter">
    <w:name w:val="Main Para with Chapter#"/>
    <w:basedOn w:val="Normal"/>
    <w:uiPriority w:val="99"/>
    <w:rsid w:val="00C811D2"/>
    <w:pPr>
      <w:spacing w:before="0" w:after="240" w:line="240" w:lineRule="auto"/>
      <w:contextualSpacing w:val="0"/>
      <w:outlineLvl w:val="1"/>
    </w:pPr>
    <w:rPr>
      <w:sz w:val="22"/>
      <w:szCs w:val="24"/>
      <w:lang w:val="en-US"/>
    </w:rPr>
  </w:style>
  <w:style w:type="paragraph" w:customStyle="1" w:styleId="Sub-Para1underXY">
    <w:name w:val="Sub-Para 1 under X.Y"/>
    <w:basedOn w:val="Normal"/>
    <w:uiPriority w:val="99"/>
    <w:rsid w:val="00C811D2"/>
    <w:pPr>
      <w:tabs>
        <w:tab w:val="num" w:pos="1440"/>
      </w:tabs>
      <w:spacing w:before="0" w:after="240" w:line="240" w:lineRule="auto"/>
      <w:ind w:left="1080" w:hanging="360"/>
      <w:contextualSpacing w:val="0"/>
      <w:jc w:val="left"/>
      <w:outlineLvl w:val="2"/>
    </w:pPr>
    <w:rPr>
      <w:szCs w:val="24"/>
      <w:lang w:val="en-US"/>
    </w:rPr>
  </w:style>
  <w:style w:type="paragraph" w:customStyle="1" w:styleId="Sub-Para2underXY">
    <w:name w:val="Sub-Para 2 under X.Y"/>
    <w:basedOn w:val="Normal"/>
    <w:uiPriority w:val="99"/>
    <w:rsid w:val="00C811D2"/>
    <w:pPr>
      <w:tabs>
        <w:tab w:val="num" w:pos="2160"/>
      </w:tabs>
      <w:spacing w:before="0" w:after="240" w:line="240" w:lineRule="auto"/>
      <w:ind w:left="1440" w:hanging="360"/>
      <w:contextualSpacing w:val="0"/>
      <w:jc w:val="left"/>
      <w:outlineLvl w:val="3"/>
    </w:pPr>
    <w:rPr>
      <w:szCs w:val="24"/>
      <w:lang w:val="en-US"/>
    </w:rPr>
  </w:style>
  <w:style w:type="paragraph" w:customStyle="1" w:styleId="Sub-Para3underXY">
    <w:name w:val="Sub-Para 3 under X.Y"/>
    <w:basedOn w:val="Normal"/>
    <w:uiPriority w:val="99"/>
    <w:rsid w:val="00C811D2"/>
    <w:pPr>
      <w:tabs>
        <w:tab w:val="num" w:pos="1800"/>
      </w:tabs>
      <w:spacing w:before="0" w:after="240" w:line="240" w:lineRule="auto"/>
      <w:ind w:left="1800" w:hanging="360"/>
      <w:contextualSpacing w:val="0"/>
      <w:jc w:val="left"/>
      <w:outlineLvl w:val="4"/>
    </w:pPr>
    <w:rPr>
      <w:szCs w:val="24"/>
      <w:lang w:val="en-US"/>
    </w:rPr>
  </w:style>
  <w:style w:type="paragraph" w:customStyle="1" w:styleId="Sub-Para4underXY">
    <w:name w:val="Sub-Para 4 under X.Y"/>
    <w:basedOn w:val="Normal"/>
    <w:uiPriority w:val="99"/>
    <w:rsid w:val="00C811D2"/>
    <w:pPr>
      <w:tabs>
        <w:tab w:val="num" w:pos="2520"/>
      </w:tabs>
      <w:spacing w:before="0" w:after="240" w:line="240" w:lineRule="auto"/>
      <w:ind w:left="2160" w:hanging="360"/>
      <w:contextualSpacing w:val="0"/>
      <w:jc w:val="left"/>
      <w:outlineLvl w:val="5"/>
    </w:pPr>
    <w:rPr>
      <w:szCs w:val="24"/>
      <w:lang w:val="en-US"/>
    </w:rPr>
  </w:style>
  <w:style w:type="paragraph" w:customStyle="1" w:styleId="CM38">
    <w:name w:val="CM38"/>
    <w:basedOn w:val="Default"/>
    <w:next w:val="Default"/>
    <w:rsid w:val="00C811D2"/>
    <w:rPr>
      <w:rFonts w:ascii="LIAAO F+ Janson Text" w:hAnsi="LIAAO F+ Janson Text" w:cs="Times New Roman"/>
      <w:color w:val="auto"/>
      <w:lang w:val="en-AU" w:eastAsia="en-AU"/>
    </w:rPr>
  </w:style>
  <w:style w:type="paragraph" w:customStyle="1" w:styleId="CM40">
    <w:name w:val="CM40"/>
    <w:basedOn w:val="Default"/>
    <w:next w:val="Default"/>
    <w:rsid w:val="00C811D2"/>
    <w:rPr>
      <w:rFonts w:ascii="LIAAO F+ Janson Text" w:hAnsi="LIAAO F+ Janson Text" w:cs="Times New Roman"/>
      <w:color w:val="auto"/>
      <w:lang w:val="en-AU" w:eastAsia="en-AU"/>
    </w:rPr>
  </w:style>
  <w:style w:type="paragraph" w:customStyle="1" w:styleId="Sangradet">
    <w:name w:val="Sangría de t"/>
    <w:aliases w:val="independiente"/>
    <w:basedOn w:val="Normal"/>
    <w:rsid w:val="00C811D2"/>
    <w:pPr>
      <w:numPr>
        <w:numId w:val="16"/>
      </w:numPr>
      <w:tabs>
        <w:tab w:val="left" w:pos="284"/>
      </w:tabs>
      <w:spacing w:before="0" w:after="0" w:line="240" w:lineRule="auto"/>
      <w:contextualSpacing w:val="0"/>
    </w:pPr>
    <w:rPr>
      <w:rFonts w:ascii="Verdana" w:hAnsi="Verdana"/>
      <w:sz w:val="20"/>
      <w:lang w:val="es-CO"/>
    </w:rPr>
  </w:style>
  <w:style w:type="paragraph" w:styleId="Index1">
    <w:name w:val="index 1"/>
    <w:basedOn w:val="Normal"/>
    <w:next w:val="Normal"/>
    <w:autoRedefine/>
    <w:rsid w:val="00C811D2"/>
    <w:pPr>
      <w:tabs>
        <w:tab w:val="num" w:pos="1200"/>
        <w:tab w:val="num" w:pos="1428"/>
      </w:tabs>
      <w:spacing w:before="0" w:after="0" w:line="240" w:lineRule="auto"/>
      <w:ind w:left="1200" w:hanging="600"/>
      <w:contextualSpacing w:val="0"/>
    </w:pPr>
    <w:rPr>
      <w:rFonts w:eastAsia="PMingLiU"/>
      <w:szCs w:val="24"/>
      <w:lang w:eastAsia="zh-TW"/>
    </w:rPr>
  </w:style>
  <w:style w:type="paragraph" w:styleId="Titreindex">
    <w:name w:val="index heading"/>
    <w:basedOn w:val="Normal"/>
    <w:next w:val="Index1"/>
    <w:rsid w:val="00C811D2"/>
    <w:pPr>
      <w:tabs>
        <w:tab w:val="left" w:pos="360"/>
      </w:tabs>
      <w:spacing w:before="0" w:after="0" w:line="240" w:lineRule="auto"/>
      <w:contextualSpacing w:val="0"/>
    </w:pPr>
    <w:rPr>
      <w:rFonts w:ascii="Verdana" w:hAnsi="Verdana"/>
      <w:sz w:val="20"/>
      <w:lang w:val="es-CO"/>
    </w:rPr>
  </w:style>
  <w:style w:type="paragraph" w:customStyle="1" w:styleId="StyleHeading2Left0cmHanging063cm">
    <w:name w:val="Style Heading 2 + Left:  0 cm Hanging:  0.63 cm"/>
    <w:basedOn w:val="Titre2"/>
    <w:rsid w:val="00C811D2"/>
    <w:pPr>
      <w:tabs>
        <w:tab w:val="clear" w:pos="737"/>
        <w:tab w:val="left" w:pos="360"/>
        <w:tab w:val="num" w:pos="680"/>
        <w:tab w:val="num" w:pos="1440"/>
      </w:tabs>
      <w:spacing w:before="240" w:after="60" w:line="276" w:lineRule="auto"/>
      <w:ind w:left="1440" w:hanging="360"/>
      <w:contextualSpacing w:val="0"/>
      <w:jc w:val="both"/>
    </w:pPr>
    <w:rPr>
      <w:bCs/>
      <w:i/>
      <w:iCs/>
      <w:smallCaps/>
      <w:sz w:val="24"/>
      <w:lang w:val="es-CO"/>
    </w:rPr>
  </w:style>
  <w:style w:type="paragraph" w:customStyle="1" w:styleId="PBulletround">
    <w:name w:val="P Bullet (round)"/>
    <w:basedOn w:val="Normal"/>
    <w:rsid w:val="00C811D2"/>
    <w:pPr>
      <w:numPr>
        <w:numId w:val="17"/>
      </w:numPr>
      <w:spacing w:before="0" w:after="0" w:line="240" w:lineRule="auto"/>
      <w:contextualSpacing w:val="0"/>
      <w:jc w:val="left"/>
    </w:pPr>
    <w:rPr>
      <w:rFonts w:eastAsia="PMingLiU"/>
      <w:szCs w:val="24"/>
      <w:lang w:eastAsia="zh-TW"/>
    </w:rPr>
  </w:style>
  <w:style w:type="paragraph" w:customStyle="1" w:styleId="OIC3BodyText">
    <w:name w:val="OIC3 Body Text"/>
    <w:basedOn w:val="Normal"/>
    <w:rsid w:val="00C811D2"/>
    <w:pPr>
      <w:widowControl w:val="0"/>
      <w:overflowPunct w:val="0"/>
      <w:autoSpaceDE w:val="0"/>
      <w:autoSpaceDN w:val="0"/>
      <w:adjustRightInd w:val="0"/>
      <w:spacing w:before="0" w:after="240" w:line="240" w:lineRule="auto"/>
      <w:contextualSpacing w:val="0"/>
      <w:jc w:val="left"/>
      <w:textAlignment w:val="baseline"/>
    </w:pPr>
    <w:rPr>
      <w:rFonts w:ascii="Garamond" w:hAnsi="Garamond"/>
      <w:sz w:val="22"/>
      <w:lang w:val="en-US"/>
    </w:rPr>
  </w:style>
  <w:style w:type="table" w:styleId="Tableauclassique3">
    <w:name w:val="Table Classic 3"/>
    <w:basedOn w:val="TableauNormal"/>
    <w:rsid w:val="00C811D2"/>
    <w:pPr>
      <w:spacing w:after="0" w:line="240" w:lineRule="auto"/>
    </w:pPr>
    <w:rPr>
      <w:rFonts w:ascii="Times New Roman" w:eastAsia="Times New Roman" w:hAnsi="Times New Roman" w:cs="Times New Roman"/>
      <w:color w:val="000080"/>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1">
    <w:name w:val="Table Classic 1"/>
    <w:basedOn w:val="TableauNormal"/>
    <w:rsid w:val="00C811D2"/>
    <w:pPr>
      <w:spacing w:after="0" w:line="240" w:lineRule="auto"/>
    </w:pPr>
    <w:rPr>
      <w:rFonts w:ascii="Times New Roman" w:eastAsia="Times New Roman" w:hAnsi="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rsid w:val="00C811D2"/>
    <w:pPr>
      <w:spacing w:after="0" w:line="240" w:lineRule="auto"/>
    </w:pPr>
    <w:rPr>
      <w:rFonts w:ascii="Times New Roman" w:eastAsia="Times New Roman" w:hAnsi="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Tabledesrfrencesjuridiques">
    <w:name w:val="table of authorities"/>
    <w:basedOn w:val="Normal"/>
    <w:next w:val="Normal"/>
    <w:rsid w:val="00C811D2"/>
    <w:pPr>
      <w:spacing w:before="0" w:after="0" w:line="240" w:lineRule="auto"/>
      <w:ind w:left="240" w:hanging="240"/>
      <w:contextualSpacing w:val="0"/>
      <w:jc w:val="left"/>
    </w:pPr>
    <w:rPr>
      <w:szCs w:val="24"/>
      <w:lang w:eastAsia="en-AU"/>
    </w:rPr>
  </w:style>
  <w:style w:type="paragraph" w:styleId="TitreTR">
    <w:name w:val="toa heading"/>
    <w:basedOn w:val="Normal"/>
    <w:next w:val="Normal"/>
    <w:rsid w:val="00C811D2"/>
    <w:pPr>
      <w:spacing w:after="0" w:line="240" w:lineRule="auto"/>
      <w:contextualSpacing w:val="0"/>
      <w:jc w:val="left"/>
    </w:pPr>
    <w:rPr>
      <w:rFonts w:ascii="Arial" w:hAnsi="Arial"/>
      <w:b/>
      <w:szCs w:val="24"/>
      <w:lang w:eastAsia="en-AU"/>
    </w:rPr>
  </w:style>
  <w:style w:type="paragraph" w:styleId="Sansinterligne">
    <w:name w:val="No Spacing"/>
    <w:link w:val="SansinterligneCar"/>
    <w:uiPriority w:val="1"/>
    <w:qFormat/>
    <w:rsid w:val="00C811D2"/>
    <w:pPr>
      <w:spacing w:after="0" w:line="240" w:lineRule="auto"/>
    </w:pPr>
    <w:rPr>
      <w:rFonts w:ascii="PMingLiU" w:eastAsia="Times New Roman" w:hAnsi="PMingLiU" w:cs="Times New Roman"/>
    </w:rPr>
  </w:style>
  <w:style w:type="character" w:customStyle="1" w:styleId="SansinterligneCar">
    <w:name w:val="Sans interligne Car"/>
    <w:basedOn w:val="Policepardfaut"/>
    <w:link w:val="Sansinterligne"/>
    <w:uiPriority w:val="1"/>
    <w:rsid w:val="00C811D2"/>
    <w:rPr>
      <w:rFonts w:ascii="PMingLiU" w:eastAsia="Times New Roman" w:hAnsi="PMingLiU" w:cs="Times New Roman"/>
    </w:rPr>
  </w:style>
  <w:style w:type="character" w:styleId="Textedelespacerserv">
    <w:name w:val="Placeholder Text"/>
    <w:basedOn w:val="Policepardfaut"/>
    <w:uiPriority w:val="99"/>
    <w:rsid w:val="00C811D2"/>
    <w:rPr>
      <w:color w:val="808080"/>
    </w:rPr>
  </w:style>
  <w:style w:type="paragraph" w:customStyle="1" w:styleId="Sinespaciado1">
    <w:name w:val="Sin espaciado1"/>
    <w:link w:val="NoSpacingChar1"/>
    <w:uiPriority w:val="99"/>
    <w:rsid w:val="00C811D2"/>
    <w:pPr>
      <w:spacing w:after="0" w:line="240" w:lineRule="auto"/>
    </w:pPr>
    <w:rPr>
      <w:rFonts w:ascii="Calibri" w:eastAsia="Times New Roman" w:hAnsi="Calibri" w:cs="Times New Roman"/>
      <w:lang w:val="es-ES"/>
    </w:rPr>
  </w:style>
  <w:style w:type="character" w:customStyle="1" w:styleId="NoSpacingChar1">
    <w:name w:val="No Spacing Char1"/>
    <w:basedOn w:val="Policepardfaut"/>
    <w:link w:val="Sinespaciado1"/>
    <w:uiPriority w:val="99"/>
    <w:rsid w:val="00C811D2"/>
    <w:rPr>
      <w:rFonts w:ascii="Calibri" w:eastAsia="Times New Roman" w:hAnsi="Calibri" w:cs="Times New Roman"/>
      <w:lang w:val="es-ES"/>
    </w:rPr>
  </w:style>
  <w:style w:type="paragraph" w:customStyle="1" w:styleId="Prrafodelista1">
    <w:name w:val="Párrafo de lista1"/>
    <w:basedOn w:val="Normal"/>
    <w:uiPriority w:val="99"/>
    <w:rsid w:val="00C811D2"/>
    <w:pPr>
      <w:spacing w:before="0" w:after="200"/>
      <w:ind w:left="720"/>
      <w:contextualSpacing w:val="0"/>
      <w:jc w:val="left"/>
    </w:pPr>
    <w:rPr>
      <w:rFonts w:ascii="Calibri" w:eastAsia="Calibri" w:hAnsi="Calibri"/>
      <w:sz w:val="22"/>
      <w:szCs w:val="22"/>
      <w:lang w:val="es-ES_tradnl"/>
    </w:rPr>
  </w:style>
  <w:style w:type="paragraph" w:customStyle="1" w:styleId="TtulodeTDC1">
    <w:name w:val="Título de TDC1"/>
    <w:basedOn w:val="Titre1"/>
    <w:next w:val="Normal"/>
    <w:uiPriority w:val="99"/>
    <w:rsid w:val="00C811D2"/>
    <w:pPr>
      <w:keepNext/>
      <w:keepLines/>
      <w:tabs>
        <w:tab w:val="num" w:pos="680"/>
      </w:tabs>
      <w:spacing w:before="480" w:after="0"/>
      <w:ind w:left="357" w:hanging="357"/>
      <w:contextualSpacing w:val="0"/>
      <w:jc w:val="left"/>
      <w:outlineLvl w:val="9"/>
    </w:pPr>
    <w:rPr>
      <w:rFonts w:ascii="Cambria" w:hAnsi="Cambria"/>
      <w:bCs/>
      <w:smallCaps/>
      <w:color w:val="365F91"/>
      <w:sz w:val="28"/>
      <w:szCs w:val="28"/>
      <w:lang w:val="es-ES"/>
    </w:rPr>
  </w:style>
  <w:style w:type="table" w:customStyle="1" w:styleId="LightList-Accent51">
    <w:name w:val="Light List - Accent 51"/>
    <w:uiPriority w:val="99"/>
    <w:rsid w:val="00C811D2"/>
    <w:pPr>
      <w:spacing w:after="0" w:line="240" w:lineRule="auto"/>
    </w:pPr>
    <w:rPr>
      <w:rFonts w:ascii="Calibri" w:eastAsia="Calibri" w:hAnsi="Calibri" w:cs="Times New Roman"/>
      <w:sz w:val="20"/>
      <w:szCs w:val="20"/>
      <w:lang w:val="en-AU"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1">
    <w:name w:val="Lista clara1"/>
    <w:uiPriority w:val="99"/>
    <w:rsid w:val="00C811D2"/>
    <w:pPr>
      <w:spacing w:after="0" w:line="240" w:lineRule="auto"/>
    </w:pPr>
    <w:rPr>
      <w:rFonts w:ascii="Calibri" w:eastAsia="Calibri" w:hAnsi="Calibri" w:cs="Times New Roman"/>
      <w:sz w:val="20"/>
      <w:szCs w:val="20"/>
      <w:lang w:val="en-AU"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style-span">
    <w:name w:val="apple-style-span"/>
    <w:basedOn w:val="Policepardfaut"/>
    <w:rsid w:val="00C811D2"/>
    <w:rPr>
      <w:rFonts w:cs="Times New Roman"/>
    </w:rPr>
  </w:style>
  <w:style w:type="paragraph" w:styleId="Index2">
    <w:name w:val="index 2"/>
    <w:basedOn w:val="Normal"/>
    <w:next w:val="Normal"/>
    <w:autoRedefine/>
    <w:uiPriority w:val="99"/>
    <w:rsid w:val="00C811D2"/>
    <w:pPr>
      <w:spacing w:before="0" w:after="200"/>
      <w:ind w:left="440" w:hanging="220"/>
      <w:contextualSpacing w:val="0"/>
      <w:jc w:val="left"/>
    </w:pPr>
    <w:rPr>
      <w:rFonts w:ascii="Calibri" w:eastAsia="Calibri" w:hAnsi="Calibri"/>
      <w:sz w:val="22"/>
      <w:szCs w:val="22"/>
      <w:lang w:val="es-ES_tradnl"/>
    </w:rPr>
  </w:style>
  <w:style w:type="paragraph" w:customStyle="1" w:styleId="BMHeadingChar">
    <w:name w:val="BM Heading Char"/>
    <w:basedOn w:val="Titre1"/>
    <w:link w:val="BMHeadingCharChar"/>
    <w:uiPriority w:val="99"/>
    <w:rsid w:val="00C811D2"/>
    <w:pPr>
      <w:keepNext/>
      <w:tabs>
        <w:tab w:val="num" w:pos="680"/>
      </w:tabs>
      <w:spacing w:before="0" w:after="0" w:line="240" w:lineRule="auto"/>
      <w:ind w:left="357" w:hanging="357"/>
      <w:contextualSpacing w:val="0"/>
    </w:pPr>
    <w:rPr>
      <w:smallCaps/>
      <w:sz w:val="28"/>
      <w:szCs w:val="28"/>
      <w:lang w:val="es-MX" w:eastAsia="es-ES"/>
    </w:rPr>
  </w:style>
  <w:style w:type="character" w:customStyle="1" w:styleId="BMHeadingCharChar">
    <w:name w:val="BM Heading Char Char"/>
    <w:basedOn w:val="Titre1Car"/>
    <w:link w:val="BMHeadingChar"/>
    <w:uiPriority w:val="99"/>
    <w:rsid w:val="00C811D2"/>
    <w:rPr>
      <w:rFonts w:ascii="Times New Roman" w:eastAsia="Times New Roman" w:hAnsi="Times New Roman" w:cs="Times New Roman"/>
      <w:b/>
      <w:smallCaps/>
      <w:sz w:val="28"/>
      <w:szCs w:val="28"/>
      <w:lang w:val="es-MX" w:eastAsia="es-ES"/>
    </w:rPr>
  </w:style>
  <w:style w:type="paragraph" w:customStyle="1" w:styleId="BMHeading2">
    <w:name w:val="BM Heading 2"/>
    <w:basedOn w:val="Titre2"/>
    <w:uiPriority w:val="99"/>
    <w:rsid w:val="00C811D2"/>
    <w:pPr>
      <w:tabs>
        <w:tab w:val="clear" w:pos="737"/>
        <w:tab w:val="num" w:pos="680"/>
      </w:tabs>
      <w:spacing w:before="240" w:after="240" w:line="276" w:lineRule="auto"/>
      <w:ind w:left="792" w:hanging="792"/>
      <w:contextualSpacing w:val="0"/>
      <w:jc w:val="center"/>
    </w:pPr>
    <w:rPr>
      <w:bCs/>
      <w:i/>
      <w:iCs/>
      <w:smallCaps/>
      <w:sz w:val="24"/>
      <w:szCs w:val="28"/>
      <w:lang w:val="es-ES"/>
    </w:rPr>
  </w:style>
  <w:style w:type="paragraph" w:customStyle="1" w:styleId="BmHeading3">
    <w:name w:val="Bm Heading 3"/>
    <w:basedOn w:val="Normal"/>
    <w:link w:val="BmHeading3Char"/>
    <w:uiPriority w:val="99"/>
    <w:rsid w:val="00C811D2"/>
    <w:pPr>
      <w:spacing w:before="0" w:after="0"/>
      <w:contextualSpacing w:val="0"/>
    </w:pPr>
    <w:rPr>
      <w:rFonts w:ascii="Calibri" w:eastAsia="Calibri" w:hAnsi="Calibri"/>
      <w:b/>
      <w:bCs/>
      <w:szCs w:val="24"/>
      <w:lang w:val="es-ES"/>
    </w:rPr>
  </w:style>
  <w:style w:type="character" w:customStyle="1" w:styleId="BmHeading3Char">
    <w:name w:val="Bm Heading 3 Char"/>
    <w:basedOn w:val="Policepardfaut"/>
    <w:link w:val="BmHeading3"/>
    <w:uiPriority w:val="99"/>
    <w:rsid w:val="00C811D2"/>
    <w:rPr>
      <w:rFonts w:ascii="Calibri" w:eastAsia="Calibri" w:hAnsi="Calibri" w:cs="Times New Roman"/>
      <w:b/>
      <w:bCs/>
      <w:sz w:val="24"/>
      <w:szCs w:val="24"/>
      <w:lang w:val="es-ES"/>
    </w:rPr>
  </w:style>
  <w:style w:type="paragraph" w:customStyle="1" w:styleId="BMHeading">
    <w:name w:val="BM Heading"/>
    <w:basedOn w:val="Titre1"/>
    <w:uiPriority w:val="99"/>
    <w:rsid w:val="00C811D2"/>
    <w:pPr>
      <w:keepNext/>
      <w:tabs>
        <w:tab w:val="num" w:pos="680"/>
      </w:tabs>
      <w:spacing w:before="0" w:after="0" w:line="240" w:lineRule="auto"/>
      <w:ind w:left="357" w:hanging="357"/>
      <w:contextualSpacing w:val="0"/>
    </w:pPr>
    <w:rPr>
      <w:smallCaps/>
      <w:sz w:val="28"/>
      <w:szCs w:val="28"/>
      <w:lang w:val="es-MX" w:eastAsia="es-ES"/>
    </w:rPr>
  </w:style>
  <w:style w:type="paragraph" w:customStyle="1" w:styleId="Prrafodelista11">
    <w:name w:val="Párrafo de lista11"/>
    <w:basedOn w:val="Normal"/>
    <w:uiPriority w:val="99"/>
    <w:rsid w:val="00C811D2"/>
    <w:pPr>
      <w:spacing w:before="0" w:after="200"/>
      <w:ind w:left="720"/>
      <w:contextualSpacing w:val="0"/>
      <w:jc w:val="left"/>
    </w:pPr>
    <w:rPr>
      <w:rFonts w:ascii="Calibri" w:hAnsi="Calibri"/>
      <w:sz w:val="22"/>
      <w:szCs w:val="22"/>
      <w:lang w:val="es-ES_tradnl"/>
    </w:rPr>
  </w:style>
  <w:style w:type="paragraph" w:customStyle="1" w:styleId="Sinespaciado11">
    <w:name w:val="Sin espaciado11"/>
    <w:uiPriority w:val="99"/>
    <w:rsid w:val="00C811D2"/>
    <w:pPr>
      <w:spacing w:after="0" w:line="240" w:lineRule="auto"/>
    </w:pPr>
    <w:rPr>
      <w:rFonts w:ascii="Calibri" w:eastAsia="Times New Roman" w:hAnsi="Calibri" w:cs="Times New Roman"/>
      <w:lang w:val="es-ES"/>
    </w:rPr>
  </w:style>
  <w:style w:type="paragraph" w:customStyle="1" w:styleId="ListParagraph1">
    <w:name w:val="List Paragraph1"/>
    <w:basedOn w:val="Normal"/>
    <w:uiPriority w:val="99"/>
    <w:rsid w:val="00C811D2"/>
    <w:pPr>
      <w:spacing w:before="0" w:after="200"/>
      <w:ind w:left="720"/>
      <w:contextualSpacing w:val="0"/>
      <w:jc w:val="left"/>
    </w:pPr>
    <w:rPr>
      <w:rFonts w:ascii="Calibri" w:eastAsia="Calibri" w:hAnsi="Calibri"/>
      <w:sz w:val="22"/>
      <w:szCs w:val="22"/>
      <w:lang w:val="es-ES_tradnl"/>
    </w:rPr>
  </w:style>
  <w:style w:type="paragraph" w:customStyle="1" w:styleId="Prrafodelista2">
    <w:name w:val="Párrafo de lista2"/>
    <w:basedOn w:val="Normal"/>
    <w:uiPriority w:val="99"/>
    <w:rsid w:val="00C811D2"/>
    <w:pPr>
      <w:spacing w:before="0" w:after="200" w:line="240" w:lineRule="auto"/>
      <w:ind w:left="720"/>
      <w:contextualSpacing w:val="0"/>
      <w:jc w:val="left"/>
    </w:pPr>
    <w:rPr>
      <w:rFonts w:ascii="Century Gothic" w:hAnsi="Century Gothic"/>
      <w:szCs w:val="24"/>
      <w:lang w:val="es-ES_tradnl"/>
    </w:rPr>
  </w:style>
  <w:style w:type="paragraph" w:customStyle="1" w:styleId="Style44">
    <w:name w:val="Style44"/>
    <w:basedOn w:val="Normal"/>
    <w:link w:val="Style44Char"/>
    <w:qFormat/>
    <w:rsid w:val="00C811D2"/>
    <w:pPr>
      <w:widowControl w:val="0"/>
      <w:autoSpaceDE w:val="0"/>
      <w:autoSpaceDN w:val="0"/>
      <w:adjustRightInd w:val="0"/>
      <w:spacing w:before="0" w:after="0" w:line="240" w:lineRule="auto"/>
      <w:contextualSpacing w:val="0"/>
      <w:jc w:val="center"/>
      <w:outlineLvl w:val="0"/>
    </w:pPr>
    <w:rPr>
      <w:rFonts w:ascii="Arial" w:eastAsia="Rockwell" w:hAnsi="Arial" w:cs="Calibri"/>
      <w:b/>
      <w:bCs/>
      <w:sz w:val="28"/>
      <w:szCs w:val="36"/>
    </w:rPr>
  </w:style>
  <w:style w:type="character" w:customStyle="1" w:styleId="Style44Char">
    <w:name w:val="Style44 Char"/>
    <w:basedOn w:val="Policepardfaut"/>
    <w:link w:val="Style44"/>
    <w:rsid w:val="00C811D2"/>
    <w:rPr>
      <w:rFonts w:ascii="Arial" w:eastAsia="Rockwell" w:hAnsi="Arial" w:cs="Calibri"/>
      <w:b/>
      <w:bCs/>
      <w:sz w:val="28"/>
      <w:szCs w:val="36"/>
      <w:lang w:val="en-AU"/>
    </w:rPr>
  </w:style>
  <w:style w:type="paragraph" w:customStyle="1" w:styleId="Style45">
    <w:name w:val="Style45"/>
    <w:basedOn w:val="Normal"/>
    <w:link w:val="Style45Char"/>
    <w:qFormat/>
    <w:rsid w:val="00C811D2"/>
    <w:pPr>
      <w:widowControl w:val="0"/>
      <w:autoSpaceDE w:val="0"/>
      <w:autoSpaceDN w:val="0"/>
      <w:adjustRightInd w:val="0"/>
      <w:spacing w:before="0" w:after="0" w:line="240" w:lineRule="auto"/>
      <w:contextualSpacing w:val="0"/>
      <w:jc w:val="center"/>
      <w:outlineLvl w:val="0"/>
    </w:pPr>
    <w:rPr>
      <w:rFonts w:ascii="Arial" w:eastAsia="Rockwell" w:hAnsi="Arial" w:cs="Calibri"/>
      <w:b/>
      <w:bCs/>
      <w:caps/>
      <w:sz w:val="28"/>
      <w:szCs w:val="36"/>
    </w:rPr>
  </w:style>
  <w:style w:type="character" w:customStyle="1" w:styleId="Style45Char">
    <w:name w:val="Style45 Char"/>
    <w:basedOn w:val="Policepardfaut"/>
    <w:link w:val="Style45"/>
    <w:rsid w:val="00C811D2"/>
    <w:rPr>
      <w:rFonts w:ascii="Arial" w:eastAsia="Rockwell" w:hAnsi="Arial" w:cs="Calibri"/>
      <w:b/>
      <w:bCs/>
      <w:caps/>
      <w:sz w:val="28"/>
      <w:szCs w:val="36"/>
      <w:lang w:val="en-AU"/>
    </w:rPr>
  </w:style>
  <w:style w:type="paragraph" w:customStyle="1" w:styleId="Paragraph">
    <w:name w:val="Paragraph"/>
    <w:basedOn w:val="Retraitcorpsdetexte"/>
    <w:rsid w:val="00C811D2"/>
    <w:pPr>
      <w:spacing w:line="276" w:lineRule="auto"/>
      <w:ind w:left="360"/>
    </w:pPr>
    <w:rPr>
      <w:rFonts w:asciiTheme="minorHAnsi" w:eastAsiaTheme="minorHAnsi" w:hAnsiTheme="minorHAnsi" w:cstheme="minorBidi"/>
      <w:szCs w:val="22"/>
      <w:lang w:val="en-US"/>
    </w:rPr>
  </w:style>
  <w:style w:type="paragraph" w:customStyle="1" w:styleId="subpar">
    <w:name w:val="subpar"/>
    <w:basedOn w:val="Retraitcorpsdetexte3"/>
    <w:rsid w:val="00C811D2"/>
    <w:pPr>
      <w:tabs>
        <w:tab w:val="num" w:pos="1152"/>
      </w:tabs>
      <w:ind w:left="1152" w:hanging="432"/>
      <w:outlineLvl w:val="2"/>
    </w:pPr>
    <w:rPr>
      <w:rFonts w:ascii="Times New Roman" w:eastAsia="Times New Roman" w:hAnsi="Times New Roman" w:cs="Times New Roman"/>
      <w:sz w:val="24"/>
      <w:szCs w:val="20"/>
      <w:lang w:val="en-US" w:eastAsia="es-ES"/>
    </w:rPr>
  </w:style>
  <w:style w:type="character" w:customStyle="1" w:styleId="shorttext1">
    <w:name w:val="short_text1"/>
    <w:basedOn w:val="Policepardfaut"/>
    <w:rsid w:val="00C811D2"/>
    <w:rPr>
      <w:sz w:val="24"/>
      <w:szCs w:val="24"/>
    </w:rPr>
  </w:style>
  <w:style w:type="paragraph" w:styleId="Index3">
    <w:name w:val="index 3"/>
    <w:basedOn w:val="Normal"/>
    <w:next w:val="Normal"/>
    <w:autoRedefine/>
    <w:uiPriority w:val="99"/>
    <w:rsid w:val="00C811D2"/>
    <w:pPr>
      <w:spacing w:before="0" w:after="0" w:line="240" w:lineRule="auto"/>
      <w:ind w:left="720" w:hanging="240"/>
      <w:contextualSpacing w:val="0"/>
      <w:jc w:val="left"/>
    </w:pPr>
    <w:rPr>
      <w:szCs w:val="24"/>
      <w:lang w:val="en-US"/>
    </w:rPr>
  </w:style>
  <w:style w:type="paragraph" w:styleId="Index4">
    <w:name w:val="index 4"/>
    <w:basedOn w:val="Normal"/>
    <w:next w:val="Normal"/>
    <w:autoRedefine/>
    <w:uiPriority w:val="99"/>
    <w:rsid w:val="00C811D2"/>
    <w:pPr>
      <w:spacing w:before="0" w:after="0" w:line="240" w:lineRule="auto"/>
      <w:ind w:left="960" w:hanging="240"/>
      <w:contextualSpacing w:val="0"/>
      <w:jc w:val="left"/>
    </w:pPr>
    <w:rPr>
      <w:szCs w:val="24"/>
      <w:lang w:val="en-US"/>
    </w:rPr>
  </w:style>
  <w:style w:type="paragraph" w:styleId="Index5">
    <w:name w:val="index 5"/>
    <w:basedOn w:val="Normal"/>
    <w:next w:val="Normal"/>
    <w:autoRedefine/>
    <w:uiPriority w:val="99"/>
    <w:rsid w:val="00C811D2"/>
    <w:pPr>
      <w:spacing w:before="0" w:after="0" w:line="240" w:lineRule="auto"/>
      <w:ind w:left="1200" w:hanging="240"/>
      <w:contextualSpacing w:val="0"/>
      <w:jc w:val="left"/>
    </w:pPr>
    <w:rPr>
      <w:szCs w:val="24"/>
      <w:lang w:val="en-US"/>
    </w:rPr>
  </w:style>
  <w:style w:type="paragraph" w:styleId="Index6">
    <w:name w:val="index 6"/>
    <w:basedOn w:val="Normal"/>
    <w:next w:val="Normal"/>
    <w:autoRedefine/>
    <w:uiPriority w:val="99"/>
    <w:rsid w:val="00C811D2"/>
    <w:pPr>
      <w:spacing w:before="0" w:after="0" w:line="240" w:lineRule="auto"/>
      <w:ind w:left="1440" w:hanging="240"/>
      <w:contextualSpacing w:val="0"/>
      <w:jc w:val="left"/>
    </w:pPr>
    <w:rPr>
      <w:szCs w:val="24"/>
      <w:lang w:val="en-US"/>
    </w:rPr>
  </w:style>
  <w:style w:type="paragraph" w:styleId="Index7">
    <w:name w:val="index 7"/>
    <w:basedOn w:val="Normal"/>
    <w:next w:val="Normal"/>
    <w:autoRedefine/>
    <w:uiPriority w:val="99"/>
    <w:rsid w:val="00C811D2"/>
    <w:pPr>
      <w:spacing w:before="0" w:after="0" w:line="240" w:lineRule="auto"/>
      <w:ind w:left="1680" w:hanging="240"/>
      <w:contextualSpacing w:val="0"/>
      <w:jc w:val="left"/>
    </w:pPr>
    <w:rPr>
      <w:szCs w:val="24"/>
      <w:lang w:val="en-US"/>
    </w:rPr>
  </w:style>
  <w:style w:type="paragraph" w:styleId="Index8">
    <w:name w:val="index 8"/>
    <w:basedOn w:val="Normal"/>
    <w:next w:val="Normal"/>
    <w:autoRedefine/>
    <w:uiPriority w:val="99"/>
    <w:rsid w:val="00C811D2"/>
    <w:pPr>
      <w:spacing w:before="0" w:after="0" w:line="240" w:lineRule="auto"/>
      <w:ind w:left="1920" w:hanging="240"/>
      <w:contextualSpacing w:val="0"/>
      <w:jc w:val="left"/>
    </w:pPr>
    <w:rPr>
      <w:szCs w:val="24"/>
      <w:lang w:val="en-US"/>
    </w:rPr>
  </w:style>
  <w:style w:type="paragraph" w:styleId="Index9">
    <w:name w:val="index 9"/>
    <w:basedOn w:val="Normal"/>
    <w:next w:val="Normal"/>
    <w:autoRedefine/>
    <w:uiPriority w:val="99"/>
    <w:rsid w:val="00C811D2"/>
    <w:pPr>
      <w:spacing w:before="0" w:after="0" w:line="240" w:lineRule="auto"/>
      <w:ind w:left="2160" w:hanging="240"/>
      <w:contextualSpacing w:val="0"/>
      <w:jc w:val="left"/>
    </w:pPr>
    <w:rPr>
      <w:szCs w:val="24"/>
      <w:lang w:val="en-US"/>
    </w:rPr>
  </w:style>
  <w:style w:type="paragraph" w:customStyle="1" w:styleId="xl24">
    <w:name w:val="xl24"/>
    <w:basedOn w:val="Normal"/>
    <w:rsid w:val="00C811D2"/>
    <w:pPr>
      <w:pBdr>
        <w:bottom w:val="single" w:sz="4" w:space="0" w:color="auto"/>
        <w:right w:val="single" w:sz="4" w:space="0" w:color="auto"/>
      </w:pBdr>
      <w:spacing w:before="100" w:beforeAutospacing="1" w:after="100" w:afterAutospacing="1" w:line="240" w:lineRule="auto"/>
      <w:contextualSpacing w:val="0"/>
      <w:jc w:val="center"/>
      <w:textAlignment w:val="top"/>
    </w:pPr>
    <w:rPr>
      <w:b/>
      <w:bCs/>
      <w:szCs w:val="24"/>
      <w:lang w:val="en-US"/>
    </w:rPr>
  </w:style>
  <w:style w:type="paragraph" w:customStyle="1" w:styleId="xl25">
    <w:name w:val="xl25"/>
    <w:basedOn w:val="Normal"/>
    <w:rsid w:val="00C811D2"/>
    <w:pPr>
      <w:pBdr>
        <w:top w:val="single" w:sz="4" w:space="0" w:color="auto"/>
        <w:left w:val="single" w:sz="4" w:space="0" w:color="auto"/>
        <w:bottom w:val="single" w:sz="4" w:space="0" w:color="000000"/>
        <w:right w:val="single" w:sz="4" w:space="0" w:color="auto"/>
      </w:pBdr>
      <w:spacing w:before="100" w:beforeAutospacing="1" w:after="100" w:afterAutospacing="1" w:line="240" w:lineRule="auto"/>
      <w:contextualSpacing w:val="0"/>
      <w:jc w:val="center"/>
    </w:pPr>
    <w:rPr>
      <w:szCs w:val="24"/>
      <w:lang w:val="en-US"/>
    </w:rPr>
  </w:style>
  <w:style w:type="paragraph" w:customStyle="1" w:styleId="xl26">
    <w:name w:val="xl26"/>
    <w:basedOn w:val="Normal"/>
    <w:rsid w:val="00C811D2"/>
    <w:pPr>
      <w:pBdr>
        <w:left w:val="single" w:sz="4" w:space="0" w:color="auto"/>
        <w:bottom w:val="single" w:sz="4" w:space="0" w:color="auto"/>
        <w:right w:val="single" w:sz="4" w:space="0" w:color="auto"/>
      </w:pBdr>
      <w:spacing w:before="100" w:beforeAutospacing="1" w:after="100" w:afterAutospacing="1" w:line="240" w:lineRule="auto"/>
      <w:contextualSpacing w:val="0"/>
      <w:jc w:val="center"/>
    </w:pPr>
    <w:rPr>
      <w:szCs w:val="24"/>
      <w:lang w:val="en-US"/>
    </w:rPr>
  </w:style>
  <w:style w:type="paragraph" w:customStyle="1" w:styleId="xl27">
    <w:name w:val="xl27"/>
    <w:basedOn w:val="Normal"/>
    <w:rsid w:val="00C811D2"/>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szCs w:val="24"/>
      <w:lang w:val="en-US"/>
    </w:rPr>
  </w:style>
  <w:style w:type="paragraph" w:customStyle="1" w:styleId="xl28">
    <w:name w:val="xl28"/>
    <w:basedOn w:val="Normal"/>
    <w:rsid w:val="00C811D2"/>
    <w:pPr>
      <w:pBdr>
        <w:top w:val="single" w:sz="4" w:space="0" w:color="auto"/>
        <w:left w:val="single" w:sz="4" w:space="0" w:color="auto"/>
        <w:bottom w:val="single" w:sz="4" w:space="0" w:color="000000"/>
        <w:right w:val="single" w:sz="4" w:space="0" w:color="auto"/>
      </w:pBdr>
      <w:spacing w:before="100" w:beforeAutospacing="1" w:after="100" w:afterAutospacing="1" w:line="240" w:lineRule="auto"/>
      <w:contextualSpacing w:val="0"/>
      <w:jc w:val="center"/>
      <w:textAlignment w:val="center"/>
    </w:pPr>
    <w:rPr>
      <w:szCs w:val="24"/>
      <w:lang w:val="en-US"/>
    </w:rPr>
  </w:style>
  <w:style w:type="paragraph" w:customStyle="1" w:styleId="xl29">
    <w:name w:val="xl29"/>
    <w:basedOn w:val="Normal"/>
    <w:rsid w:val="00C811D2"/>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szCs w:val="24"/>
      <w:lang w:val="en-US"/>
    </w:rPr>
  </w:style>
  <w:style w:type="paragraph" w:customStyle="1" w:styleId="xl30">
    <w:name w:val="xl30"/>
    <w:basedOn w:val="Normal"/>
    <w:rsid w:val="00C811D2"/>
    <w:pPr>
      <w:pBdr>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szCs w:val="24"/>
      <w:lang w:val="en-US"/>
    </w:rPr>
  </w:style>
  <w:style w:type="paragraph" w:customStyle="1" w:styleId="xl31">
    <w:name w:val="xl31"/>
    <w:basedOn w:val="Normal"/>
    <w:rsid w:val="00C811D2"/>
    <w:pPr>
      <w:pBdr>
        <w:left w:val="single" w:sz="4" w:space="0" w:color="auto"/>
        <w:bottom w:val="single" w:sz="4" w:space="0" w:color="000000"/>
        <w:right w:val="single" w:sz="4" w:space="0" w:color="auto"/>
      </w:pBdr>
      <w:spacing w:before="100" w:beforeAutospacing="1" w:after="100" w:afterAutospacing="1" w:line="240" w:lineRule="auto"/>
      <w:contextualSpacing w:val="0"/>
      <w:jc w:val="center"/>
      <w:textAlignment w:val="center"/>
    </w:pPr>
    <w:rPr>
      <w:szCs w:val="24"/>
      <w:lang w:val="en-US"/>
    </w:rPr>
  </w:style>
  <w:style w:type="paragraph" w:customStyle="1" w:styleId="xl32">
    <w:name w:val="xl32"/>
    <w:basedOn w:val="Normal"/>
    <w:rsid w:val="00C811D2"/>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textAlignment w:val="center"/>
    </w:pPr>
    <w:rPr>
      <w:szCs w:val="24"/>
      <w:lang w:val="en-US"/>
    </w:rPr>
  </w:style>
  <w:style w:type="paragraph" w:customStyle="1" w:styleId="xl33">
    <w:name w:val="xl33"/>
    <w:basedOn w:val="Normal"/>
    <w:rsid w:val="00C811D2"/>
    <w:pPr>
      <w:pBdr>
        <w:top w:val="single" w:sz="4" w:space="0" w:color="auto"/>
        <w:left w:val="single" w:sz="4" w:space="0" w:color="auto"/>
        <w:right w:val="single" w:sz="4" w:space="0" w:color="auto"/>
      </w:pBdr>
      <w:spacing w:before="100" w:beforeAutospacing="1" w:after="100" w:afterAutospacing="1" w:line="240" w:lineRule="auto"/>
      <w:contextualSpacing w:val="0"/>
      <w:jc w:val="center"/>
      <w:textAlignment w:val="top"/>
    </w:pPr>
    <w:rPr>
      <w:b/>
      <w:bCs/>
      <w:szCs w:val="24"/>
      <w:lang w:val="en-US"/>
    </w:rPr>
  </w:style>
  <w:style w:type="paragraph" w:customStyle="1" w:styleId="xl34">
    <w:name w:val="xl34"/>
    <w:basedOn w:val="Normal"/>
    <w:rsid w:val="00C811D2"/>
    <w:pPr>
      <w:pBdr>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top"/>
    </w:pPr>
    <w:rPr>
      <w:b/>
      <w:bCs/>
      <w:szCs w:val="24"/>
      <w:lang w:val="en-US"/>
    </w:rPr>
  </w:style>
  <w:style w:type="paragraph" w:customStyle="1" w:styleId="xl35">
    <w:name w:val="xl35"/>
    <w:basedOn w:val="Normal"/>
    <w:rsid w:val="00C811D2"/>
    <w:pPr>
      <w:pBdr>
        <w:top w:val="single" w:sz="4" w:space="0" w:color="auto"/>
        <w:left w:val="single" w:sz="4" w:space="0" w:color="auto"/>
        <w:bottom w:val="single" w:sz="4" w:space="0" w:color="auto"/>
      </w:pBdr>
      <w:spacing w:before="100" w:beforeAutospacing="1" w:after="100" w:afterAutospacing="1" w:line="240" w:lineRule="auto"/>
      <w:contextualSpacing w:val="0"/>
      <w:jc w:val="center"/>
      <w:textAlignment w:val="top"/>
    </w:pPr>
    <w:rPr>
      <w:b/>
      <w:bCs/>
      <w:szCs w:val="24"/>
      <w:lang w:val="en-US"/>
    </w:rPr>
  </w:style>
  <w:style w:type="paragraph" w:customStyle="1" w:styleId="xl36">
    <w:name w:val="xl36"/>
    <w:basedOn w:val="Normal"/>
    <w:rsid w:val="00C811D2"/>
    <w:pPr>
      <w:pBdr>
        <w:top w:val="single" w:sz="4" w:space="0" w:color="auto"/>
        <w:bottom w:val="single" w:sz="4" w:space="0" w:color="auto"/>
        <w:right w:val="single" w:sz="4" w:space="0" w:color="000000"/>
      </w:pBdr>
      <w:spacing w:before="100" w:beforeAutospacing="1" w:after="100" w:afterAutospacing="1" w:line="240" w:lineRule="auto"/>
      <w:contextualSpacing w:val="0"/>
      <w:jc w:val="center"/>
      <w:textAlignment w:val="top"/>
    </w:pPr>
    <w:rPr>
      <w:b/>
      <w:bCs/>
      <w:szCs w:val="24"/>
      <w:lang w:val="en-US"/>
    </w:rPr>
  </w:style>
  <w:style w:type="paragraph" w:customStyle="1" w:styleId="xl38">
    <w:name w:val="xl38"/>
    <w:basedOn w:val="Normal"/>
    <w:rsid w:val="00C811D2"/>
    <w:pPr>
      <w:pBdr>
        <w:top w:val="single" w:sz="4" w:space="0" w:color="auto"/>
        <w:right w:val="single" w:sz="4" w:space="0" w:color="000000"/>
      </w:pBdr>
      <w:spacing w:before="100" w:beforeAutospacing="1" w:after="100" w:afterAutospacing="1" w:line="240" w:lineRule="auto"/>
      <w:contextualSpacing w:val="0"/>
      <w:jc w:val="center"/>
      <w:textAlignment w:val="top"/>
    </w:pPr>
    <w:rPr>
      <w:b/>
      <w:bCs/>
      <w:szCs w:val="24"/>
      <w:lang w:val="en-US"/>
    </w:rPr>
  </w:style>
  <w:style w:type="paragraph" w:customStyle="1" w:styleId="xl39">
    <w:name w:val="xl39"/>
    <w:basedOn w:val="Normal"/>
    <w:rsid w:val="00C811D2"/>
    <w:pPr>
      <w:pBdr>
        <w:bottom w:val="single" w:sz="4" w:space="0" w:color="auto"/>
        <w:right w:val="single" w:sz="4" w:space="0" w:color="000000"/>
      </w:pBdr>
      <w:spacing w:before="100" w:beforeAutospacing="1" w:after="100" w:afterAutospacing="1" w:line="240" w:lineRule="auto"/>
      <w:contextualSpacing w:val="0"/>
      <w:jc w:val="center"/>
      <w:textAlignment w:val="top"/>
    </w:pPr>
    <w:rPr>
      <w:b/>
      <w:bCs/>
      <w:szCs w:val="24"/>
      <w:lang w:val="en-US"/>
    </w:rPr>
  </w:style>
  <w:style w:type="paragraph" w:customStyle="1" w:styleId="xl40">
    <w:name w:val="xl40"/>
    <w:basedOn w:val="Normal"/>
    <w:rsid w:val="00C811D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contextualSpacing w:val="0"/>
      <w:jc w:val="center"/>
    </w:pPr>
    <w:rPr>
      <w:b/>
      <w:bCs/>
      <w:szCs w:val="24"/>
      <w:lang w:val="en-US"/>
    </w:rPr>
  </w:style>
  <w:style w:type="paragraph" w:customStyle="1" w:styleId="xl41">
    <w:name w:val="xl41"/>
    <w:basedOn w:val="Normal"/>
    <w:rsid w:val="00C811D2"/>
    <w:pPr>
      <w:pBdr>
        <w:top w:val="single" w:sz="4" w:space="0" w:color="auto"/>
        <w:left w:val="single" w:sz="4" w:space="0" w:color="000000"/>
        <w:right w:val="single" w:sz="4" w:space="0" w:color="auto"/>
      </w:pBdr>
      <w:spacing w:before="100" w:beforeAutospacing="1" w:after="100" w:afterAutospacing="1" w:line="240" w:lineRule="auto"/>
      <w:contextualSpacing w:val="0"/>
      <w:jc w:val="center"/>
      <w:textAlignment w:val="top"/>
    </w:pPr>
    <w:rPr>
      <w:b/>
      <w:bCs/>
      <w:szCs w:val="24"/>
      <w:lang w:val="en-US"/>
    </w:rPr>
  </w:style>
  <w:style w:type="paragraph" w:customStyle="1" w:styleId="xl42">
    <w:name w:val="xl42"/>
    <w:basedOn w:val="Normal"/>
    <w:rsid w:val="00C811D2"/>
    <w:pPr>
      <w:pBdr>
        <w:left w:val="single" w:sz="4" w:space="0" w:color="000000"/>
        <w:bottom w:val="single" w:sz="4" w:space="0" w:color="auto"/>
        <w:right w:val="single" w:sz="4" w:space="0" w:color="auto"/>
      </w:pBdr>
      <w:spacing w:before="100" w:beforeAutospacing="1" w:after="100" w:afterAutospacing="1" w:line="240" w:lineRule="auto"/>
      <w:contextualSpacing w:val="0"/>
      <w:jc w:val="center"/>
      <w:textAlignment w:val="top"/>
    </w:pPr>
    <w:rPr>
      <w:b/>
      <w:bCs/>
      <w:szCs w:val="24"/>
      <w:lang w:val="en-US"/>
    </w:rPr>
  </w:style>
  <w:style w:type="paragraph" w:customStyle="1" w:styleId="xl43">
    <w:name w:val="xl43"/>
    <w:basedOn w:val="Normal"/>
    <w:rsid w:val="00C811D2"/>
    <w:pPr>
      <w:pBdr>
        <w:top w:val="single" w:sz="4" w:space="0" w:color="auto"/>
        <w:left w:val="single" w:sz="4" w:space="0" w:color="auto"/>
        <w:right w:val="single" w:sz="4" w:space="0" w:color="auto"/>
      </w:pBdr>
      <w:spacing w:before="100" w:beforeAutospacing="1" w:after="100" w:afterAutospacing="1" w:line="240" w:lineRule="auto"/>
      <w:contextualSpacing w:val="0"/>
      <w:jc w:val="center"/>
      <w:textAlignment w:val="top"/>
    </w:pPr>
    <w:rPr>
      <w:b/>
      <w:bCs/>
      <w:szCs w:val="24"/>
      <w:lang w:val="en-US"/>
    </w:rPr>
  </w:style>
  <w:style w:type="paragraph" w:customStyle="1" w:styleId="xl44">
    <w:name w:val="xl44"/>
    <w:basedOn w:val="Normal"/>
    <w:rsid w:val="00C811D2"/>
    <w:pPr>
      <w:pBdr>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top"/>
    </w:pPr>
    <w:rPr>
      <w:b/>
      <w:bCs/>
      <w:szCs w:val="24"/>
      <w:lang w:val="en-US"/>
    </w:rPr>
  </w:style>
  <w:style w:type="paragraph" w:customStyle="1" w:styleId="StyleBodyTextBold">
    <w:name w:val="Style Body Text + Bold"/>
    <w:basedOn w:val="Corpsdetexte"/>
    <w:rsid w:val="00C811D2"/>
    <w:pPr>
      <w:numPr>
        <w:numId w:val="18"/>
      </w:numPr>
      <w:spacing w:before="0" w:after="0" w:line="240" w:lineRule="auto"/>
      <w:contextualSpacing w:val="0"/>
    </w:pPr>
    <w:rPr>
      <w:b/>
      <w:bCs/>
      <w:lang w:val="en-US"/>
    </w:rPr>
  </w:style>
  <w:style w:type="paragraph" w:customStyle="1" w:styleId="StyleBodyTextBold1">
    <w:name w:val="Style Body Text + Bold1"/>
    <w:basedOn w:val="Corpsdetexte"/>
    <w:autoRedefine/>
    <w:rsid w:val="00C811D2"/>
    <w:pPr>
      <w:spacing w:before="0" w:after="0" w:line="240" w:lineRule="auto"/>
      <w:contextualSpacing w:val="0"/>
    </w:pPr>
    <w:rPr>
      <w:bCs/>
      <w:lang w:val="en-US"/>
    </w:rPr>
  </w:style>
  <w:style w:type="paragraph" w:customStyle="1" w:styleId="Annex">
    <w:name w:val="Annex"/>
    <w:basedOn w:val="Normal"/>
    <w:rsid w:val="00C811D2"/>
    <w:pPr>
      <w:spacing w:before="0" w:after="0" w:line="240" w:lineRule="auto"/>
      <w:contextualSpacing w:val="0"/>
      <w:jc w:val="left"/>
    </w:pPr>
    <w:rPr>
      <w:caps/>
      <w:lang w:val="es-PE"/>
    </w:rPr>
  </w:style>
  <w:style w:type="paragraph" w:customStyle="1" w:styleId="AbbrDesc">
    <w:name w:val="AbbrDesc"/>
    <w:basedOn w:val="Normal"/>
    <w:rsid w:val="00C811D2"/>
    <w:pPr>
      <w:tabs>
        <w:tab w:val="left" w:pos="3060"/>
      </w:tabs>
      <w:spacing w:before="0" w:after="0" w:line="240" w:lineRule="auto"/>
      <w:contextualSpacing w:val="0"/>
    </w:pPr>
    <w:rPr>
      <w:lang w:val="es-PE"/>
    </w:rPr>
  </w:style>
  <w:style w:type="paragraph" w:customStyle="1" w:styleId="BodyTextSummary">
    <w:name w:val="Body Text Summary"/>
    <w:uiPriority w:val="99"/>
    <w:rsid w:val="00C811D2"/>
    <w:pPr>
      <w:numPr>
        <w:numId w:val="19"/>
      </w:numPr>
      <w:spacing w:after="170" w:line="280" w:lineRule="atLeast"/>
      <w:ind w:left="572" w:hanging="459"/>
      <w:jc w:val="both"/>
    </w:pPr>
    <w:rPr>
      <w:rFonts w:ascii="Times New Roman" w:eastAsia="Times New Roman" w:hAnsi="Times New Roman" w:cs="Times New Roman"/>
      <w:lang w:val="en-GB"/>
    </w:rPr>
  </w:style>
  <w:style w:type="paragraph" w:customStyle="1" w:styleId="ListBulleted">
    <w:name w:val="List Bulleted"/>
    <w:uiPriority w:val="99"/>
    <w:rsid w:val="00C811D2"/>
    <w:pPr>
      <w:numPr>
        <w:numId w:val="20"/>
      </w:numPr>
      <w:tabs>
        <w:tab w:val="left" w:pos="919"/>
      </w:tabs>
      <w:spacing w:after="0" w:line="240" w:lineRule="auto"/>
      <w:ind w:left="918" w:right="1134" w:hanging="459"/>
      <w:jc w:val="both"/>
    </w:pPr>
    <w:rPr>
      <w:rFonts w:ascii="Times New Roman" w:eastAsia="Times New Roman" w:hAnsi="Times New Roman" w:cs="Times New Roman"/>
      <w:szCs w:val="20"/>
      <w:lang w:val="en-GB"/>
    </w:rPr>
  </w:style>
  <w:style w:type="paragraph" w:customStyle="1" w:styleId="ListEmdash">
    <w:name w:val="List Emdash"/>
    <w:uiPriority w:val="99"/>
    <w:rsid w:val="00C811D2"/>
    <w:pPr>
      <w:numPr>
        <w:numId w:val="21"/>
      </w:numPr>
      <w:spacing w:after="0" w:line="240" w:lineRule="auto"/>
      <w:ind w:right="1134"/>
      <w:jc w:val="both"/>
    </w:pPr>
    <w:rPr>
      <w:rFonts w:ascii="Times New Roman" w:eastAsia="Times New Roman" w:hAnsi="Times New Roman" w:cs="Times New Roman"/>
      <w:szCs w:val="20"/>
      <w:lang w:val="en-GB"/>
    </w:rPr>
  </w:style>
  <w:style w:type="paragraph" w:customStyle="1" w:styleId="ListNumbered">
    <w:name w:val="List Numbered"/>
    <w:uiPriority w:val="99"/>
    <w:rsid w:val="00C811D2"/>
    <w:pPr>
      <w:numPr>
        <w:numId w:val="22"/>
      </w:numPr>
      <w:spacing w:after="0" w:line="240" w:lineRule="auto"/>
      <w:ind w:right="1134"/>
    </w:pPr>
    <w:rPr>
      <w:rFonts w:ascii="Times New Roman" w:eastAsia="Times New Roman" w:hAnsi="Times New Roman" w:cs="Times New Roman"/>
      <w:szCs w:val="20"/>
      <w:lang w:val="en-GB"/>
    </w:rPr>
  </w:style>
  <w:style w:type="paragraph" w:customStyle="1" w:styleId="zyxConfid2Red">
    <w:name w:val="zyxConfid2Red"/>
    <w:basedOn w:val="Normal"/>
    <w:uiPriority w:val="99"/>
    <w:rsid w:val="00C811D2"/>
    <w:pPr>
      <w:spacing w:before="0" w:after="20" w:line="220" w:lineRule="exact"/>
      <w:contextualSpacing w:val="0"/>
      <w:jc w:val="right"/>
    </w:pPr>
    <w:rPr>
      <w:rFonts w:ascii="Arial" w:hAnsi="Arial" w:cs="Arial"/>
      <w:color w:val="FF0000"/>
      <w:szCs w:val="24"/>
      <w:lang w:val="en-US"/>
    </w:rPr>
  </w:style>
  <w:style w:type="paragraph" w:customStyle="1" w:styleId="zyxConfidRed">
    <w:name w:val="zyxConfidRed"/>
    <w:uiPriority w:val="99"/>
    <w:rsid w:val="00C811D2"/>
    <w:pPr>
      <w:widowControl w:val="0"/>
      <w:spacing w:before="80" w:after="0" w:line="240" w:lineRule="auto"/>
      <w:jc w:val="right"/>
    </w:pPr>
    <w:rPr>
      <w:rFonts w:ascii="Arial" w:eastAsia="Times New Roman" w:hAnsi="Arial" w:cs="Times New Roman"/>
      <w:b/>
      <w:caps/>
      <w:color w:val="FF0000"/>
      <w:sz w:val="40"/>
      <w:szCs w:val="20"/>
      <w:lang w:val="en-GB"/>
    </w:rPr>
  </w:style>
  <w:style w:type="paragraph" w:customStyle="1" w:styleId="zyxConfidBlack">
    <w:name w:val="zyxConfidBlack"/>
    <w:basedOn w:val="zyxConfidRed"/>
    <w:uiPriority w:val="99"/>
    <w:rsid w:val="00C811D2"/>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99"/>
    <w:rsid w:val="00C811D2"/>
    <w:pPr>
      <w:framePr w:wrap="around" w:vAnchor="page" w:hAnchor="page" w:x="1390" w:y="15707"/>
      <w:widowControl w:val="0"/>
      <w:spacing w:before="240" w:after="20" w:line="240" w:lineRule="auto"/>
      <w:ind w:left="142"/>
      <w:contextualSpacing w:val="0"/>
      <w:suppressOverlap/>
      <w:jc w:val="left"/>
    </w:pPr>
    <w:rPr>
      <w:rFonts w:ascii="Arial" w:hAnsi="Arial"/>
      <w:b/>
      <w:szCs w:val="24"/>
      <w:lang w:val="en-US"/>
    </w:rPr>
  </w:style>
  <w:style w:type="paragraph" w:customStyle="1" w:styleId="zyxPrePrint">
    <w:name w:val="zyxPrePrint"/>
    <w:uiPriority w:val="99"/>
    <w:rsid w:val="00C811D2"/>
    <w:pPr>
      <w:spacing w:after="60" w:line="280" w:lineRule="exact"/>
      <w:ind w:left="113"/>
    </w:pPr>
    <w:rPr>
      <w:rFonts w:ascii="Times New Roman" w:eastAsia="Times New Roman" w:hAnsi="Times New Roman" w:cs="Times New Roman"/>
      <w:szCs w:val="20"/>
      <w:lang w:val="en-GB"/>
    </w:rPr>
  </w:style>
  <w:style w:type="paragraph" w:customStyle="1" w:styleId="zyxFillIn">
    <w:name w:val="zyxFill_In"/>
    <w:basedOn w:val="zyxPrePrint"/>
    <w:uiPriority w:val="99"/>
    <w:rsid w:val="00C811D2"/>
    <w:rPr>
      <w:b/>
    </w:rPr>
  </w:style>
  <w:style w:type="paragraph" w:customStyle="1" w:styleId="zyxLogo">
    <w:name w:val="zyxLogo"/>
    <w:basedOn w:val="Normal"/>
    <w:uiPriority w:val="99"/>
    <w:rsid w:val="00C811D2"/>
    <w:pPr>
      <w:keepNext/>
      <w:spacing w:before="0" w:after="10" w:line="240" w:lineRule="auto"/>
      <w:contextualSpacing w:val="0"/>
      <w:jc w:val="left"/>
    </w:pPr>
    <w:rPr>
      <w:rFonts w:ascii="Arial" w:hAnsi="Arial"/>
      <w:b/>
      <w:sz w:val="13"/>
      <w:szCs w:val="24"/>
      <w:lang w:val="en-US"/>
    </w:rPr>
  </w:style>
  <w:style w:type="paragraph" w:customStyle="1" w:styleId="zyxP1Footer">
    <w:name w:val="zyxP1_Footer"/>
    <w:basedOn w:val="Normal"/>
    <w:uiPriority w:val="99"/>
    <w:rsid w:val="00C811D2"/>
    <w:pPr>
      <w:widowControl w:val="0"/>
      <w:spacing w:before="0" w:after="0" w:line="160" w:lineRule="exact"/>
      <w:ind w:left="108"/>
      <w:contextualSpacing w:val="0"/>
      <w:jc w:val="left"/>
    </w:pPr>
    <w:rPr>
      <w:sz w:val="14"/>
      <w:szCs w:val="24"/>
      <w:lang w:val="en-US"/>
    </w:rPr>
  </w:style>
  <w:style w:type="paragraph" w:customStyle="1" w:styleId="zyxSensitivity">
    <w:name w:val="zyxSensitivity"/>
    <w:basedOn w:val="Normal"/>
    <w:uiPriority w:val="99"/>
    <w:rsid w:val="00C811D2"/>
    <w:pPr>
      <w:framePr w:wrap="around" w:vAnchor="page" w:hAnchor="page" w:x="1390" w:y="15707"/>
      <w:widowControl w:val="0"/>
      <w:spacing w:before="0" w:after="0" w:line="220" w:lineRule="exact"/>
      <w:ind w:left="142"/>
      <w:contextualSpacing w:val="0"/>
      <w:suppressOverlap/>
      <w:jc w:val="left"/>
    </w:pPr>
    <w:rPr>
      <w:rFonts w:ascii="Arial" w:hAnsi="Arial"/>
      <w:b/>
      <w:szCs w:val="24"/>
      <w:lang w:val="en-US"/>
    </w:rPr>
  </w:style>
  <w:style w:type="paragraph" w:customStyle="1" w:styleId="zyxTitle">
    <w:name w:val="zyxTitle"/>
    <w:basedOn w:val="Normal"/>
    <w:uiPriority w:val="99"/>
    <w:rsid w:val="00C811D2"/>
    <w:pPr>
      <w:keepNext/>
      <w:spacing w:before="0" w:after="0" w:line="420" w:lineRule="exact"/>
      <w:contextualSpacing w:val="0"/>
      <w:jc w:val="left"/>
    </w:pPr>
    <w:rPr>
      <w:rFonts w:ascii="Arial" w:hAnsi="Arial"/>
      <w:sz w:val="40"/>
      <w:szCs w:val="24"/>
      <w:lang w:val="en-US"/>
    </w:rPr>
  </w:style>
  <w:style w:type="paragraph" w:customStyle="1" w:styleId="AgendaList">
    <w:name w:val="Agenda List"/>
    <w:uiPriority w:val="99"/>
    <w:rsid w:val="00C811D2"/>
    <w:pPr>
      <w:numPr>
        <w:numId w:val="23"/>
      </w:numPr>
      <w:tabs>
        <w:tab w:val="left" w:pos="919"/>
      </w:tabs>
      <w:spacing w:after="240" w:line="240" w:lineRule="exact"/>
      <w:ind w:left="918"/>
      <w:jc w:val="both"/>
    </w:pPr>
    <w:rPr>
      <w:rFonts w:ascii="Times New Roman" w:eastAsia="Times New Roman" w:hAnsi="Times New Roman" w:cs="Times New Roman"/>
      <w:szCs w:val="20"/>
      <w:lang w:val="en-GB"/>
    </w:rPr>
  </w:style>
  <w:style w:type="paragraph" w:customStyle="1" w:styleId="zyxClassification1">
    <w:name w:val="zyxClassification1"/>
    <w:basedOn w:val="Corpsdetexte"/>
    <w:uiPriority w:val="99"/>
    <w:rsid w:val="00C811D2"/>
    <w:pPr>
      <w:spacing w:before="0" w:after="0" w:line="280" w:lineRule="exact"/>
      <w:contextualSpacing w:val="0"/>
      <w:jc w:val="right"/>
    </w:pPr>
    <w:rPr>
      <w:rFonts w:ascii="Arial" w:hAnsi="Arial" w:cs="Arial"/>
      <w:b/>
      <w:bCs/>
      <w:caps/>
      <w:lang w:val="en-GB"/>
    </w:rPr>
  </w:style>
  <w:style w:type="paragraph" w:customStyle="1" w:styleId="zyxClassification2">
    <w:name w:val="zyxClassification2"/>
    <w:basedOn w:val="Pieddepage"/>
    <w:uiPriority w:val="99"/>
    <w:rsid w:val="00C811D2"/>
  </w:style>
  <w:style w:type="character" w:customStyle="1" w:styleId="CharChar7">
    <w:name w:val="Char Char7"/>
    <w:basedOn w:val="Policepardfaut"/>
    <w:semiHidden/>
    <w:locked/>
    <w:rsid w:val="00C811D2"/>
    <w:rPr>
      <w:rFonts w:cs="Times New Roman"/>
      <w:sz w:val="24"/>
      <w:szCs w:val="24"/>
      <w:lang w:val="en-US" w:eastAsia="en-US"/>
    </w:rPr>
  </w:style>
  <w:style w:type="character" w:customStyle="1" w:styleId="BalloonTextChar14">
    <w:name w:val="Balloon Text Char14"/>
    <w:basedOn w:val="Policepardfaut"/>
    <w:uiPriority w:val="99"/>
    <w:semiHidden/>
    <w:rsid w:val="00C811D2"/>
    <w:rPr>
      <w:rFonts w:ascii="Lucida Grande" w:hAnsi="Lucida Grande"/>
      <w:sz w:val="18"/>
      <w:szCs w:val="18"/>
    </w:rPr>
  </w:style>
  <w:style w:type="character" w:customStyle="1" w:styleId="BalloonTextChar13">
    <w:name w:val="Balloon Text Char13"/>
    <w:basedOn w:val="Policepardfaut"/>
    <w:uiPriority w:val="99"/>
    <w:semiHidden/>
    <w:rsid w:val="00C811D2"/>
    <w:rPr>
      <w:rFonts w:ascii="Lucida Grande" w:hAnsi="Lucida Grande"/>
      <w:sz w:val="18"/>
      <w:szCs w:val="18"/>
    </w:rPr>
  </w:style>
  <w:style w:type="character" w:customStyle="1" w:styleId="BalloonTextChar12">
    <w:name w:val="Balloon Text Char12"/>
    <w:basedOn w:val="Policepardfaut"/>
    <w:uiPriority w:val="99"/>
    <w:semiHidden/>
    <w:rsid w:val="00C811D2"/>
    <w:rPr>
      <w:rFonts w:ascii="Lucida Grande" w:hAnsi="Lucida Grande"/>
      <w:sz w:val="18"/>
      <w:szCs w:val="18"/>
    </w:rPr>
  </w:style>
  <w:style w:type="character" w:customStyle="1" w:styleId="BalloonTextChar11">
    <w:name w:val="Balloon Text Char11"/>
    <w:basedOn w:val="Policepardfaut"/>
    <w:uiPriority w:val="99"/>
    <w:semiHidden/>
    <w:rsid w:val="00C811D2"/>
    <w:rPr>
      <w:rFonts w:ascii="Lucida Grande" w:hAnsi="Lucida Grande"/>
      <w:sz w:val="18"/>
      <w:szCs w:val="18"/>
    </w:rPr>
  </w:style>
  <w:style w:type="character" w:customStyle="1" w:styleId="BalloonTextChar10">
    <w:name w:val="Balloon Text Char10"/>
    <w:basedOn w:val="Policepardfaut"/>
    <w:uiPriority w:val="99"/>
    <w:rsid w:val="00C811D2"/>
    <w:rPr>
      <w:rFonts w:ascii="Lucida Grande" w:hAnsi="Lucida Grande"/>
      <w:sz w:val="18"/>
      <w:szCs w:val="18"/>
    </w:rPr>
  </w:style>
  <w:style w:type="paragraph" w:customStyle="1" w:styleId="MEDH1">
    <w:name w:val="MED H1"/>
    <w:basedOn w:val="Normal"/>
    <w:link w:val="MEDH1Char"/>
    <w:qFormat/>
    <w:rsid w:val="00C811D2"/>
    <w:pPr>
      <w:spacing w:before="240" w:line="240" w:lineRule="auto"/>
      <w:ind w:left="2693"/>
      <w:contextualSpacing w:val="0"/>
      <w:jc w:val="left"/>
    </w:pPr>
    <w:rPr>
      <w:rFonts w:ascii="Arial" w:eastAsia="Cambria" w:hAnsi="Arial"/>
      <w:sz w:val="44"/>
      <w:szCs w:val="44"/>
    </w:rPr>
  </w:style>
  <w:style w:type="character" w:customStyle="1" w:styleId="MEDH1Char">
    <w:name w:val="MED H1 Char"/>
    <w:basedOn w:val="Policepardfaut"/>
    <w:link w:val="MEDH1"/>
    <w:rsid w:val="00C811D2"/>
    <w:rPr>
      <w:rFonts w:ascii="Arial" w:eastAsia="Cambria" w:hAnsi="Arial" w:cs="Times New Roman"/>
      <w:sz w:val="44"/>
      <w:szCs w:val="44"/>
      <w:lang w:val="en-AU"/>
    </w:rPr>
  </w:style>
  <w:style w:type="paragraph" w:customStyle="1" w:styleId="ParaText">
    <w:name w:val="Para Text"/>
    <w:basedOn w:val="Normal"/>
    <w:uiPriority w:val="99"/>
    <w:rsid w:val="00C811D2"/>
    <w:pPr>
      <w:spacing w:line="240" w:lineRule="auto"/>
      <w:contextualSpacing w:val="0"/>
    </w:pPr>
    <w:rPr>
      <w:rFonts w:ascii="Arial Narrow" w:eastAsia="SimSun" w:hAnsi="Arial Narrow"/>
      <w:sz w:val="22"/>
      <w:szCs w:val="24"/>
      <w:lang w:eastAsia="en-AU"/>
    </w:rPr>
  </w:style>
  <w:style w:type="table" w:styleId="Tramemoyenne2-Accent1">
    <w:name w:val="Medium Shading 2 Accent 1"/>
    <w:basedOn w:val="TableauNormal"/>
    <w:uiPriority w:val="64"/>
    <w:rsid w:val="00C811D2"/>
    <w:pPr>
      <w:spacing w:after="0" w:line="240" w:lineRule="auto"/>
    </w:pPr>
    <w:rPr>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claire-Accent5">
    <w:name w:val="Light List Accent 5"/>
    <w:basedOn w:val="TableauNormal"/>
    <w:uiPriority w:val="61"/>
    <w:rsid w:val="00C811D2"/>
    <w:pPr>
      <w:spacing w:after="0" w:line="240" w:lineRule="auto"/>
    </w:pPr>
    <w:rPr>
      <w:lang w:val="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Grillemoyenne3-Accent4">
    <w:name w:val="Medium Grid 3 Accent 4"/>
    <w:basedOn w:val="TableauNormal"/>
    <w:uiPriority w:val="69"/>
    <w:rsid w:val="00C811D2"/>
    <w:pPr>
      <w:spacing w:after="0"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Tramemoyenne2">
    <w:name w:val="Medium Shading 2"/>
    <w:basedOn w:val="TableauNormal"/>
    <w:uiPriority w:val="64"/>
    <w:rsid w:val="00C811D2"/>
    <w:pPr>
      <w:spacing w:after="0"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TableauNormal"/>
    <w:next w:val="Grilledutableau"/>
    <w:rsid w:val="00C811D2"/>
    <w:pPr>
      <w:spacing w:after="0" w:line="240" w:lineRule="auto"/>
    </w:pPr>
    <w:rPr>
      <w:rFonts w:ascii="Calibri" w:eastAsia="PMingLiU"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utline">
    <w:name w:val="Outline"/>
    <w:basedOn w:val="Normal"/>
    <w:rsid w:val="00C811D2"/>
    <w:pPr>
      <w:spacing w:before="240" w:after="0" w:line="240" w:lineRule="auto"/>
      <w:contextualSpacing w:val="0"/>
      <w:jc w:val="left"/>
    </w:pPr>
    <w:rPr>
      <w:kern w:val="28"/>
      <w:lang w:val="en-US"/>
    </w:rPr>
  </w:style>
  <w:style w:type="character" w:customStyle="1" w:styleId="q1">
    <w:name w:val="q1"/>
    <w:basedOn w:val="Policepardfaut"/>
    <w:uiPriority w:val="99"/>
    <w:rsid w:val="00C811D2"/>
    <w:rPr>
      <w:color w:val="550055"/>
    </w:rPr>
  </w:style>
  <w:style w:type="paragraph" w:customStyle="1" w:styleId="Brookingsstyle">
    <w:name w:val="Brookings style"/>
    <w:basedOn w:val="Normal"/>
    <w:uiPriority w:val="99"/>
    <w:rsid w:val="00C811D2"/>
    <w:pPr>
      <w:numPr>
        <w:numId w:val="24"/>
      </w:numPr>
      <w:spacing w:before="0" w:line="240" w:lineRule="auto"/>
      <w:contextualSpacing w:val="0"/>
    </w:pPr>
    <w:rPr>
      <w:szCs w:val="24"/>
      <w:lang w:val="en-US"/>
    </w:rPr>
  </w:style>
  <w:style w:type="character" w:customStyle="1" w:styleId="BalloonTextChar4">
    <w:name w:val="Balloon Text Char4"/>
    <w:basedOn w:val="Policepardfaut"/>
    <w:uiPriority w:val="99"/>
    <w:semiHidden/>
    <w:rsid w:val="00C811D2"/>
    <w:rPr>
      <w:rFonts w:ascii="Lucida Grande" w:hAnsi="Lucida Grande"/>
      <w:sz w:val="18"/>
      <w:szCs w:val="18"/>
    </w:rPr>
  </w:style>
  <w:style w:type="paragraph" w:customStyle="1" w:styleId="SubReg">
    <w:name w:val="SubReg"/>
    <w:rsid w:val="00C811D2"/>
    <w:pPr>
      <w:numPr>
        <w:ilvl w:val="1"/>
        <w:numId w:val="25"/>
      </w:numPr>
      <w:spacing w:before="60" w:after="60" w:line="240" w:lineRule="auto"/>
      <w:jc w:val="both"/>
    </w:pPr>
    <w:rPr>
      <w:rFonts w:ascii="Times New Roman" w:eastAsia="Times New Roman" w:hAnsi="Times New Roman" w:cs="Times New Roman"/>
      <w:bCs/>
      <w:sz w:val="24"/>
      <w:szCs w:val="24"/>
      <w:lang w:val="en-GB"/>
    </w:rPr>
  </w:style>
  <w:style w:type="paragraph" w:customStyle="1" w:styleId="SubSubReg">
    <w:name w:val="SubSubReg"/>
    <w:rsid w:val="00C811D2"/>
    <w:pPr>
      <w:numPr>
        <w:ilvl w:val="3"/>
        <w:numId w:val="25"/>
      </w:numPr>
      <w:spacing w:before="60" w:after="60" w:line="240" w:lineRule="auto"/>
      <w:jc w:val="both"/>
    </w:pPr>
    <w:rPr>
      <w:rFonts w:ascii="Times New Roman" w:eastAsia="Times New Roman" w:hAnsi="Times New Roman" w:cs="Times New Roman"/>
      <w:bCs/>
      <w:sz w:val="24"/>
      <w:szCs w:val="24"/>
      <w:lang w:val="en-GB"/>
    </w:rPr>
  </w:style>
  <w:style w:type="paragraph" w:customStyle="1" w:styleId="NewOutRegs">
    <w:name w:val="NewOutRegs"/>
    <w:rsid w:val="00C811D2"/>
    <w:pPr>
      <w:numPr>
        <w:numId w:val="25"/>
      </w:numPr>
      <w:tabs>
        <w:tab w:val="left" w:pos="1418"/>
        <w:tab w:val="left" w:pos="1985"/>
      </w:tabs>
      <w:spacing w:before="60" w:after="60" w:line="240" w:lineRule="auto"/>
      <w:jc w:val="both"/>
    </w:pPr>
    <w:rPr>
      <w:rFonts w:ascii="Times New Roman Bold" w:eastAsia="Times New Roman" w:hAnsi="Times New Roman Bold" w:cs="Times New Roman"/>
      <w:b/>
      <w:bCs/>
      <w:sz w:val="24"/>
      <w:szCs w:val="24"/>
      <w:lang w:val="en-GB"/>
    </w:rPr>
  </w:style>
  <w:style w:type="numbering" w:customStyle="1" w:styleId="TOCList">
    <w:name w:val="TOC_List"/>
    <w:basedOn w:val="Aucuneliste"/>
    <w:rsid w:val="00C811D2"/>
    <w:pPr>
      <w:numPr>
        <w:numId w:val="26"/>
      </w:numPr>
    </w:pPr>
  </w:style>
  <w:style w:type="paragraph" w:customStyle="1" w:styleId="Text3">
    <w:name w:val="Text 3"/>
    <w:basedOn w:val="Normal"/>
    <w:rsid w:val="00C811D2"/>
    <w:pPr>
      <w:tabs>
        <w:tab w:val="left" w:pos="2302"/>
      </w:tabs>
      <w:spacing w:after="240" w:line="240" w:lineRule="auto"/>
      <w:ind w:left="1202"/>
      <w:contextualSpacing w:val="0"/>
    </w:pPr>
    <w:rPr>
      <w:rFonts w:ascii="Arial" w:hAnsi="Arial"/>
      <w:snapToGrid w:val="0"/>
      <w:lang w:val="en-GB"/>
    </w:rPr>
  </w:style>
  <w:style w:type="paragraph" w:customStyle="1" w:styleId="bulletsub">
    <w:name w:val="bullet_sub"/>
    <w:basedOn w:val="Normal"/>
    <w:rsid w:val="00C811D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line="240" w:lineRule="auto"/>
      <w:ind w:left="2912" w:hanging="360"/>
      <w:contextualSpacing w:val="0"/>
    </w:pPr>
    <w:rPr>
      <w:rFonts w:ascii="Arial" w:hAnsi="Arial"/>
      <w:snapToGrid w:val="0"/>
      <w:sz w:val="22"/>
      <w:lang w:val="en-GB"/>
    </w:rPr>
  </w:style>
  <w:style w:type="paragraph" w:customStyle="1" w:styleId="SubTitle1">
    <w:name w:val="SubTitle 1"/>
    <w:basedOn w:val="Normal"/>
    <w:next w:val="SubTitle2"/>
    <w:rsid w:val="00C811D2"/>
    <w:pPr>
      <w:spacing w:after="240" w:line="240" w:lineRule="auto"/>
      <w:contextualSpacing w:val="0"/>
      <w:jc w:val="center"/>
    </w:pPr>
    <w:rPr>
      <w:rFonts w:ascii="Arial" w:hAnsi="Arial"/>
      <w:b/>
      <w:snapToGrid w:val="0"/>
      <w:sz w:val="40"/>
      <w:lang w:val="en-GB"/>
    </w:rPr>
  </w:style>
  <w:style w:type="paragraph" w:customStyle="1" w:styleId="SubTitle2">
    <w:name w:val="SubTitle 2"/>
    <w:basedOn w:val="Normal"/>
    <w:rsid w:val="00C811D2"/>
    <w:pPr>
      <w:spacing w:after="240" w:line="240" w:lineRule="auto"/>
      <w:contextualSpacing w:val="0"/>
      <w:jc w:val="center"/>
    </w:pPr>
    <w:rPr>
      <w:rFonts w:ascii="Arial" w:hAnsi="Arial"/>
      <w:b/>
      <w:snapToGrid w:val="0"/>
      <w:sz w:val="32"/>
      <w:lang w:val="en-GB"/>
    </w:rPr>
  </w:style>
  <w:style w:type="paragraph" w:customStyle="1" w:styleId="Annexetitle">
    <w:name w:val="Annexe_title"/>
    <w:basedOn w:val="Titre1"/>
    <w:next w:val="Normal"/>
    <w:autoRedefine/>
    <w:rsid w:val="00C811D2"/>
    <w:pPr>
      <w:keepNext/>
      <w:pageBreakBefore/>
      <w:tabs>
        <w:tab w:val="left" w:pos="567"/>
        <w:tab w:val="left" w:pos="2552"/>
        <w:tab w:val="left" w:pos="7938"/>
        <w:tab w:val="left" w:pos="9072"/>
      </w:tabs>
      <w:spacing w:before="0" w:after="0" w:line="240" w:lineRule="auto"/>
      <w:contextualSpacing w:val="0"/>
      <w:jc w:val="center"/>
      <w:outlineLvl w:val="9"/>
    </w:pPr>
    <w:rPr>
      <w:caps/>
      <w:smallCaps/>
      <w:snapToGrid w:val="0"/>
      <w:sz w:val="28"/>
      <w:lang w:val="en-GB"/>
    </w:rPr>
  </w:style>
  <w:style w:type="paragraph" w:customStyle="1" w:styleId="titlefront">
    <w:name w:val="title_front"/>
    <w:basedOn w:val="Normal"/>
    <w:rsid w:val="00C811D2"/>
    <w:pPr>
      <w:spacing w:before="240" w:line="240" w:lineRule="auto"/>
      <w:ind w:left="1701"/>
      <w:contextualSpacing w:val="0"/>
      <w:jc w:val="right"/>
    </w:pPr>
    <w:rPr>
      <w:rFonts w:ascii="Optima" w:hAnsi="Optima"/>
      <w:b/>
      <w:snapToGrid w:val="0"/>
      <w:sz w:val="28"/>
      <w:lang w:val="en-GB"/>
    </w:rPr>
  </w:style>
  <w:style w:type="paragraph" w:customStyle="1" w:styleId="Blockquote">
    <w:name w:val="Blockquote"/>
    <w:basedOn w:val="Normal"/>
    <w:rsid w:val="00C811D2"/>
    <w:pPr>
      <w:widowControl w:val="0"/>
      <w:spacing w:before="100" w:after="100" w:line="240" w:lineRule="auto"/>
      <w:ind w:left="360" w:right="360"/>
      <w:contextualSpacing w:val="0"/>
      <w:jc w:val="left"/>
    </w:pPr>
    <w:rPr>
      <w:rFonts w:ascii="Arial" w:hAnsi="Arial"/>
      <w:snapToGrid w:val="0"/>
      <w:lang w:val="en-US"/>
    </w:rPr>
  </w:style>
  <w:style w:type="paragraph" w:customStyle="1" w:styleId="text">
    <w:name w:val="text"/>
    <w:link w:val="textChar"/>
    <w:qFormat/>
    <w:rsid w:val="00C811D2"/>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Section">
    <w:name w:val="Section"/>
    <w:basedOn w:val="Normal"/>
    <w:rsid w:val="00C811D2"/>
    <w:pPr>
      <w:widowControl w:val="0"/>
      <w:spacing w:before="0" w:after="0" w:line="360" w:lineRule="exact"/>
      <w:contextualSpacing w:val="0"/>
      <w:jc w:val="center"/>
    </w:pPr>
    <w:rPr>
      <w:rFonts w:ascii="Arial" w:hAnsi="Arial"/>
      <w:b/>
      <w:snapToGrid w:val="0"/>
      <w:sz w:val="32"/>
      <w:lang w:val="cs-CZ"/>
    </w:rPr>
  </w:style>
  <w:style w:type="paragraph" w:customStyle="1" w:styleId="ManualNumPar1">
    <w:name w:val="Manual NumPar 1"/>
    <w:basedOn w:val="Normal"/>
    <w:next w:val="Normal"/>
    <w:rsid w:val="00C811D2"/>
    <w:pPr>
      <w:spacing w:line="240" w:lineRule="auto"/>
      <w:ind w:left="851" w:hanging="851"/>
      <w:contextualSpacing w:val="0"/>
    </w:pPr>
    <w:rPr>
      <w:snapToGrid w:val="0"/>
    </w:rPr>
  </w:style>
  <w:style w:type="paragraph" w:customStyle="1" w:styleId="oddl-nadpis">
    <w:name w:val="oddíl-nadpis"/>
    <w:basedOn w:val="Normal"/>
    <w:rsid w:val="00C811D2"/>
    <w:pPr>
      <w:keepNext/>
      <w:widowControl w:val="0"/>
      <w:tabs>
        <w:tab w:val="left" w:pos="567"/>
      </w:tabs>
      <w:spacing w:before="240" w:after="0" w:line="240" w:lineRule="exact"/>
      <w:contextualSpacing w:val="0"/>
      <w:jc w:val="left"/>
    </w:pPr>
    <w:rPr>
      <w:rFonts w:ascii="Arial" w:hAnsi="Arial"/>
      <w:b/>
      <w:snapToGrid w:val="0"/>
      <w:lang w:val="cs-CZ"/>
    </w:rPr>
  </w:style>
  <w:style w:type="paragraph" w:customStyle="1" w:styleId="ColorfulList-Accent11">
    <w:name w:val="Colorful List - Accent 11"/>
    <w:basedOn w:val="Normal"/>
    <w:uiPriority w:val="34"/>
    <w:qFormat/>
    <w:rsid w:val="00C811D2"/>
    <w:pPr>
      <w:spacing w:before="0" w:after="0" w:line="240" w:lineRule="auto"/>
      <w:ind w:left="720"/>
      <w:jc w:val="left"/>
    </w:pPr>
    <w:rPr>
      <w:snapToGrid w:val="0"/>
    </w:rPr>
  </w:style>
  <w:style w:type="paragraph" w:customStyle="1" w:styleId="StyleHeading1TimesNewRoman14ptItalic">
    <w:name w:val="Style Heading 1 + Times New Roman 14 pt Italic"/>
    <w:basedOn w:val="Titre1"/>
    <w:autoRedefine/>
    <w:rsid w:val="00C811D2"/>
    <w:pPr>
      <w:keepNext/>
      <w:tabs>
        <w:tab w:val="num" w:pos="360"/>
      </w:tabs>
      <w:spacing w:before="240" w:after="240" w:line="240" w:lineRule="auto"/>
      <w:ind w:left="360"/>
      <w:contextualSpacing w:val="0"/>
    </w:pPr>
    <w:rPr>
      <w:bCs/>
      <w:iCs/>
      <w:smallCaps/>
      <w:snapToGrid w:val="0"/>
      <w:sz w:val="24"/>
      <w:szCs w:val="24"/>
      <w:lang w:val="fr-BE"/>
    </w:rPr>
  </w:style>
  <w:style w:type="character" w:customStyle="1" w:styleId="Heading1Char1">
    <w:name w:val="Heading 1 Char1"/>
    <w:aliases w:val=" Car Char1"/>
    <w:rsid w:val="00C811D2"/>
    <w:rPr>
      <w:rFonts w:ascii="Arial" w:hAnsi="Arial"/>
      <w:b/>
      <w:snapToGrid w:val="0"/>
      <w:lang w:val="fr-BE"/>
    </w:rPr>
  </w:style>
  <w:style w:type="paragraph" w:customStyle="1" w:styleId="ListNumberLevel2">
    <w:name w:val="List Number (Level 2)"/>
    <w:basedOn w:val="Normal"/>
    <w:rsid w:val="00C811D2"/>
    <w:pPr>
      <w:tabs>
        <w:tab w:val="num" w:pos="1417"/>
      </w:tabs>
      <w:spacing w:before="0" w:after="240" w:line="240" w:lineRule="auto"/>
      <w:ind w:left="1417" w:hanging="708"/>
      <w:contextualSpacing w:val="0"/>
    </w:pPr>
    <w:rPr>
      <w:lang w:val="en-GB"/>
    </w:rPr>
  </w:style>
  <w:style w:type="paragraph" w:customStyle="1" w:styleId="ListNumberLevel3">
    <w:name w:val="List Number (Level 3)"/>
    <w:basedOn w:val="Normal"/>
    <w:rsid w:val="00C811D2"/>
    <w:pPr>
      <w:tabs>
        <w:tab w:val="num" w:pos="2126"/>
      </w:tabs>
      <w:spacing w:before="0" w:after="240" w:line="240" w:lineRule="auto"/>
      <w:ind w:left="2126" w:hanging="709"/>
      <w:contextualSpacing w:val="0"/>
    </w:pPr>
    <w:rPr>
      <w:lang w:val="en-GB"/>
    </w:rPr>
  </w:style>
  <w:style w:type="paragraph" w:customStyle="1" w:styleId="ListNumberLevel4">
    <w:name w:val="List Number (Level 4)"/>
    <w:basedOn w:val="Normal"/>
    <w:rsid w:val="00C811D2"/>
    <w:pPr>
      <w:tabs>
        <w:tab w:val="num" w:pos="2835"/>
      </w:tabs>
      <w:spacing w:before="0" w:after="240" w:line="240" w:lineRule="auto"/>
      <w:ind w:left="2835" w:hanging="709"/>
      <w:contextualSpacing w:val="0"/>
    </w:pPr>
    <w:rPr>
      <w:lang w:val="en-GB"/>
    </w:rPr>
  </w:style>
  <w:style w:type="paragraph" w:customStyle="1" w:styleId="ParaChar">
    <w:name w:val="Para Char"/>
    <w:basedOn w:val="Normal"/>
    <w:link w:val="ParaCharChar"/>
    <w:rsid w:val="00C811D2"/>
    <w:pPr>
      <w:numPr>
        <w:numId w:val="27"/>
      </w:numPr>
      <w:tabs>
        <w:tab w:val="left" w:pos="2520"/>
        <w:tab w:val="left" w:pos="2880"/>
      </w:tabs>
      <w:spacing w:before="180" w:after="180" w:line="240" w:lineRule="auto"/>
      <w:contextualSpacing w:val="0"/>
    </w:pPr>
    <w:rPr>
      <w:lang w:val="en-CA"/>
    </w:rPr>
  </w:style>
  <w:style w:type="character" w:customStyle="1" w:styleId="ParaCharChar">
    <w:name w:val="Para Char Char"/>
    <w:link w:val="ParaChar"/>
    <w:rsid w:val="00C811D2"/>
    <w:rPr>
      <w:rFonts w:ascii="Times New Roman" w:eastAsia="Times New Roman" w:hAnsi="Times New Roman" w:cs="Times New Roman"/>
      <w:sz w:val="24"/>
      <w:szCs w:val="20"/>
      <w:lang w:val="en-CA"/>
    </w:rPr>
  </w:style>
  <w:style w:type="paragraph" w:customStyle="1" w:styleId="Heading1nonumbers">
    <w:name w:val="Heading 1 no numbers"/>
    <w:basedOn w:val="Titre1"/>
    <w:rsid w:val="00C811D2"/>
    <w:pPr>
      <w:keepNext/>
      <w:spacing w:before="360" w:after="360" w:line="240" w:lineRule="auto"/>
      <w:contextualSpacing w:val="0"/>
      <w:jc w:val="left"/>
    </w:pPr>
    <w:rPr>
      <w:smallCaps/>
      <w:kern w:val="28"/>
      <w:sz w:val="28"/>
      <w:lang w:val="en-CA"/>
    </w:rPr>
  </w:style>
  <w:style w:type="numbering" w:customStyle="1" w:styleId="NoList1">
    <w:name w:val="No List1"/>
    <w:next w:val="Aucuneliste"/>
    <w:semiHidden/>
    <w:unhideWhenUsed/>
    <w:rsid w:val="00C811D2"/>
  </w:style>
  <w:style w:type="character" w:styleId="Appeldenotedefin">
    <w:name w:val="endnote reference"/>
    <w:uiPriority w:val="99"/>
    <w:rsid w:val="00C811D2"/>
    <w:rPr>
      <w:vertAlign w:val="superscript"/>
    </w:rPr>
  </w:style>
  <w:style w:type="paragraph" w:customStyle="1" w:styleId="Testo">
    <w:name w:val="Testo"/>
    <w:basedOn w:val="Normal"/>
    <w:rsid w:val="00C811D2"/>
    <w:pPr>
      <w:widowControl w:val="0"/>
      <w:spacing w:before="0" w:line="360" w:lineRule="auto"/>
      <w:contextualSpacing w:val="0"/>
    </w:pPr>
    <w:rPr>
      <w:rFonts w:ascii="Arial" w:hAnsi="Arial"/>
      <w:sz w:val="20"/>
      <w:lang w:val="en-GB" w:eastAsia="en-GB"/>
    </w:rPr>
  </w:style>
  <w:style w:type="paragraph" w:customStyle="1" w:styleId="normaltableau">
    <w:name w:val="normal_tableau"/>
    <w:basedOn w:val="Normal"/>
    <w:rsid w:val="00C811D2"/>
    <w:pPr>
      <w:spacing w:line="240" w:lineRule="auto"/>
      <w:contextualSpacing w:val="0"/>
    </w:pPr>
    <w:rPr>
      <w:rFonts w:ascii="Optima" w:hAnsi="Optima"/>
      <w:sz w:val="22"/>
      <w:lang w:val="en-GB" w:eastAsia="en-GB"/>
    </w:rPr>
  </w:style>
  <w:style w:type="paragraph" w:customStyle="1" w:styleId="ListBullet10">
    <w:name w:val="List Bullet1"/>
    <w:basedOn w:val="Normal"/>
    <w:link w:val="ListBulletChar"/>
    <w:autoRedefine/>
    <w:rsid w:val="00C811D2"/>
    <w:pPr>
      <w:spacing w:line="280" w:lineRule="exact"/>
      <w:contextualSpacing w:val="0"/>
    </w:pPr>
    <w:rPr>
      <w:snapToGrid w:val="0"/>
      <w:color w:val="000000"/>
      <w:spacing w:val="-5"/>
      <w:lang w:val="en-NZ"/>
    </w:rPr>
  </w:style>
  <w:style w:type="character" w:customStyle="1" w:styleId="ListBulletChar">
    <w:name w:val="List Bullet Char"/>
    <w:aliases w:val=" Char Char2,Char Char2"/>
    <w:basedOn w:val="Policepardfaut"/>
    <w:link w:val="ListBullet10"/>
    <w:rsid w:val="00C811D2"/>
    <w:rPr>
      <w:rFonts w:ascii="Times New Roman" w:eastAsia="Times New Roman" w:hAnsi="Times New Roman" w:cs="Times New Roman"/>
      <w:snapToGrid w:val="0"/>
      <w:color w:val="000000"/>
      <w:spacing w:val="-5"/>
      <w:sz w:val="24"/>
      <w:szCs w:val="20"/>
      <w:lang w:val="en-NZ"/>
    </w:rPr>
  </w:style>
  <w:style w:type="paragraph" w:customStyle="1" w:styleId="StyleJustifiedRight-0">
    <w:name w:val="Style Justified Right:  -0&quot;"/>
    <w:basedOn w:val="Normal"/>
    <w:rsid w:val="00C811D2"/>
    <w:pPr>
      <w:spacing w:line="240" w:lineRule="auto"/>
      <w:contextualSpacing w:val="0"/>
    </w:pPr>
    <w:rPr>
      <w:lang w:eastAsia="zh-TW"/>
    </w:rPr>
  </w:style>
  <w:style w:type="paragraph" w:customStyle="1" w:styleId="StyleJustified">
    <w:name w:val="Style Justified"/>
    <w:basedOn w:val="Normal"/>
    <w:rsid w:val="00C811D2"/>
    <w:pPr>
      <w:spacing w:line="240" w:lineRule="auto"/>
      <w:contextualSpacing w:val="0"/>
    </w:pPr>
    <w:rPr>
      <w:lang w:eastAsia="zh-TW"/>
    </w:rPr>
  </w:style>
  <w:style w:type="table" w:styleId="Listemoyenne2-Accent1">
    <w:name w:val="Medium List 2 Accent 1"/>
    <w:basedOn w:val="TableauNormal"/>
    <w:uiPriority w:val="66"/>
    <w:rsid w:val="00C811D2"/>
    <w:pPr>
      <w:spacing w:after="0" w:line="240" w:lineRule="auto"/>
    </w:pPr>
    <w:rPr>
      <w:rFonts w:ascii="Cambria" w:eastAsia="Times New Roman" w:hAnsi="Cambria" w:cs="Kartika"/>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List-Accent11">
    <w:name w:val="Light List - Accent 11"/>
    <w:basedOn w:val="TableauNormal"/>
    <w:uiPriority w:val="61"/>
    <w:rsid w:val="00C811D2"/>
    <w:pPr>
      <w:spacing w:after="0" w:line="240" w:lineRule="auto"/>
    </w:pPr>
    <w:rPr>
      <w:rFonts w:ascii="Calibri" w:eastAsia="Times New Roman"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hmedutableau">
    <w:name w:val="Table Theme"/>
    <w:basedOn w:val="TableauNormal"/>
    <w:unhideWhenUsed/>
    <w:rsid w:val="00C811D2"/>
    <w:pPr>
      <w:spacing w:line="240" w:lineRule="auto"/>
      <w:jc w:val="both"/>
    </w:pPr>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evel2">
    <w:name w:val="bullet level2"/>
    <w:basedOn w:val="ListBullet10"/>
    <w:link w:val="bulletlevel2Char"/>
    <w:qFormat/>
    <w:rsid w:val="00C811D2"/>
    <w:pPr>
      <w:numPr>
        <w:numId w:val="29"/>
      </w:numPr>
    </w:pPr>
  </w:style>
  <w:style w:type="character" w:customStyle="1" w:styleId="bulletlevel2Char">
    <w:name w:val="bullet level2 Char"/>
    <w:basedOn w:val="ListBulletChar"/>
    <w:link w:val="bulletlevel2"/>
    <w:rsid w:val="00C811D2"/>
    <w:rPr>
      <w:rFonts w:ascii="Times New Roman" w:eastAsia="Times New Roman" w:hAnsi="Times New Roman" w:cs="Times New Roman"/>
      <w:snapToGrid w:val="0"/>
      <w:color w:val="000000"/>
      <w:spacing w:val="-5"/>
      <w:sz w:val="24"/>
      <w:szCs w:val="20"/>
      <w:lang w:val="en-NZ"/>
    </w:rPr>
  </w:style>
  <w:style w:type="paragraph" w:customStyle="1" w:styleId="head4">
    <w:name w:val="head4"/>
    <w:basedOn w:val="ListBullet10"/>
    <w:link w:val="head4Char"/>
    <w:qFormat/>
    <w:rsid w:val="00C811D2"/>
    <w:pPr>
      <w:numPr>
        <w:numId w:val="30"/>
      </w:numPr>
    </w:pPr>
    <w:rPr>
      <w:b/>
    </w:rPr>
  </w:style>
  <w:style w:type="character" w:customStyle="1" w:styleId="head4Char">
    <w:name w:val="head4 Char"/>
    <w:basedOn w:val="ListBulletChar"/>
    <w:link w:val="head4"/>
    <w:rsid w:val="00C811D2"/>
    <w:rPr>
      <w:rFonts w:ascii="Times New Roman" w:eastAsia="Times New Roman" w:hAnsi="Times New Roman" w:cs="Times New Roman"/>
      <w:b/>
      <w:snapToGrid w:val="0"/>
      <w:color w:val="000000"/>
      <w:spacing w:val="-5"/>
      <w:sz w:val="24"/>
      <w:szCs w:val="20"/>
      <w:lang w:val="en-NZ"/>
    </w:rPr>
  </w:style>
  <w:style w:type="character" w:styleId="Accentuationintense">
    <w:name w:val="Intense Emphasis"/>
    <w:basedOn w:val="Policepardfaut"/>
    <w:uiPriority w:val="21"/>
    <w:qFormat/>
    <w:rsid w:val="00C811D2"/>
    <w:rPr>
      <w:b/>
      <w:bCs/>
      <w:i/>
      <w:iCs/>
      <w:color w:val="4F81BD"/>
    </w:rPr>
  </w:style>
  <w:style w:type="table" w:styleId="Tramemoyenne2-Accent5">
    <w:name w:val="Medium Shading 2 Accent 5"/>
    <w:basedOn w:val="TableauNormal"/>
    <w:uiPriority w:val="64"/>
    <w:rsid w:val="00C811D2"/>
    <w:pPr>
      <w:spacing w:after="0" w:line="240" w:lineRule="auto"/>
    </w:pPr>
    <w:rPr>
      <w:rFonts w:ascii="Calibri" w:eastAsia="Calibri" w:hAnsi="Calibri"/>
      <w:sz w:val="24"/>
      <w:szCs w:val="24"/>
      <w:lang w:val="en-GB" w:eastAsia="en-GB" w:bidi="te-I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body2">
    <w:name w:val="body2"/>
    <w:basedOn w:val="Normal"/>
    <w:rsid w:val="00C811D2"/>
    <w:pPr>
      <w:spacing w:line="240" w:lineRule="auto"/>
      <w:contextualSpacing w:val="0"/>
    </w:pPr>
    <w:rPr>
      <w:rFonts w:ascii="Arial" w:hAnsi="Arial"/>
      <w:lang w:val="en-US"/>
    </w:rPr>
  </w:style>
  <w:style w:type="paragraph" w:customStyle="1" w:styleId="Tablein">
    <w:name w:val="Table in"/>
    <w:basedOn w:val="Normal"/>
    <w:qFormat/>
    <w:rsid w:val="00C811D2"/>
    <w:pPr>
      <w:spacing w:after="0" w:line="240" w:lineRule="auto"/>
      <w:contextualSpacing w:val="0"/>
      <w:jc w:val="left"/>
    </w:pPr>
    <w:rPr>
      <w:rFonts w:ascii="Arial" w:eastAsia="Calibri" w:hAnsi="Arial" w:cs="Arial"/>
      <w:b/>
      <w:sz w:val="16"/>
      <w:szCs w:val="16"/>
      <w:lang w:val="en-GB"/>
    </w:rPr>
  </w:style>
  <w:style w:type="character" w:customStyle="1" w:styleId="ListepucesCar">
    <w:name w:val="Liste à puces Car"/>
    <w:basedOn w:val="Policepardfaut"/>
    <w:link w:val="Listepuces"/>
    <w:rsid w:val="00C811D2"/>
    <w:rPr>
      <w:rFonts w:ascii="Arial" w:eastAsia="Times New Roman" w:hAnsi="Arial" w:cs="Times New Roman Mäori"/>
      <w:szCs w:val="24"/>
      <w:lang w:val="en-AU"/>
    </w:rPr>
  </w:style>
  <w:style w:type="table" w:customStyle="1" w:styleId="MediumShading2-Accent11">
    <w:name w:val="Medium Shading 2 - Accent 11"/>
    <w:basedOn w:val="TableauNormal"/>
    <w:uiPriority w:val="64"/>
    <w:rsid w:val="00C811D2"/>
    <w:pPr>
      <w:spacing w:after="0" w:line="240" w:lineRule="auto"/>
    </w:pPr>
    <w:rPr>
      <w:rFonts w:ascii="Calibri" w:eastAsia="Calibri" w:hAnsi="Calibri"/>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1">
    <w:name w:val="Medium Shading 1 - Accent 11"/>
    <w:basedOn w:val="TableauNormal"/>
    <w:uiPriority w:val="63"/>
    <w:rsid w:val="00C811D2"/>
    <w:pPr>
      <w:spacing w:after="0" w:line="240" w:lineRule="auto"/>
    </w:pPr>
    <w:rPr>
      <w:rFonts w:ascii="Calibri" w:eastAsia="Calibri" w:hAnsi="Calibri"/>
      <w:sz w:val="24"/>
      <w:szCs w:val="24"/>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Grillemoyenne1-Accent1">
    <w:name w:val="Medium Grid 1 Accent 1"/>
    <w:basedOn w:val="TableauNormal"/>
    <w:uiPriority w:val="67"/>
    <w:rsid w:val="00C811D2"/>
    <w:pPr>
      <w:spacing w:after="0" w:line="240" w:lineRule="auto"/>
    </w:pPr>
    <w:rPr>
      <w:rFonts w:ascii="Calibri" w:eastAsia="Calibri" w:hAnsi="Calibri"/>
      <w:sz w:val="24"/>
      <w:szCs w:val="24"/>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
    <w:name w:val="Light Grid - Accent 11"/>
    <w:basedOn w:val="TableauNormal"/>
    <w:uiPriority w:val="62"/>
    <w:rsid w:val="00C811D2"/>
    <w:pPr>
      <w:spacing w:after="0" w:line="240" w:lineRule="auto"/>
    </w:pPr>
    <w:rPr>
      <w:rFonts w:ascii="Calibri" w:eastAsia="Calibri" w:hAnsi="Calibri"/>
      <w:sz w:val="24"/>
      <w:szCs w:val="24"/>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Math" w:eastAsia="Times New Roman" w:hAnsi="Cambria Math"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2">
    <w:name w:val="Light List - Accent 12"/>
    <w:basedOn w:val="TableauNormal"/>
    <w:uiPriority w:val="61"/>
    <w:rsid w:val="00C811D2"/>
    <w:pPr>
      <w:spacing w:after="0" w:line="240" w:lineRule="auto"/>
    </w:pPr>
    <w:rPr>
      <w:rFonts w:ascii="Calibri" w:eastAsia="Calibri" w:hAnsi="Calibri"/>
      <w:sz w:val="24"/>
      <w:szCs w:val="24"/>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
    <w:name w:val="Light List - Accent 13"/>
    <w:basedOn w:val="TableauNormal"/>
    <w:uiPriority w:val="61"/>
    <w:rsid w:val="00C811D2"/>
    <w:pPr>
      <w:spacing w:after="0" w:line="240" w:lineRule="auto"/>
    </w:pPr>
    <w:rPr>
      <w:rFonts w:ascii="Calibri" w:eastAsia="Calibri" w:hAnsi="Calibri"/>
      <w:sz w:val="24"/>
      <w:szCs w:val="24"/>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ablecontents">
    <w:name w:val="Table contents"/>
    <w:basedOn w:val="Normal"/>
    <w:rsid w:val="00C811D2"/>
    <w:pPr>
      <w:spacing w:before="0" w:after="0" w:line="240" w:lineRule="auto"/>
      <w:contextualSpacing w:val="0"/>
      <w:jc w:val="left"/>
    </w:pPr>
    <w:rPr>
      <w:rFonts w:ascii="Arial" w:hAnsi="Arial"/>
      <w:sz w:val="20"/>
      <w:lang w:val="en-GB"/>
    </w:rPr>
  </w:style>
  <w:style w:type="numbering" w:customStyle="1" w:styleId="StyleBulletedSymbolsymbol10ptLeft025Hanging02">
    <w:name w:val="Style Bulleted Symbol (symbol) 10 pt Left:  0.25&quot; Hanging:  0.2..."/>
    <w:basedOn w:val="Aucuneliste"/>
    <w:rsid w:val="00C811D2"/>
  </w:style>
  <w:style w:type="paragraph" w:customStyle="1" w:styleId="StyleTablecontentsBold">
    <w:name w:val="Style Table contents + Bold"/>
    <w:basedOn w:val="Tablecontents"/>
    <w:rsid w:val="00C811D2"/>
    <w:rPr>
      <w:b/>
      <w:bCs/>
    </w:rPr>
  </w:style>
  <w:style w:type="character" w:customStyle="1" w:styleId="bodytext">
    <w:name w:val="bodytext"/>
    <w:basedOn w:val="Policepardfaut"/>
    <w:rsid w:val="00C811D2"/>
  </w:style>
  <w:style w:type="character" w:customStyle="1" w:styleId="FootnoteTextChar1">
    <w:name w:val="Footnote Text Char1"/>
    <w:basedOn w:val="Policepardfaut"/>
    <w:uiPriority w:val="99"/>
    <w:rsid w:val="00C811D2"/>
    <w:rPr>
      <w:lang w:val="en-GB"/>
    </w:rPr>
  </w:style>
  <w:style w:type="character" w:customStyle="1" w:styleId="CommentTextChar1">
    <w:name w:val="Comment Text Char1"/>
    <w:basedOn w:val="Policepardfaut"/>
    <w:uiPriority w:val="99"/>
    <w:semiHidden/>
    <w:rsid w:val="00C811D2"/>
    <w:rPr>
      <w:lang w:val="en-GB"/>
    </w:rPr>
  </w:style>
  <w:style w:type="character" w:customStyle="1" w:styleId="CommentSubjectChar1">
    <w:name w:val="Comment Subject Char1"/>
    <w:basedOn w:val="CommentTextChar1"/>
    <w:uiPriority w:val="99"/>
    <w:semiHidden/>
    <w:rsid w:val="00C811D2"/>
    <w:rPr>
      <w:b/>
      <w:bCs/>
      <w:sz w:val="20"/>
      <w:szCs w:val="20"/>
      <w:lang w:val="en-GB"/>
    </w:rPr>
  </w:style>
  <w:style w:type="character" w:customStyle="1" w:styleId="ColorfulList-Accent1Char">
    <w:name w:val="Colorful List - Accent 1 Char"/>
    <w:link w:val="Listecouleur-Accent1"/>
    <w:uiPriority w:val="99"/>
    <w:rsid w:val="00C811D2"/>
    <w:rPr>
      <w:rFonts w:ascii="Times New Roman" w:hAnsi="Times New Roman"/>
      <w:sz w:val="24"/>
      <w:szCs w:val="22"/>
      <w:lang w:val="en-GB"/>
    </w:rPr>
  </w:style>
  <w:style w:type="table" w:styleId="Listecouleur-Accent1">
    <w:name w:val="Colorful List Accent 1"/>
    <w:basedOn w:val="TableauNormal"/>
    <w:link w:val="ColorfulList-Accent1Char"/>
    <w:uiPriority w:val="99"/>
    <w:rsid w:val="00C811D2"/>
    <w:pPr>
      <w:spacing w:after="0" w:line="240" w:lineRule="auto"/>
    </w:pPr>
    <w:rPr>
      <w:rFonts w:ascii="Times New Roman" w:hAnsi="Times New Roman"/>
      <w:sz w:val="24"/>
      <w:lang w:val="en-GB"/>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laire-Accent2">
    <w:name w:val="Light List Accent 2"/>
    <w:basedOn w:val="TableauNormal"/>
    <w:uiPriority w:val="99"/>
    <w:rsid w:val="00C811D2"/>
    <w:pPr>
      <w:spacing w:after="0" w:line="240" w:lineRule="auto"/>
    </w:pPr>
    <w:rPr>
      <w:rFonts w:ascii="Cambria" w:eastAsia="Times New Roman" w:hAnsi="Cambria" w:cs="Kartika"/>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Grillecouleur-Accent5">
    <w:name w:val="Colorful Grid Accent 5"/>
    <w:basedOn w:val="TableauNormal"/>
    <w:uiPriority w:val="99"/>
    <w:rsid w:val="00C811D2"/>
    <w:pPr>
      <w:spacing w:after="0" w:line="240" w:lineRule="auto"/>
    </w:pPr>
    <w:rPr>
      <w:rFonts w:ascii="Calibri" w:eastAsia="Calibri" w:hAnsi="Calibri"/>
      <w:sz w:val="24"/>
      <w:szCs w:val="24"/>
      <w:lang w:val="en-GB" w:eastAsia="en-GB" w:bidi="te-I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Grilleclaire-Accent2">
    <w:name w:val="Light Grid Accent 2"/>
    <w:basedOn w:val="TableauNormal"/>
    <w:uiPriority w:val="99"/>
    <w:rsid w:val="00C811D2"/>
    <w:pPr>
      <w:spacing w:after="0" w:line="240" w:lineRule="auto"/>
    </w:pPr>
    <w:rPr>
      <w:rFonts w:ascii="Calibri" w:eastAsia="Calibri" w:hAnsi="Calibri"/>
      <w:sz w:val="24"/>
      <w:szCs w:val="24"/>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MediumGrid2Char">
    <w:name w:val="Medium Grid 2 Char"/>
    <w:link w:val="Grillemoyenne2"/>
    <w:uiPriority w:val="99"/>
    <w:rsid w:val="00C811D2"/>
    <w:rPr>
      <w:sz w:val="22"/>
      <w:szCs w:val="22"/>
      <w:lang w:val="en-US" w:eastAsia="en-US" w:bidi="ar-SA"/>
    </w:rPr>
  </w:style>
  <w:style w:type="table" w:styleId="Grillemoyenne2">
    <w:name w:val="Medium Grid 2"/>
    <w:basedOn w:val="TableauNormal"/>
    <w:link w:val="MediumGrid2Char"/>
    <w:uiPriority w:val="99"/>
    <w:rsid w:val="00C811D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claire-Accent5">
    <w:name w:val="Light Grid Accent 5"/>
    <w:basedOn w:val="TableauNormal"/>
    <w:uiPriority w:val="62"/>
    <w:rsid w:val="00C811D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WW8Num3z0">
    <w:name w:val="WW8Num3z0"/>
    <w:rsid w:val="00C811D2"/>
    <w:rPr>
      <w:rFonts w:ascii="Times New Roman" w:hAnsi="Times New Roman"/>
    </w:rPr>
  </w:style>
  <w:style w:type="character" w:customStyle="1" w:styleId="WW8Num4z0">
    <w:name w:val="WW8Num4z0"/>
    <w:rsid w:val="00C811D2"/>
    <w:rPr>
      <w:rFonts w:ascii="Times New Roman" w:hAnsi="Times New Roman"/>
    </w:rPr>
  </w:style>
  <w:style w:type="character" w:customStyle="1" w:styleId="WW8Num5z0">
    <w:name w:val="WW8Num5z0"/>
    <w:rsid w:val="00C811D2"/>
    <w:rPr>
      <w:rFonts w:ascii="Times New Roman" w:hAnsi="Times New Roman"/>
    </w:rPr>
  </w:style>
  <w:style w:type="character" w:customStyle="1" w:styleId="WW8Num6z0">
    <w:name w:val="WW8Num6z0"/>
    <w:rsid w:val="00C811D2"/>
    <w:rPr>
      <w:rFonts w:ascii="Times New Roman" w:hAnsi="Times New Roman"/>
    </w:rPr>
  </w:style>
  <w:style w:type="character" w:customStyle="1" w:styleId="WW8Num9z0">
    <w:name w:val="WW8Num9z0"/>
    <w:rsid w:val="00C811D2"/>
    <w:rPr>
      <w:rFonts w:ascii="Courier New" w:hAnsi="Courier New" w:cs="Courier New"/>
    </w:rPr>
  </w:style>
  <w:style w:type="character" w:customStyle="1" w:styleId="WW8Num9z2">
    <w:name w:val="WW8Num9z2"/>
    <w:rsid w:val="00C811D2"/>
    <w:rPr>
      <w:rFonts w:ascii="Wingdings" w:hAnsi="Wingdings"/>
    </w:rPr>
  </w:style>
  <w:style w:type="character" w:customStyle="1" w:styleId="WW8Num9z3">
    <w:name w:val="WW8Num9z3"/>
    <w:rsid w:val="00C811D2"/>
    <w:rPr>
      <w:rFonts w:ascii="Symbol" w:hAnsi="Symbol"/>
    </w:rPr>
  </w:style>
  <w:style w:type="character" w:customStyle="1" w:styleId="WW8Num14z0">
    <w:name w:val="WW8Num14z0"/>
    <w:rsid w:val="00C811D2"/>
    <w:rPr>
      <w:rFonts w:ascii="Times New Roman" w:hAnsi="Times New Roman"/>
    </w:rPr>
  </w:style>
  <w:style w:type="character" w:customStyle="1" w:styleId="FootnoteCharacters">
    <w:name w:val="Footnote Characters"/>
    <w:rsid w:val="00C811D2"/>
    <w:rPr>
      <w:vertAlign w:val="superscript"/>
    </w:rPr>
  </w:style>
  <w:style w:type="character" w:customStyle="1" w:styleId="EndnoteCharacters">
    <w:name w:val="Endnote Characters"/>
    <w:rsid w:val="00C811D2"/>
  </w:style>
  <w:style w:type="paragraph" w:customStyle="1" w:styleId="Heading">
    <w:name w:val="Heading"/>
    <w:basedOn w:val="Normal"/>
    <w:next w:val="Corpsdetexte"/>
    <w:rsid w:val="00C811D2"/>
    <w:pPr>
      <w:keepNext/>
      <w:suppressAutoHyphens/>
      <w:spacing w:before="240"/>
      <w:contextualSpacing w:val="0"/>
      <w:jc w:val="left"/>
    </w:pPr>
    <w:rPr>
      <w:rFonts w:ascii="Arial" w:eastAsia="SimSun" w:hAnsi="Arial" w:cs="Lucida Sans"/>
      <w:sz w:val="28"/>
      <w:szCs w:val="28"/>
      <w:lang w:val="en-US" w:eastAsia="ar-SA"/>
    </w:rPr>
  </w:style>
  <w:style w:type="paragraph" w:styleId="Liste">
    <w:name w:val="List"/>
    <w:basedOn w:val="Corpsdetexte"/>
    <w:uiPriority w:val="99"/>
    <w:rsid w:val="00C811D2"/>
    <w:pPr>
      <w:suppressAutoHyphens/>
      <w:spacing w:before="0"/>
      <w:contextualSpacing w:val="0"/>
      <w:jc w:val="left"/>
    </w:pPr>
    <w:rPr>
      <w:rFonts w:ascii="Calibri" w:eastAsia="Calibri" w:hAnsi="Calibri" w:cs="Lucida Sans"/>
      <w:sz w:val="22"/>
      <w:szCs w:val="22"/>
      <w:lang w:val="en-US" w:eastAsia="ar-SA"/>
    </w:rPr>
  </w:style>
  <w:style w:type="paragraph" w:customStyle="1" w:styleId="Index">
    <w:name w:val="Index"/>
    <w:basedOn w:val="Normal"/>
    <w:rsid w:val="00C811D2"/>
    <w:pPr>
      <w:suppressLineNumbers/>
      <w:suppressAutoHyphens/>
      <w:spacing w:before="0" w:after="200"/>
      <w:contextualSpacing w:val="0"/>
      <w:jc w:val="left"/>
    </w:pPr>
    <w:rPr>
      <w:rFonts w:ascii="Calibri" w:eastAsia="Calibri" w:hAnsi="Calibri" w:cs="Lucida Sans"/>
      <w:sz w:val="22"/>
      <w:szCs w:val="22"/>
      <w:lang w:val="en-US" w:eastAsia="ar-SA"/>
    </w:rPr>
  </w:style>
  <w:style w:type="character" w:customStyle="1" w:styleId="HeaderChar1">
    <w:name w:val="Header Char1"/>
    <w:basedOn w:val="Policepardfaut"/>
    <w:rsid w:val="00C811D2"/>
    <w:rPr>
      <w:rFonts w:ascii="Calibri" w:eastAsia="Calibri" w:hAnsi="Calibri" w:cs="Calibri"/>
      <w:sz w:val="22"/>
      <w:szCs w:val="22"/>
      <w:lang w:val="en-US" w:eastAsia="ar-SA"/>
    </w:rPr>
  </w:style>
  <w:style w:type="character" w:customStyle="1" w:styleId="FooterChar1">
    <w:name w:val="Footer Char1"/>
    <w:basedOn w:val="Policepardfaut"/>
    <w:rsid w:val="00C811D2"/>
    <w:rPr>
      <w:rFonts w:ascii="Calibri" w:eastAsia="Calibri" w:hAnsi="Calibri" w:cs="Calibri"/>
      <w:sz w:val="22"/>
      <w:szCs w:val="22"/>
      <w:lang w:val="en-US" w:eastAsia="ar-SA"/>
    </w:rPr>
  </w:style>
  <w:style w:type="paragraph" w:customStyle="1" w:styleId="TableContents0">
    <w:name w:val="Table Contents"/>
    <w:basedOn w:val="Normal"/>
    <w:rsid w:val="00C811D2"/>
    <w:pPr>
      <w:suppressLineNumbers/>
      <w:suppressAutoHyphens/>
      <w:spacing w:before="0" w:after="200"/>
      <w:contextualSpacing w:val="0"/>
      <w:jc w:val="left"/>
    </w:pPr>
    <w:rPr>
      <w:rFonts w:ascii="Calibri" w:eastAsia="Calibri" w:hAnsi="Calibri" w:cs="Calibri"/>
      <w:sz w:val="22"/>
      <w:szCs w:val="22"/>
      <w:lang w:val="en-US" w:eastAsia="ar-SA"/>
    </w:rPr>
  </w:style>
  <w:style w:type="paragraph" w:customStyle="1" w:styleId="TableHeading0">
    <w:name w:val="Table Heading"/>
    <w:basedOn w:val="TableContents0"/>
    <w:rsid w:val="00C811D2"/>
    <w:pPr>
      <w:jc w:val="center"/>
    </w:pPr>
    <w:rPr>
      <w:b/>
      <w:bCs/>
    </w:rPr>
  </w:style>
  <w:style w:type="paragraph" w:customStyle="1" w:styleId="xl65">
    <w:name w:val="xl65"/>
    <w:basedOn w:val="Normal"/>
    <w:rsid w:val="00C811D2"/>
    <w:pPr>
      <w:pBdr>
        <w:top w:val="single" w:sz="4" w:space="0" w:color="auto"/>
        <w:left w:val="single" w:sz="4" w:space="0" w:color="auto"/>
        <w:bottom w:val="single" w:sz="4" w:space="0" w:color="auto"/>
        <w:right w:val="single" w:sz="4" w:space="0" w:color="auto"/>
      </w:pBdr>
      <w:spacing w:beforeLines="1" w:afterLines="1" w:line="240" w:lineRule="auto"/>
      <w:contextualSpacing w:val="0"/>
      <w:jc w:val="left"/>
    </w:pPr>
    <w:rPr>
      <w:rFonts w:ascii="Times" w:eastAsiaTheme="minorHAnsi" w:hAnsi="Times" w:cstheme="minorBidi"/>
      <w:sz w:val="20"/>
    </w:rPr>
  </w:style>
  <w:style w:type="paragraph" w:customStyle="1" w:styleId="xl66">
    <w:name w:val="xl66"/>
    <w:basedOn w:val="Normal"/>
    <w:rsid w:val="00C811D2"/>
    <w:pPr>
      <w:pBdr>
        <w:top w:val="single" w:sz="4" w:space="0" w:color="auto"/>
        <w:left w:val="single" w:sz="4" w:space="0" w:color="auto"/>
        <w:bottom w:val="single" w:sz="4" w:space="0" w:color="auto"/>
        <w:right w:val="single" w:sz="4" w:space="0" w:color="auto"/>
      </w:pBdr>
      <w:shd w:val="clear" w:color="auto" w:fill="000000"/>
      <w:spacing w:beforeLines="1" w:afterLines="1" w:line="240" w:lineRule="auto"/>
      <w:contextualSpacing w:val="0"/>
      <w:jc w:val="left"/>
    </w:pPr>
    <w:rPr>
      <w:rFonts w:ascii="Times" w:eastAsiaTheme="minorHAnsi" w:hAnsi="Times" w:cstheme="minorBidi"/>
      <w:sz w:val="20"/>
    </w:rPr>
  </w:style>
  <w:style w:type="paragraph" w:customStyle="1" w:styleId="xl67">
    <w:name w:val="xl67"/>
    <w:basedOn w:val="Normal"/>
    <w:rsid w:val="00C811D2"/>
    <w:pPr>
      <w:pBdr>
        <w:top w:val="single" w:sz="4" w:space="0" w:color="auto"/>
        <w:left w:val="single" w:sz="4" w:space="0" w:color="auto"/>
        <w:bottom w:val="single" w:sz="4" w:space="0" w:color="auto"/>
        <w:right w:val="single" w:sz="4" w:space="0" w:color="auto"/>
      </w:pBdr>
      <w:spacing w:beforeLines="1" w:afterLines="1" w:line="240" w:lineRule="auto"/>
      <w:contextualSpacing w:val="0"/>
      <w:jc w:val="center"/>
    </w:pPr>
    <w:rPr>
      <w:rFonts w:ascii="Times" w:eastAsiaTheme="minorHAnsi" w:hAnsi="Times" w:cstheme="minorBidi"/>
      <w:sz w:val="20"/>
    </w:rPr>
  </w:style>
  <w:style w:type="paragraph" w:customStyle="1" w:styleId="xl68">
    <w:name w:val="xl68"/>
    <w:basedOn w:val="Normal"/>
    <w:rsid w:val="00C811D2"/>
    <w:pPr>
      <w:pBdr>
        <w:top w:val="single" w:sz="4" w:space="0" w:color="auto"/>
        <w:left w:val="single" w:sz="4" w:space="0" w:color="auto"/>
        <w:bottom w:val="single" w:sz="4" w:space="0" w:color="auto"/>
        <w:right w:val="single" w:sz="4" w:space="0" w:color="auto"/>
      </w:pBdr>
      <w:shd w:val="clear" w:color="auto" w:fill="000000"/>
      <w:spacing w:beforeLines="1" w:afterLines="1" w:line="240" w:lineRule="auto"/>
      <w:contextualSpacing w:val="0"/>
      <w:jc w:val="center"/>
    </w:pPr>
    <w:rPr>
      <w:rFonts w:ascii="Times" w:eastAsiaTheme="minorHAnsi" w:hAnsi="Times" w:cstheme="minorBidi"/>
      <w:sz w:val="20"/>
    </w:rPr>
  </w:style>
  <w:style w:type="paragraph" w:customStyle="1" w:styleId="xl69">
    <w:name w:val="xl69"/>
    <w:basedOn w:val="Normal"/>
    <w:rsid w:val="00C811D2"/>
    <w:pPr>
      <w:pBdr>
        <w:top w:val="single" w:sz="4" w:space="0" w:color="auto"/>
        <w:left w:val="single" w:sz="4" w:space="0" w:color="auto"/>
        <w:bottom w:val="single" w:sz="4" w:space="0" w:color="auto"/>
        <w:right w:val="single" w:sz="4" w:space="0" w:color="auto"/>
      </w:pBdr>
      <w:spacing w:beforeLines="1" w:afterLines="1" w:line="240" w:lineRule="auto"/>
      <w:contextualSpacing w:val="0"/>
      <w:jc w:val="left"/>
    </w:pPr>
    <w:rPr>
      <w:rFonts w:ascii="Times" w:eastAsiaTheme="minorHAnsi" w:hAnsi="Times" w:cstheme="minorBidi"/>
      <w:sz w:val="20"/>
    </w:rPr>
  </w:style>
  <w:style w:type="paragraph" w:customStyle="1" w:styleId="xl70">
    <w:name w:val="xl70"/>
    <w:basedOn w:val="Normal"/>
    <w:rsid w:val="00C811D2"/>
    <w:pPr>
      <w:pBdr>
        <w:top w:val="single" w:sz="4" w:space="0" w:color="auto"/>
        <w:left w:val="single" w:sz="4" w:space="0" w:color="auto"/>
        <w:bottom w:val="single" w:sz="4" w:space="0" w:color="auto"/>
        <w:right w:val="single" w:sz="4" w:space="0" w:color="auto"/>
      </w:pBdr>
      <w:shd w:val="clear" w:color="auto" w:fill="000000"/>
      <w:spacing w:beforeLines="1" w:afterLines="1" w:line="240" w:lineRule="auto"/>
      <w:contextualSpacing w:val="0"/>
      <w:jc w:val="left"/>
    </w:pPr>
    <w:rPr>
      <w:rFonts w:ascii="Times" w:eastAsiaTheme="minorHAnsi" w:hAnsi="Times" w:cstheme="minorBidi"/>
      <w:sz w:val="20"/>
    </w:rPr>
  </w:style>
  <w:style w:type="paragraph" w:customStyle="1" w:styleId="xl71">
    <w:name w:val="xl71"/>
    <w:basedOn w:val="Normal"/>
    <w:rsid w:val="00C811D2"/>
    <w:pPr>
      <w:pBdr>
        <w:top w:val="single" w:sz="4" w:space="0" w:color="auto"/>
        <w:left w:val="single" w:sz="4" w:space="0" w:color="auto"/>
        <w:bottom w:val="single" w:sz="4" w:space="0" w:color="auto"/>
        <w:right w:val="single" w:sz="4" w:space="0" w:color="auto"/>
      </w:pBdr>
      <w:shd w:val="clear" w:color="auto" w:fill="C0C0C0"/>
      <w:spacing w:beforeLines="1" w:afterLines="1" w:line="240" w:lineRule="auto"/>
      <w:contextualSpacing w:val="0"/>
      <w:jc w:val="center"/>
    </w:pPr>
    <w:rPr>
      <w:rFonts w:ascii="Times" w:eastAsiaTheme="minorHAnsi" w:hAnsi="Times" w:cstheme="minorBidi"/>
      <w:sz w:val="20"/>
    </w:rPr>
  </w:style>
  <w:style w:type="paragraph" w:customStyle="1" w:styleId="xl72">
    <w:name w:val="xl72"/>
    <w:basedOn w:val="Normal"/>
    <w:rsid w:val="00C811D2"/>
    <w:pPr>
      <w:pBdr>
        <w:top w:val="single" w:sz="4" w:space="0" w:color="auto"/>
        <w:left w:val="single" w:sz="4" w:space="0" w:color="auto"/>
        <w:bottom w:val="single" w:sz="4" w:space="0" w:color="auto"/>
        <w:right w:val="single" w:sz="4" w:space="0" w:color="auto"/>
      </w:pBdr>
      <w:shd w:val="clear" w:color="auto" w:fill="C0C0C0"/>
      <w:spacing w:beforeLines="1" w:afterLines="1" w:line="240" w:lineRule="auto"/>
      <w:contextualSpacing w:val="0"/>
      <w:jc w:val="left"/>
    </w:pPr>
    <w:rPr>
      <w:rFonts w:ascii="Times" w:eastAsiaTheme="minorHAnsi" w:hAnsi="Times" w:cstheme="minorBidi"/>
      <w:sz w:val="20"/>
    </w:rPr>
  </w:style>
  <w:style w:type="paragraph" w:customStyle="1" w:styleId="xl73">
    <w:name w:val="xl73"/>
    <w:basedOn w:val="Normal"/>
    <w:rsid w:val="00C811D2"/>
    <w:pPr>
      <w:pBdr>
        <w:top w:val="single" w:sz="4" w:space="0" w:color="auto"/>
        <w:left w:val="single" w:sz="4" w:space="0" w:color="auto"/>
        <w:bottom w:val="single" w:sz="4" w:space="0" w:color="auto"/>
        <w:right w:val="single" w:sz="4" w:space="0" w:color="auto"/>
      </w:pBdr>
      <w:spacing w:beforeLines="1" w:afterLines="1" w:line="240" w:lineRule="auto"/>
      <w:contextualSpacing w:val="0"/>
      <w:jc w:val="center"/>
    </w:pPr>
    <w:rPr>
      <w:rFonts w:ascii="Times" w:eastAsiaTheme="minorHAnsi" w:hAnsi="Times" w:cstheme="minorBidi"/>
      <w:sz w:val="20"/>
    </w:rPr>
  </w:style>
  <w:style w:type="paragraph" w:customStyle="1" w:styleId="xl74">
    <w:name w:val="xl74"/>
    <w:basedOn w:val="Normal"/>
    <w:rsid w:val="00C811D2"/>
    <w:pPr>
      <w:pBdr>
        <w:top w:val="single" w:sz="4" w:space="0" w:color="auto"/>
        <w:left w:val="single" w:sz="4" w:space="0" w:color="auto"/>
        <w:bottom w:val="single" w:sz="4" w:space="0" w:color="auto"/>
        <w:right w:val="single" w:sz="4" w:space="0" w:color="auto"/>
      </w:pBdr>
      <w:shd w:val="clear" w:color="auto" w:fill="000000"/>
      <w:spacing w:beforeLines="1" w:afterLines="1" w:line="240" w:lineRule="auto"/>
      <w:contextualSpacing w:val="0"/>
      <w:jc w:val="center"/>
    </w:pPr>
    <w:rPr>
      <w:rFonts w:ascii="Times" w:eastAsiaTheme="minorHAnsi" w:hAnsi="Times" w:cstheme="minorBidi"/>
      <w:sz w:val="20"/>
    </w:rPr>
  </w:style>
  <w:style w:type="paragraph" w:customStyle="1" w:styleId="xl75">
    <w:name w:val="xl75"/>
    <w:basedOn w:val="Normal"/>
    <w:rsid w:val="00C811D2"/>
    <w:pPr>
      <w:spacing w:beforeLines="1" w:afterLines="1" w:line="240" w:lineRule="auto"/>
      <w:contextualSpacing w:val="0"/>
      <w:jc w:val="center"/>
    </w:pPr>
    <w:rPr>
      <w:rFonts w:ascii="Times" w:eastAsiaTheme="minorHAnsi" w:hAnsi="Times" w:cstheme="minorBidi"/>
      <w:sz w:val="20"/>
    </w:rPr>
  </w:style>
  <w:style w:type="paragraph" w:customStyle="1" w:styleId="xl76">
    <w:name w:val="xl76"/>
    <w:basedOn w:val="Normal"/>
    <w:rsid w:val="00C811D2"/>
    <w:pPr>
      <w:shd w:val="clear" w:color="auto" w:fill="000000"/>
      <w:spacing w:beforeLines="1" w:afterLines="1" w:line="240" w:lineRule="auto"/>
      <w:contextualSpacing w:val="0"/>
      <w:jc w:val="left"/>
    </w:pPr>
    <w:rPr>
      <w:rFonts w:ascii="Times" w:eastAsiaTheme="minorHAnsi" w:hAnsi="Times" w:cstheme="minorBidi"/>
      <w:sz w:val="20"/>
    </w:rPr>
  </w:style>
  <w:style w:type="paragraph" w:customStyle="1" w:styleId="xl77">
    <w:name w:val="xl77"/>
    <w:basedOn w:val="Normal"/>
    <w:rsid w:val="00C811D2"/>
    <w:pPr>
      <w:pBdr>
        <w:left w:val="single" w:sz="4" w:space="0" w:color="auto"/>
        <w:right w:val="single" w:sz="4" w:space="0" w:color="auto"/>
      </w:pBdr>
      <w:spacing w:beforeLines="1" w:afterLines="1" w:line="240" w:lineRule="auto"/>
      <w:contextualSpacing w:val="0"/>
      <w:jc w:val="left"/>
    </w:pPr>
    <w:rPr>
      <w:rFonts w:ascii="Times" w:eastAsiaTheme="minorHAnsi" w:hAnsi="Times" w:cstheme="minorBidi"/>
      <w:sz w:val="20"/>
    </w:rPr>
  </w:style>
  <w:style w:type="paragraph" w:customStyle="1" w:styleId="xl78">
    <w:name w:val="xl78"/>
    <w:basedOn w:val="Normal"/>
    <w:rsid w:val="00C811D2"/>
    <w:pPr>
      <w:pBdr>
        <w:top w:val="single" w:sz="4" w:space="0" w:color="auto"/>
        <w:left w:val="single" w:sz="4" w:space="0" w:color="auto"/>
        <w:bottom w:val="single" w:sz="4" w:space="0" w:color="auto"/>
        <w:right w:val="single" w:sz="4" w:space="0" w:color="auto"/>
      </w:pBdr>
      <w:spacing w:beforeLines="1" w:afterLines="1" w:line="240" w:lineRule="auto"/>
      <w:contextualSpacing w:val="0"/>
      <w:jc w:val="center"/>
    </w:pPr>
    <w:rPr>
      <w:rFonts w:ascii="Times" w:eastAsiaTheme="minorHAnsi" w:hAnsi="Times" w:cstheme="minorBidi"/>
      <w:b/>
      <w:bCs/>
      <w:sz w:val="28"/>
      <w:szCs w:val="28"/>
    </w:rPr>
  </w:style>
  <w:style w:type="paragraph" w:customStyle="1" w:styleId="xl79">
    <w:name w:val="xl79"/>
    <w:basedOn w:val="Normal"/>
    <w:rsid w:val="00C811D2"/>
    <w:pPr>
      <w:pBdr>
        <w:top w:val="single" w:sz="4" w:space="0" w:color="auto"/>
        <w:left w:val="single" w:sz="4" w:space="0" w:color="auto"/>
        <w:bottom w:val="single" w:sz="4" w:space="0" w:color="auto"/>
        <w:right w:val="single" w:sz="4" w:space="0" w:color="auto"/>
      </w:pBdr>
      <w:shd w:val="clear" w:color="auto" w:fill="C0C0C0"/>
      <w:spacing w:beforeLines="1" w:afterLines="1" w:line="240" w:lineRule="auto"/>
      <w:contextualSpacing w:val="0"/>
      <w:jc w:val="left"/>
    </w:pPr>
    <w:rPr>
      <w:rFonts w:ascii="Times" w:eastAsiaTheme="minorHAnsi" w:hAnsi="Times" w:cstheme="minorBidi"/>
      <w:b/>
      <w:bCs/>
      <w:sz w:val="20"/>
    </w:rPr>
  </w:style>
  <w:style w:type="paragraph" w:customStyle="1" w:styleId="xl80">
    <w:name w:val="xl80"/>
    <w:basedOn w:val="Normal"/>
    <w:rsid w:val="00C811D2"/>
    <w:pPr>
      <w:pBdr>
        <w:top w:val="single" w:sz="4" w:space="0" w:color="auto"/>
        <w:left w:val="single" w:sz="4" w:space="0" w:color="auto"/>
        <w:bottom w:val="single" w:sz="4" w:space="0" w:color="auto"/>
        <w:right w:val="single" w:sz="4" w:space="0" w:color="auto"/>
      </w:pBdr>
      <w:shd w:val="clear" w:color="auto" w:fill="000000"/>
      <w:spacing w:beforeLines="1" w:afterLines="1" w:line="240" w:lineRule="auto"/>
      <w:contextualSpacing w:val="0"/>
      <w:jc w:val="left"/>
    </w:pPr>
    <w:rPr>
      <w:rFonts w:ascii="Times" w:eastAsiaTheme="minorHAnsi" w:hAnsi="Times" w:cstheme="minorBidi"/>
      <w:sz w:val="20"/>
    </w:rPr>
  </w:style>
  <w:style w:type="paragraph" w:customStyle="1" w:styleId="xl81">
    <w:name w:val="xl81"/>
    <w:basedOn w:val="Normal"/>
    <w:rsid w:val="00C811D2"/>
    <w:pPr>
      <w:pBdr>
        <w:top w:val="single" w:sz="4" w:space="0" w:color="auto"/>
        <w:left w:val="single" w:sz="4" w:space="0" w:color="auto"/>
        <w:bottom w:val="single" w:sz="4" w:space="0" w:color="auto"/>
      </w:pBdr>
      <w:spacing w:beforeLines="1" w:afterLines="1" w:line="240" w:lineRule="auto"/>
      <w:contextualSpacing w:val="0"/>
      <w:jc w:val="center"/>
    </w:pPr>
    <w:rPr>
      <w:rFonts w:ascii="Times" w:eastAsiaTheme="minorHAnsi" w:hAnsi="Times" w:cstheme="minorBidi"/>
      <w:b/>
      <w:bCs/>
      <w:sz w:val="28"/>
      <w:szCs w:val="28"/>
    </w:rPr>
  </w:style>
  <w:style w:type="paragraph" w:customStyle="1" w:styleId="xl82">
    <w:name w:val="xl82"/>
    <w:basedOn w:val="Normal"/>
    <w:rsid w:val="00C811D2"/>
    <w:pPr>
      <w:pBdr>
        <w:top w:val="single" w:sz="4" w:space="0" w:color="auto"/>
        <w:bottom w:val="single" w:sz="4" w:space="0" w:color="auto"/>
      </w:pBdr>
      <w:spacing w:beforeLines="1" w:afterLines="1" w:line="240" w:lineRule="auto"/>
      <w:contextualSpacing w:val="0"/>
      <w:jc w:val="center"/>
    </w:pPr>
    <w:rPr>
      <w:rFonts w:ascii="Times" w:eastAsiaTheme="minorHAnsi" w:hAnsi="Times" w:cstheme="minorBidi"/>
      <w:b/>
      <w:bCs/>
      <w:sz w:val="28"/>
      <w:szCs w:val="28"/>
    </w:rPr>
  </w:style>
  <w:style w:type="paragraph" w:customStyle="1" w:styleId="xl83">
    <w:name w:val="xl83"/>
    <w:basedOn w:val="Normal"/>
    <w:rsid w:val="00C811D2"/>
    <w:pPr>
      <w:pBdr>
        <w:top w:val="single" w:sz="4" w:space="0" w:color="auto"/>
        <w:left w:val="single" w:sz="4" w:space="0" w:color="auto"/>
        <w:bottom w:val="single" w:sz="4" w:space="0" w:color="auto"/>
        <w:right w:val="single" w:sz="4" w:space="0" w:color="auto"/>
      </w:pBdr>
      <w:shd w:val="clear" w:color="auto" w:fill="C0C0C0"/>
      <w:spacing w:beforeLines="1" w:afterLines="1" w:line="240" w:lineRule="auto"/>
      <w:contextualSpacing w:val="0"/>
      <w:jc w:val="center"/>
    </w:pPr>
    <w:rPr>
      <w:rFonts w:ascii="Times" w:eastAsiaTheme="minorHAnsi" w:hAnsi="Times" w:cstheme="minorBidi"/>
      <w:b/>
      <w:bCs/>
      <w:szCs w:val="24"/>
    </w:rPr>
  </w:style>
  <w:style w:type="paragraph" w:customStyle="1" w:styleId="BodyText2">
    <w:name w:val="Body Text2"/>
    <w:basedOn w:val="Normal"/>
    <w:rsid w:val="00C811D2"/>
    <w:pPr>
      <w:spacing w:before="0" w:after="0" w:line="240" w:lineRule="auto"/>
      <w:contextualSpacing w:val="0"/>
      <w:jc w:val="left"/>
    </w:pPr>
    <w:rPr>
      <w:rFonts w:ascii="Arial" w:hAnsi="Arial"/>
      <w:b/>
      <w:smallCaps/>
      <w:sz w:val="22"/>
      <w:lang w:val="en-US"/>
    </w:rPr>
  </w:style>
  <w:style w:type="character" w:customStyle="1" w:styleId="BalloonTextChar8">
    <w:name w:val="Balloon Text Char8"/>
    <w:basedOn w:val="Policepardfaut"/>
    <w:uiPriority w:val="99"/>
    <w:semiHidden/>
    <w:locked/>
    <w:rsid w:val="00C811D2"/>
    <w:rPr>
      <w:rFonts w:ascii="Lucida Grande" w:hAnsi="Lucida Grande" w:cs="Times New Roman"/>
      <w:sz w:val="18"/>
      <w:szCs w:val="18"/>
    </w:rPr>
  </w:style>
  <w:style w:type="character" w:customStyle="1" w:styleId="BalloonTextChar7">
    <w:name w:val="Balloon Text Char7"/>
    <w:basedOn w:val="Policepardfaut"/>
    <w:uiPriority w:val="99"/>
    <w:semiHidden/>
    <w:locked/>
    <w:rsid w:val="00C811D2"/>
    <w:rPr>
      <w:rFonts w:ascii="Lucida Grande" w:hAnsi="Lucida Grande" w:cs="Times New Roman"/>
      <w:sz w:val="18"/>
      <w:szCs w:val="18"/>
    </w:rPr>
  </w:style>
  <w:style w:type="character" w:customStyle="1" w:styleId="BalloonTextChar6">
    <w:name w:val="Balloon Text Char6"/>
    <w:basedOn w:val="Policepardfaut"/>
    <w:uiPriority w:val="99"/>
    <w:semiHidden/>
    <w:locked/>
    <w:rsid w:val="00C811D2"/>
    <w:rPr>
      <w:rFonts w:ascii="Lucida Grande" w:hAnsi="Lucida Grande" w:cs="Times New Roman"/>
      <w:sz w:val="18"/>
      <w:szCs w:val="18"/>
    </w:rPr>
  </w:style>
  <w:style w:type="character" w:customStyle="1" w:styleId="BalloonTextChar5">
    <w:name w:val="Balloon Text Char5"/>
    <w:basedOn w:val="Policepardfaut"/>
    <w:uiPriority w:val="99"/>
    <w:semiHidden/>
    <w:locked/>
    <w:rsid w:val="00C811D2"/>
    <w:rPr>
      <w:rFonts w:ascii="Lucida Grande" w:hAnsi="Lucida Grande" w:cs="Times New Roman"/>
      <w:sz w:val="18"/>
      <w:szCs w:val="18"/>
    </w:rPr>
  </w:style>
  <w:style w:type="character" w:customStyle="1" w:styleId="Heading9Char1">
    <w:name w:val="Heading 9 Char1"/>
    <w:aliases w:val="Char5 Char1"/>
    <w:basedOn w:val="Policepardfaut"/>
    <w:locked/>
    <w:rsid w:val="00C811D2"/>
    <w:rPr>
      <w:rFonts w:ascii="Cambria" w:hAnsi="Cambria" w:cs="Times New Roman"/>
      <w:i/>
      <w:iCs/>
      <w:color w:val="404040"/>
      <w:sz w:val="20"/>
      <w:szCs w:val="20"/>
      <w:lang w:val="en-GB"/>
    </w:rPr>
  </w:style>
  <w:style w:type="table" w:customStyle="1" w:styleId="MediumList2-Accent11">
    <w:name w:val="Medium List 2 - Accent 11"/>
    <w:basedOn w:val="TableauNormal"/>
    <w:next w:val="Listemoyenne2-Accent1"/>
    <w:uiPriority w:val="99"/>
    <w:rsid w:val="00C811D2"/>
    <w:pPr>
      <w:spacing w:after="0" w:line="240" w:lineRule="auto"/>
    </w:pPr>
    <w:rPr>
      <w:rFonts w:ascii="Cambria" w:eastAsia="Times New Roman" w:hAnsi="Cambria" w:cs="Kartika"/>
      <w:color w:val="000000"/>
      <w:sz w:val="24"/>
      <w:szCs w:val="24"/>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Kartika"/>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Kartika"/>
      </w:rPr>
      <w:tblPr/>
      <w:tcPr>
        <w:tcBorders>
          <w:top w:val="single" w:sz="8" w:space="0" w:color="4F81BD"/>
          <w:left w:val="nil"/>
          <w:bottom w:val="nil"/>
          <w:right w:val="nil"/>
          <w:insideH w:val="nil"/>
          <w:insideV w:val="nil"/>
        </w:tcBorders>
        <w:shd w:val="clear" w:color="auto" w:fill="FFFFFF"/>
      </w:tcPr>
    </w:tblStylePr>
    <w:tblStylePr w:type="firstCol">
      <w:rPr>
        <w:rFonts w:cs="Kartika"/>
      </w:rPr>
      <w:tblPr/>
      <w:tcPr>
        <w:tcBorders>
          <w:top w:val="nil"/>
          <w:left w:val="nil"/>
          <w:bottom w:val="nil"/>
          <w:right w:val="single" w:sz="8" w:space="0" w:color="4F81BD"/>
          <w:insideH w:val="nil"/>
          <w:insideV w:val="nil"/>
        </w:tcBorders>
        <w:shd w:val="clear" w:color="auto" w:fill="FFFFFF"/>
      </w:tcPr>
    </w:tblStylePr>
    <w:tblStylePr w:type="lastCol">
      <w:rPr>
        <w:rFonts w:cs="Kartika"/>
      </w:rPr>
      <w:tblPr/>
      <w:tcPr>
        <w:tcBorders>
          <w:top w:val="nil"/>
          <w:left w:val="single" w:sz="8" w:space="0" w:color="4F81BD"/>
          <w:bottom w:val="nil"/>
          <w:right w:val="nil"/>
          <w:insideH w:val="nil"/>
          <w:insideV w:val="nil"/>
        </w:tcBorders>
        <w:shd w:val="clear" w:color="auto" w:fill="FFFFFF"/>
      </w:tcPr>
    </w:tblStylePr>
    <w:tblStylePr w:type="band1Vert">
      <w:rPr>
        <w:rFonts w:cs="Kartika"/>
      </w:rPr>
      <w:tblPr/>
      <w:tcPr>
        <w:tcBorders>
          <w:left w:val="nil"/>
          <w:right w:val="nil"/>
          <w:insideH w:val="nil"/>
          <w:insideV w:val="nil"/>
        </w:tcBorders>
        <w:shd w:val="clear" w:color="auto" w:fill="D3DFEE"/>
      </w:tcPr>
    </w:tblStylePr>
    <w:tblStylePr w:type="band1Horz">
      <w:rPr>
        <w:rFonts w:cs="Kartika"/>
      </w:rPr>
      <w:tblPr/>
      <w:tcPr>
        <w:tcBorders>
          <w:top w:val="nil"/>
          <w:bottom w:val="nil"/>
          <w:insideH w:val="nil"/>
          <w:insideV w:val="nil"/>
        </w:tcBorders>
        <w:shd w:val="clear" w:color="auto" w:fill="D3DFEE"/>
      </w:tcPr>
    </w:tblStylePr>
    <w:tblStylePr w:type="nwCell">
      <w:rPr>
        <w:rFonts w:cs="Kartika"/>
      </w:rPr>
      <w:tblPr/>
      <w:tcPr>
        <w:shd w:val="clear" w:color="auto" w:fill="FFFFFF"/>
      </w:tcPr>
    </w:tblStylePr>
    <w:tblStylePr w:type="swCell">
      <w:rPr>
        <w:rFonts w:cs="Kartika"/>
      </w:rPr>
      <w:tblPr/>
      <w:tcPr>
        <w:tcBorders>
          <w:top w:val="nil"/>
        </w:tcBorders>
      </w:tcPr>
    </w:tblStylePr>
  </w:style>
  <w:style w:type="table" w:customStyle="1" w:styleId="LightList-Accent111">
    <w:name w:val="Light List - Accent 111"/>
    <w:uiPriority w:val="99"/>
    <w:rsid w:val="00C811D2"/>
    <w:pPr>
      <w:spacing w:after="0" w:line="240" w:lineRule="auto"/>
    </w:pPr>
    <w:rPr>
      <w:rFonts w:ascii="Calibri" w:eastAsia="Times New Roman" w:hAnsi="Calibri" w:cs="Times New Roman"/>
      <w:sz w:val="24"/>
      <w:szCs w:val="24"/>
      <w:lang w:val="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TableTheme1">
    <w:name w:val="Table Theme1"/>
    <w:basedOn w:val="TableauNormal"/>
    <w:next w:val="Thmedutableau"/>
    <w:uiPriority w:val="99"/>
    <w:rsid w:val="00C811D2"/>
    <w:pPr>
      <w:spacing w:line="240" w:lineRule="auto"/>
      <w:jc w:val="both"/>
    </w:pPr>
    <w:rPr>
      <w:rFonts w:ascii="Calibri" w:eastAsia="Cambria" w:hAnsi="Calibri" w:cs="Times New Roman"/>
      <w:sz w:val="24"/>
      <w:szCs w:val="24"/>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
    <w:name w:val="Medium Shading 2 - Accent 51"/>
    <w:basedOn w:val="TableauNormal"/>
    <w:next w:val="Tramemoyenne2-Accent5"/>
    <w:uiPriority w:val="99"/>
    <w:rsid w:val="00C811D2"/>
    <w:pPr>
      <w:spacing w:after="0" w:line="240" w:lineRule="auto"/>
    </w:pPr>
    <w:rPr>
      <w:rFonts w:ascii="Calibri" w:eastAsia="Cambria" w:hAnsi="Calibri" w:cs="Times New Roman"/>
      <w:sz w:val="24"/>
      <w:szCs w:val="24"/>
      <w:lang w:val="en-GB" w:eastAsia="en-GB" w:bidi="te-I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1">
    <w:name w:val="Medium Shading 2 - Accent 111"/>
    <w:uiPriority w:val="99"/>
    <w:rsid w:val="00C811D2"/>
    <w:pPr>
      <w:spacing w:after="0" w:line="240" w:lineRule="auto"/>
    </w:pPr>
    <w:rPr>
      <w:rFonts w:ascii="Calibri" w:eastAsia="Cambria" w:hAnsi="Calibri" w:cs="Times New Roman"/>
      <w:sz w:val="24"/>
      <w:szCs w:val="24"/>
      <w:lang w:val="en-A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1-Accent111">
    <w:name w:val="Medium Shading 1 - Accent 111"/>
    <w:uiPriority w:val="99"/>
    <w:rsid w:val="00C811D2"/>
    <w:pPr>
      <w:spacing w:after="0" w:line="240" w:lineRule="auto"/>
    </w:pPr>
    <w:rPr>
      <w:rFonts w:ascii="Calibri" w:eastAsia="Cambria" w:hAnsi="Calibri" w:cs="Times New Roman"/>
      <w:sz w:val="24"/>
      <w:szCs w:val="24"/>
      <w:lang w:val="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Grid1-Accent11">
    <w:name w:val="Medium Grid 1 - Accent 11"/>
    <w:basedOn w:val="TableauNormal"/>
    <w:next w:val="Grillemoyenne1-Accent1"/>
    <w:uiPriority w:val="99"/>
    <w:rsid w:val="00C811D2"/>
    <w:pPr>
      <w:spacing w:after="0" w:line="240" w:lineRule="auto"/>
    </w:pPr>
    <w:rPr>
      <w:rFonts w:ascii="Calibri" w:eastAsia="Cambria" w:hAnsi="Calibri" w:cs="Times New Roman"/>
      <w:sz w:val="24"/>
      <w:szCs w:val="24"/>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LightGrid-Accent111">
    <w:name w:val="Light Grid - Accent 111"/>
    <w:uiPriority w:val="99"/>
    <w:rsid w:val="00C811D2"/>
    <w:pPr>
      <w:spacing w:after="0" w:line="240" w:lineRule="auto"/>
    </w:pPr>
    <w:rPr>
      <w:rFonts w:ascii="Calibri" w:eastAsia="Cambria" w:hAnsi="Calibri" w:cs="Times New Roman"/>
      <w:sz w:val="24"/>
      <w:szCs w:val="24"/>
      <w:lang w:val="en-A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ghtList-Accent121">
    <w:name w:val="Light List - Accent 121"/>
    <w:uiPriority w:val="99"/>
    <w:rsid w:val="00C811D2"/>
    <w:pPr>
      <w:spacing w:after="0" w:line="240" w:lineRule="auto"/>
    </w:pPr>
    <w:rPr>
      <w:rFonts w:ascii="Calibri" w:eastAsia="Cambria" w:hAnsi="Calibri" w:cs="Times New Roman"/>
      <w:sz w:val="24"/>
      <w:szCs w:val="24"/>
      <w:lang w:val="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31">
    <w:name w:val="Light List - Accent 131"/>
    <w:uiPriority w:val="99"/>
    <w:rsid w:val="00C811D2"/>
    <w:pPr>
      <w:spacing w:after="0" w:line="240" w:lineRule="auto"/>
    </w:pPr>
    <w:rPr>
      <w:rFonts w:ascii="Calibri" w:eastAsia="Cambria" w:hAnsi="Calibri" w:cs="Times New Roman"/>
      <w:sz w:val="24"/>
      <w:szCs w:val="24"/>
      <w:lang w:val="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21">
    <w:name w:val="Light List - Accent 21"/>
    <w:basedOn w:val="TableauNormal"/>
    <w:next w:val="Listeclaire-Accent2"/>
    <w:uiPriority w:val="99"/>
    <w:rsid w:val="00C811D2"/>
    <w:pPr>
      <w:spacing w:after="0" w:line="240" w:lineRule="auto"/>
    </w:pPr>
    <w:rPr>
      <w:rFonts w:ascii="Cambria" w:eastAsia="Times New Roman" w:hAnsi="Cambria" w:cs="Kartika"/>
      <w:color w:val="000000"/>
      <w:sz w:val="24"/>
      <w:szCs w:val="24"/>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Kartika"/>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Kartika"/>
      </w:rPr>
      <w:tblPr/>
      <w:tcPr>
        <w:tcBorders>
          <w:top w:val="single" w:sz="8" w:space="0" w:color="4F81BD"/>
          <w:left w:val="nil"/>
          <w:bottom w:val="nil"/>
          <w:right w:val="nil"/>
          <w:insideH w:val="nil"/>
          <w:insideV w:val="nil"/>
        </w:tcBorders>
        <w:shd w:val="clear" w:color="auto" w:fill="FFFFFF"/>
      </w:tcPr>
    </w:tblStylePr>
    <w:tblStylePr w:type="firstCol">
      <w:rPr>
        <w:rFonts w:cs="Kartika"/>
      </w:rPr>
      <w:tblPr/>
      <w:tcPr>
        <w:tcBorders>
          <w:top w:val="nil"/>
          <w:left w:val="nil"/>
          <w:bottom w:val="nil"/>
          <w:right w:val="single" w:sz="8" w:space="0" w:color="4F81BD"/>
          <w:insideH w:val="nil"/>
          <w:insideV w:val="nil"/>
        </w:tcBorders>
        <w:shd w:val="clear" w:color="auto" w:fill="FFFFFF"/>
      </w:tcPr>
    </w:tblStylePr>
    <w:tblStylePr w:type="lastCol">
      <w:rPr>
        <w:rFonts w:cs="Kartika"/>
      </w:rPr>
      <w:tblPr/>
      <w:tcPr>
        <w:tcBorders>
          <w:top w:val="nil"/>
          <w:left w:val="single" w:sz="8" w:space="0" w:color="4F81BD"/>
          <w:bottom w:val="nil"/>
          <w:right w:val="nil"/>
          <w:insideH w:val="nil"/>
          <w:insideV w:val="nil"/>
        </w:tcBorders>
        <w:shd w:val="clear" w:color="auto" w:fill="FFFFFF"/>
      </w:tcPr>
    </w:tblStylePr>
    <w:tblStylePr w:type="band1Vert">
      <w:rPr>
        <w:rFonts w:cs="Kartika"/>
      </w:rPr>
      <w:tblPr/>
      <w:tcPr>
        <w:tcBorders>
          <w:left w:val="nil"/>
          <w:right w:val="nil"/>
          <w:insideH w:val="nil"/>
          <w:insideV w:val="nil"/>
        </w:tcBorders>
        <w:shd w:val="clear" w:color="auto" w:fill="D3DFEE"/>
      </w:tcPr>
    </w:tblStylePr>
    <w:tblStylePr w:type="band1Horz">
      <w:rPr>
        <w:rFonts w:cs="Kartika"/>
      </w:rPr>
      <w:tblPr/>
      <w:tcPr>
        <w:tcBorders>
          <w:top w:val="nil"/>
          <w:bottom w:val="nil"/>
          <w:insideH w:val="nil"/>
          <w:insideV w:val="nil"/>
        </w:tcBorders>
        <w:shd w:val="clear" w:color="auto" w:fill="D3DFEE"/>
      </w:tcPr>
    </w:tblStylePr>
    <w:tblStylePr w:type="nwCell">
      <w:rPr>
        <w:rFonts w:cs="Kartika"/>
      </w:rPr>
      <w:tblPr/>
      <w:tcPr>
        <w:shd w:val="clear" w:color="auto" w:fill="FFFFFF"/>
      </w:tcPr>
    </w:tblStylePr>
    <w:tblStylePr w:type="swCell">
      <w:rPr>
        <w:rFonts w:cs="Kartika"/>
      </w:rPr>
      <w:tblPr/>
      <w:tcPr>
        <w:tcBorders>
          <w:top w:val="nil"/>
        </w:tcBorders>
      </w:tcPr>
    </w:tblStylePr>
  </w:style>
  <w:style w:type="table" w:customStyle="1" w:styleId="ColorfulGrid-Accent51">
    <w:name w:val="Colorful Grid - Accent 51"/>
    <w:basedOn w:val="TableauNormal"/>
    <w:next w:val="Grillecouleur-Accent5"/>
    <w:uiPriority w:val="99"/>
    <w:rsid w:val="00C811D2"/>
    <w:pPr>
      <w:spacing w:after="0" w:line="240" w:lineRule="auto"/>
    </w:pPr>
    <w:rPr>
      <w:rFonts w:ascii="Calibri" w:eastAsia="Cambria" w:hAnsi="Calibri" w:cs="Times New Roman"/>
      <w:sz w:val="24"/>
      <w:szCs w:val="24"/>
      <w:lang w:val="en-GB" w:eastAsia="en-GB" w:bidi="te-I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21">
    <w:name w:val="Light Grid - Accent 21"/>
    <w:basedOn w:val="TableauNormal"/>
    <w:next w:val="Grilleclaire-Accent2"/>
    <w:uiPriority w:val="99"/>
    <w:rsid w:val="00C811D2"/>
    <w:pPr>
      <w:spacing w:after="0" w:line="240" w:lineRule="auto"/>
    </w:pPr>
    <w:rPr>
      <w:rFonts w:ascii="Calibri" w:eastAsia="Cambria" w:hAnsi="Calibri" w:cs="Times New Roman"/>
      <w:sz w:val="24"/>
      <w:szCs w:val="24"/>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21">
    <w:name w:val="Medium Grid 21"/>
    <w:basedOn w:val="TableauNormal"/>
    <w:next w:val="Grillemoyenne2"/>
    <w:uiPriority w:val="99"/>
    <w:rsid w:val="00C811D2"/>
    <w:pPr>
      <w:spacing w:after="0" w:line="240" w:lineRule="auto"/>
    </w:pPr>
    <w:rPr>
      <w:rFonts w:ascii="Cambria" w:eastAsia="Cambria" w:hAnsi="Cambria" w:cs="Times New Roman"/>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TOCHeading1">
    <w:name w:val="TOC Heading1"/>
    <w:basedOn w:val="Titre1"/>
    <w:next w:val="Normal"/>
    <w:uiPriority w:val="99"/>
    <w:qFormat/>
    <w:rsid w:val="00C811D2"/>
    <w:pPr>
      <w:keepNext/>
      <w:keepLines/>
      <w:spacing w:before="480" w:after="0"/>
      <w:contextualSpacing w:val="0"/>
      <w:jc w:val="center"/>
      <w:outlineLvl w:val="9"/>
    </w:pPr>
    <w:rPr>
      <w:rFonts w:ascii="Calibri" w:hAnsi="Calibri"/>
      <w:bCs/>
      <w:color w:val="365F91"/>
      <w:sz w:val="28"/>
      <w:szCs w:val="28"/>
      <w:lang w:val="en-US"/>
    </w:rPr>
  </w:style>
  <w:style w:type="paragraph" w:customStyle="1" w:styleId="Outlinednumberedregular">
    <w:name w:val="Outlined numbered regular"/>
    <w:basedOn w:val="Normal"/>
    <w:uiPriority w:val="99"/>
    <w:rsid w:val="00C811D2"/>
    <w:pPr>
      <w:numPr>
        <w:ilvl w:val="1"/>
        <w:numId w:val="31"/>
      </w:numPr>
      <w:spacing w:before="0" w:line="240" w:lineRule="auto"/>
      <w:ind w:right="72"/>
      <w:contextualSpacing w:val="0"/>
    </w:pPr>
    <w:rPr>
      <w:rFonts w:eastAsia="Batang"/>
      <w:szCs w:val="24"/>
      <w:lang w:eastAsia="ko-KR"/>
    </w:rPr>
  </w:style>
  <w:style w:type="numbering" w:customStyle="1" w:styleId="1111111">
    <w:name w:val="1 / 1.1 / 1.1.11"/>
    <w:basedOn w:val="Aucuneliste"/>
    <w:next w:val="111111"/>
    <w:uiPriority w:val="99"/>
    <w:semiHidden/>
    <w:unhideWhenUsed/>
    <w:rsid w:val="00C811D2"/>
  </w:style>
  <w:style w:type="numbering" w:customStyle="1" w:styleId="StyleBulletedSymbolsymbol10ptLeft025Hanging021">
    <w:name w:val="Style Bulleted Symbol (symbol) 10 pt Left:  0.25&quot; Hanging:  0.2...1"/>
    <w:rsid w:val="00C811D2"/>
  </w:style>
  <w:style w:type="paragraph" w:customStyle="1" w:styleId="TitleCover">
    <w:name w:val="Title Cover"/>
    <w:basedOn w:val="Normal"/>
    <w:next w:val="Normal"/>
    <w:rsid w:val="00C811D2"/>
    <w:pPr>
      <w:keepNext/>
      <w:keepLines/>
      <w:pBdr>
        <w:top w:val="single" w:sz="48" w:space="31" w:color="auto"/>
      </w:pBdr>
      <w:tabs>
        <w:tab w:val="left" w:pos="0"/>
      </w:tabs>
      <w:spacing w:before="240" w:after="500" w:line="640" w:lineRule="exact"/>
      <w:ind w:left="-840" w:right="-840"/>
      <w:contextualSpacing w:val="0"/>
      <w:jc w:val="left"/>
    </w:pPr>
    <w:rPr>
      <w:rFonts w:ascii="Arial Black" w:hAnsi="Arial Black"/>
      <w:b/>
      <w:spacing w:val="-48"/>
      <w:kern w:val="28"/>
      <w:sz w:val="64"/>
      <w:lang w:val="en-US"/>
    </w:rPr>
  </w:style>
  <w:style w:type="paragraph" w:customStyle="1" w:styleId="para">
    <w:name w:val="para"/>
    <w:basedOn w:val="Normal"/>
    <w:rsid w:val="00C811D2"/>
    <w:pPr>
      <w:numPr>
        <w:numId w:val="32"/>
      </w:numPr>
      <w:spacing w:before="0" w:after="240" w:line="240" w:lineRule="auto"/>
      <w:contextualSpacing w:val="0"/>
    </w:pPr>
    <w:rPr>
      <w:rFonts w:ascii="Arial" w:hAnsi="Arial"/>
      <w:sz w:val="22"/>
      <w:lang w:val="en-US"/>
    </w:rPr>
  </w:style>
  <w:style w:type="paragraph" w:customStyle="1" w:styleId="explanatoryclause">
    <w:name w:val="explanatory_clause"/>
    <w:basedOn w:val="Normal"/>
    <w:rsid w:val="00C811D2"/>
    <w:pPr>
      <w:suppressAutoHyphens/>
      <w:spacing w:before="0" w:line="240" w:lineRule="auto"/>
      <w:ind w:left="738" w:right="-14" w:hanging="738"/>
      <w:contextualSpacing w:val="0"/>
      <w:jc w:val="left"/>
    </w:pPr>
    <w:rPr>
      <w:rFonts w:ascii="Arial" w:hAnsi="Arial"/>
      <w:sz w:val="22"/>
      <w:lang w:val="en-US"/>
    </w:rPr>
  </w:style>
  <w:style w:type="paragraph" w:customStyle="1" w:styleId="content">
    <w:name w:val="content"/>
    <w:basedOn w:val="Normal"/>
    <w:link w:val="contentChar"/>
    <w:rsid w:val="00C811D2"/>
    <w:pPr>
      <w:spacing w:before="100" w:beforeAutospacing="1" w:after="100" w:afterAutospacing="1" w:line="240" w:lineRule="auto"/>
      <w:contextualSpacing w:val="0"/>
      <w:jc w:val="left"/>
    </w:pPr>
    <w:rPr>
      <w:rFonts w:eastAsia="Batang"/>
      <w:szCs w:val="24"/>
      <w:lang w:val="en-US" w:eastAsia="ko-KR" w:bidi="th-TH"/>
    </w:rPr>
  </w:style>
  <w:style w:type="character" w:customStyle="1" w:styleId="contentChar">
    <w:name w:val="content Char"/>
    <w:basedOn w:val="Policepardfaut"/>
    <w:link w:val="content"/>
    <w:rsid w:val="00C811D2"/>
    <w:rPr>
      <w:rFonts w:ascii="Times New Roman" w:eastAsia="Batang" w:hAnsi="Times New Roman" w:cs="Times New Roman"/>
      <w:sz w:val="24"/>
      <w:szCs w:val="24"/>
      <w:lang w:eastAsia="ko-KR" w:bidi="th-TH"/>
    </w:rPr>
  </w:style>
  <w:style w:type="table" w:customStyle="1" w:styleId="Table1">
    <w:name w:val="Table 1"/>
    <w:basedOn w:val="TableauNormal"/>
    <w:rsid w:val="00C811D2"/>
    <w:pPr>
      <w:spacing w:after="0" w:line="240" w:lineRule="auto"/>
    </w:pPr>
    <w:rPr>
      <w:rFonts w:ascii="Times New Roman" w:eastAsia="Times New Roman" w:hAnsi="Times New Roman" w:cs="Times New Roman"/>
      <w:sz w:val="20"/>
      <w:szCs w:val="20"/>
      <w:lang w:val="en-AU"/>
    </w:rPr>
    <w:tblPr/>
    <w:tblStylePr w:type="firstRow">
      <w:pPr>
        <w:jc w:val="center"/>
      </w:pPr>
      <w:rPr>
        <w:rFonts w:ascii="Symbol" w:hAnsi="Symbol"/>
        <w:b/>
        <w:sz w:val="20"/>
      </w:rPr>
      <w:tblPr/>
      <w:tcPr>
        <w:shd w:val="clear" w:color="auto" w:fill="E0E0E0"/>
      </w:tcPr>
    </w:tblStylePr>
  </w:style>
  <w:style w:type="paragraph" w:customStyle="1" w:styleId="eyNumber1">
    <w:name w:val="eyNumber 1"/>
    <w:basedOn w:val="Normal"/>
    <w:rsid w:val="00C811D2"/>
    <w:pPr>
      <w:numPr>
        <w:numId w:val="33"/>
      </w:numPr>
      <w:spacing w:before="40" w:after="40" w:line="288" w:lineRule="auto"/>
      <w:contextualSpacing w:val="0"/>
      <w:jc w:val="left"/>
    </w:pPr>
    <w:rPr>
      <w:szCs w:val="24"/>
      <w:lang w:val="en-GB"/>
    </w:rPr>
  </w:style>
  <w:style w:type="paragraph" w:customStyle="1" w:styleId="eyNumber4">
    <w:name w:val="eyNumber 4"/>
    <w:basedOn w:val="eyNumber3"/>
    <w:rsid w:val="00C811D2"/>
    <w:pPr>
      <w:numPr>
        <w:ilvl w:val="3"/>
      </w:numPr>
    </w:pPr>
  </w:style>
  <w:style w:type="paragraph" w:customStyle="1" w:styleId="eyNumber3">
    <w:name w:val="eyNumber 3"/>
    <w:basedOn w:val="Normal"/>
    <w:rsid w:val="00C811D2"/>
    <w:pPr>
      <w:numPr>
        <w:ilvl w:val="2"/>
        <w:numId w:val="33"/>
      </w:numPr>
      <w:spacing w:before="40" w:after="40" w:line="288" w:lineRule="auto"/>
      <w:contextualSpacing w:val="0"/>
      <w:jc w:val="left"/>
    </w:pPr>
    <w:rPr>
      <w:szCs w:val="24"/>
      <w:lang w:val="en-GB"/>
    </w:rPr>
  </w:style>
  <w:style w:type="paragraph" w:customStyle="1" w:styleId="eyNumber5">
    <w:name w:val="eyNumber 5"/>
    <w:basedOn w:val="eyNumber4"/>
    <w:rsid w:val="00C811D2"/>
    <w:pPr>
      <w:numPr>
        <w:ilvl w:val="4"/>
      </w:numPr>
    </w:pPr>
    <w:rPr>
      <w:kern w:val="32"/>
    </w:rPr>
  </w:style>
  <w:style w:type="paragraph" w:customStyle="1" w:styleId="eyNumber2">
    <w:name w:val="eyNumber 2"/>
    <w:basedOn w:val="Normal"/>
    <w:rsid w:val="00C811D2"/>
    <w:pPr>
      <w:numPr>
        <w:ilvl w:val="1"/>
        <w:numId w:val="33"/>
      </w:numPr>
      <w:spacing w:before="40" w:after="40" w:line="288" w:lineRule="auto"/>
      <w:contextualSpacing w:val="0"/>
      <w:jc w:val="left"/>
    </w:pPr>
    <w:rPr>
      <w:szCs w:val="24"/>
      <w:lang w:val="en-GB"/>
    </w:rPr>
  </w:style>
  <w:style w:type="paragraph" w:customStyle="1" w:styleId="Heading0">
    <w:name w:val="Heading 0"/>
    <w:basedOn w:val="Titre1"/>
    <w:rsid w:val="00C811D2"/>
    <w:pPr>
      <w:keepNext/>
      <w:keepLines/>
      <w:spacing w:before="240" w:line="288" w:lineRule="auto"/>
      <w:contextualSpacing w:val="0"/>
      <w:jc w:val="center"/>
    </w:pPr>
    <w:rPr>
      <w:rFonts w:cs="Arial"/>
      <w:bCs/>
      <w:kern w:val="32"/>
      <w:sz w:val="36"/>
      <w:szCs w:val="32"/>
      <w:lang w:val="en-GB"/>
    </w:rPr>
  </w:style>
  <w:style w:type="paragraph" w:customStyle="1" w:styleId="Heading1A">
    <w:name w:val="Heading 1 A"/>
    <w:basedOn w:val="Titre1"/>
    <w:next w:val="Normal"/>
    <w:rsid w:val="00C811D2"/>
    <w:pPr>
      <w:keepNext/>
      <w:keepLines/>
      <w:pBdr>
        <w:bottom w:val="single" w:sz="8" w:space="1" w:color="000080"/>
      </w:pBdr>
      <w:spacing w:before="240" w:after="240" w:line="288" w:lineRule="auto"/>
      <w:contextualSpacing w:val="0"/>
      <w:jc w:val="left"/>
    </w:pPr>
    <w:rPr>
      <w:rFonts w:cs="Arial"/>
      <w:bCs/>
      <w:caps/>
      <w:color w:val="000000" w:themeColor="text1"/>
      <w:kern w:val="32"/>
      <w:sz w:val="28"/>
      <w:szCs w:val="32"/>
      <w:lang w:val="en-GB"/>
    </w:rPr>
  </w:style>
  <w:style w:type="paragraph" w:customStyle="1" w:styleId="SRDplaceholdertext">
    <w:name w:val="SRD_placeholder_text"/>
    <w:basedOn w:val="Normal"/>
    <w:link w:val="SRDplaceholdertextChar"/>
    <w:rsid w:val="00C811D2"/>
    <w:pPr>
      <w:spacing w:before="40" w:after="40" w:line="288" w:lineRule="auto"/>
      <w:contextualSpacing w:val="0"/>
      <w:jc w:val="left"/>
    </w:pPr>
    <w:rPr>
      <w:i/>
      <w:color w:val="0000FF"/>
      <w:szCs w:val="24"/>
      <w:lang w:val="en-GB"/>
    </w:rPr>
  </w:style>
  <w:style w:type="character" w:customStyle="1" w:styleId="SRDplaceholdertextChar">
    <w:name w:val="SRD_placeholder_text Char"/>
    <w:basedOn w:val="Policepardfaut"/>
    <w:link w:val="SRDplaceholdertext"/>
    <w:rsid w:val="00C811D2"/>
    <w:rPr>
      <w:rFonts w:ascii="Times New Roman" w:eastAsia="Times New Roman" w:hAnsi="Times New Roman" w:cs="Times New Roman"/>
      <w:i/>
      <w:color w:val="0000FF"/>
      <w:sz w:val="24"/>
      <w:szCs w:val="24"/>
      <w:lang w:val="en-GB"/>
    </w:rPr>
  </w:style>
  <w:style w:type="character" w:customStyle="1" w:styleId="ver10">
    <w:name w:val="ver10"/>
    <w:basedOn w:val="Policepardfaut"/>
    <w:rsid w:val="00C811D2"/>
  </w:style>
  <w:style w:type="numbering" w:customStyle="1" w:styleId="NoteNumbering">
    <w:name w:val="Note Numbering"/>
    <w:rsid w:val="00C811D2"/>
    <w:pPr>
      <w:numPr>
        <w:numId w:val="34"/>
      </w:numPr>
    </w:pPr>
  </w:style>
  <w:style w:type="paragraph" w:customStyle="1" w:styleId="Notetext">
    <w:name w:val="Note text"/>
    <w:basedOn w:val="Normal"/>
    <w:link w:val="NotetextChar"/>
    <w:rsid w:val="00C811D2"/>
    <w:pPr>
      <w:numPr>
        <w:numId w:val="35"/>
      </w:numPr>
      <w:spacing w:before="40" w:after="40" w:line="288" w:lineRule="auto"/>
      <w:contextualSpacing w:val="0"/>
      <w:jc w:val="left"/>
    </w:pPr>
    <w:rPr>
      <w:szCs w:val="24"/>
      <w:lang w:val="en-GB"/>
    </w:rPr>
  </w:style>
  <w:style w:type="paragraph" w:customStyle="1" w:styleId="AHeading1">
    <w:name w:val="A Heading 1"/>
    <w:basedOn w:val="Titre1"/>
    <w:rsid w:val="00C811D2"/>
    <w:pPr>
      <w:keepNext/>
      <w:keepLines/>
      <w:pageBreakBefore/>
      <w:numPr>
        <w:numId w:val="36"/>
      </w:numPr>
      <w:spacing w:before="0" w:after="1800" w:line="240" w:lineRule="auto"/>
      <w:contextualSpacing w:val="0"/>
      <w:jc w:val="center"/>
    </w:pPr>
    <w:rPr>
      <w:rFonts w:cs="Arial"/>
      <w:bCs/>
      <w:color w:val="003366"/>
      <w:kern w:val="32"/>
      <w:sz w:val="48"/>
      <w:szCs w:val="96"/>
      <w:lang w:val="en-GB"/>
    </w:rPr>
  </w:style>
  <w:style w:type="character" w:customStyle="1" w:styleId="linkheading">
    <w:name w:val="linkheading"/>
    <w:basedOn w:val="Policepardfaut"/>
    <w:rsid w:val="00C811D2"/>
  </w:style>
  <w:style w:type="paragraph" w:customStyle="1" w:styleId="StyleHeading1Justified">
    <w:name w:val="Style Heading 1 + Justified"/>
    <w:basedOn w:val="StyleHeading2-ABottomSinglesolidlineAuto05ptLin"/>
    <w:rsid w:val="00C811D2"/>
    <w:pPr>
      <w:ind w:firstLine="720"/>
    </w:pPr>
  </w:style>
  <w:style w:type="paragraph" w:customStyle="1" w:styleId="StyleHeading2Justified">
    <w:name w:val="Style Heading 2 + Justified"/>
    <w:basedOn w:val="Titre2"/>
    <w:rsid w:val="00C811D2"/>
    <w:pPr>
      <w:keepLines/>
      <w:tabs>
        <w:tab w:val="clear" w:pos="737"/>
        <w:tab w:val="num" w:pos="576"/>
      </w:tabs>
      <w:spacing w:before="240" w:after="360" w:line="276" w:lineRule="auto"/>
      <w:ind w:left="576" w:hanging="576"/>
      <w:contextualSpacing w:val="0"/>
      <w:jc w:val="both"/>
    </w:pPr>
    <w:rPr>
      <w:rFonts w:cs="Arial"/>
      <w:bCs/>
      <w:i/>
      <w:iCs/>
      <w:sz w:val="28"/>
      <w:szCs w:val="28"/>
      <w:lang w:val="en-GB"/>
    </w:rPr>
  </w:style>
  <w:style w:type="paragraph" w:customStyle="1" w:styleId="AHeading2">
    <w:name w:val="A Heading 2"/>
    <w:basedOn w:val="Titre2"/>
    <w:rsid w:val="00C811D2"/>
    <w:pPr>
      <w:keepLines/>
      <w:numPr>
        <w:ilvl w:val="1"/>
        <w:numId w:val="36"/>
      </w:numPr>
      <w:pBdr>
        <w:bottom w:val="single" w:sz="8" w:space="1" w:color="auto"/>
      </w:pBdr>
      <w:tabs>
        <w:tab w:val="clear" w:pos="737"/>
      </w:tabs>
      <w:spacing w:before="360" w:after="240" w:line="276" w:lineRule="auto"/>
      <w:ind w:left="578" w:hanging="578"/>
      <w:contextualSpacing w:val="0"/>
      <w:jc w:val="both"/>
      <w:outlineLvl w:val="9"/>
    </w:pPr>
    <w:rPr>
      <w:bCs/>
      <w:iCs/>
      <w:color w:val="000080"/>
      <w:sz w:val="32"/>
      <w:szCs w:val="28"/>
      <w:lang w:val="en-GB"/>
    </w:rPr>
  </w:style>
  <w:style w:type="paragraph" w:customStyle="1" w:styleId="StylecontentJustifiedBeforeAutoAfterAuto">
    <w:name w:val="Style content + Justified Before:  Auto After:  Auto"/>
    <w:basedOn w:val="content"/>
    <w:rsid w:val="00C811D2"/>
    <w:pPr>
      <w:spacing w:after="60" w:afterAutospacing="0"/>
      <w:jc w:val="both"/>
    </w:pPr>
    <w:rPr>
      <w:rFonts w:eastAsia="Times New Roman"/>
    </w:rPr>
  </w:style>
  <w:style w:type="paragraph" w:customStyle="1" w:styleId="LongQuotation">
    <w:name w:val="Long Quotation"/>
    <w:basedOn w:val="content"/>
    <w:rsid w:val="00C811D2"/>
    <w:pPr>
      <w:tabs>
        <w:tab w:val="left" w:pos="8280"/>
      </w:tabs>
      <w:ind w:left="720" w:right="527"/>
      <w:jc w:val="both"/>
    </w:pPr>
  </w:style>
  <w:style w:type="paragraph" w:customStyle="1" w:styleId="StylecontentItalic">
    <w:name w:val="Style content + Italic"/>
    <w:basedOn w:val="content"/>
    <w:link w:val="StylecontentItalicChar"/>
    <w:rsid w:val="00C811D2"/>
    <w:rPr>
      <w:i/>
      <w:iCs/>
    </w:rPr>
  </w:style>
  <w:style w:type="character" w:customStyle="1" w:styleId="StylecontentItalicChar">
    <w:name w:val="Style content + Italic Char"/>
    <w:basedOn w:val="contentChar"/>
    <w:link w:val="StylecontentItalic"/>
    <w:rsid w:val="00C811D2"/>
    <w:rPr>
      <w:rFonts w:ascii="Times New Roman" w:eastAsia="Batang" w:hAnsi="Times New Roman" w:cs="Times New Roman"/>
      <w:i/>
      <w:iCs/>
      <w:sz w:val="24"/>
      <w:szCs w:val="24"/>
      <w:lang w:eastAsia="ko-KR" w:bidi="th-TH"/>
    </w:rPr>
  </w:style>
  <w:style w:type="paragraph" w:customStyle="1" w:styleId="FormHeading">
    <w:name w:val="Form Heading"/>
    <w:next w:val="Normal"/>
    <w:rsid w:val="00C811D2"/>
    <w:pPr>
      <w:spacing w:after="0" w:line="240" w:lineRule="auto"/>
    </w:pPr>
    <w:rPr>
      <w:rFonts w:ascii="Arial" w:eastAsia="Times New Roman" w:hAnsi="Arial" w:cs="Times New Roman"/>
      <w:b/>
      <w:bCs/>
      <w:kern w:val="32"/>
      <w:sz w:val="32"/>
      <w:szCs w:val="32"/>
      <w:lang w:val="en-GB"/>
    </w:rPr>
  </w:style>
  <w:style w:type="paragraph" w:customStyle="1" w:styleId="EYFlagSub-ServiceLine">
    <w:name w:val="EY Flag Sub-Service Line"/>
    <w:basedOn w:val="Normal"/>
    <w:rsid w:val="00C811D2"/>
    <w:pPr>
      <w:keepNext/>
      <w:widowControl w:val="0"/>
      <w:overflowPunct w:val="0"/>
      <w:autoSpaceDE w:val="0"/>
      <w:autoSpaceDN w:val="0"/>
      <w:adjustRightInd w:val="0"/>
      <w:spacing w:before="0" w:after="0" w:line="240" w:lineRule="auto"/>
      <w:contextualSpacing w:val="0"/>
      <w:textAlignment w:val="baseline"/>
      <w:outlineLvl w:val="0"/>
    </w:pPr>
    <w:rPr>
      <w:rFonts w:cs="Arial"/>
      <w:smallCaps/>
      <w:color w:val="FFFFFF"/>
      <w:sz w:val="26"/>
      <w:lang w:val="en-GB"/>
    </w:rPr>
  </w:style>
  <w:style w:type="paragraph" w:customStyle="1" w:styleId="EYCoverTitle">
    <w:name w:val="EY Cover Title"/>
    <w:basedOn w:val="Normal"/>
    <w:rsid w:val="00C811D2"/>
    <w:pPr>
      <w:widowControl w:val="0"/>
      <w:overflowPunct w:val="0"/>
      <w:autoSpaceDE w:val="0"/>
      <w:autoSpaceDN w:val="0"/>
      <w:adjustRightInd w:val="0"/>
      <w:spacing w:before="0" w:after="0" w:line="1240" w:lineRule="exact"/>
      <w:ind w:left="144"/>
      <w:contextualSpacing w:val="0"/>
      <w:jc w:val="left"/>
      <w:textAlignment w:val="baseline"/>
    </w:pPr>
    <w:rPr>
      <w:rFonts w:ascii="EY Gothic Cond Demi" w:hAnsi="EY Gothic Cond Demi" w:cs="Arial"/>
      <w:color w:val="FFFFFF"/>
      <w:sz w:val="124"/>
      <w:lang w:val="en-US"/>
    </w:rPr>
  </w:style>
  <w:style w:type="paragraph" w:customStyle="1" w:styleId="FormHeading2">
    <w:name w:val="Form Heading 2"/>
    <w:next w:val="Normal"/>
    <w:rsid w:val="00C811D2"/>
    <w:pPr>
      <w:spacing w:after="0" w:line="240" w:lineRule="auto"/>
      <w:outlineLvl w:val="2"/>
    </w:pPr>
    <w:rPr>
      <w:rFonts w:ascii="Arial" w:eastAsia="Times New Roman" w:hAnsi="Arial" w:cs="Times New Roman"/>
      <w:bCs/>
      <w:kern w:val="32"/>
      <w:sz w:val="32"/>
      <w:szCs w:val="32"/>
      <w:lang w:val="en-GB"/>
    </w:rPr>
  </w:style>
  <w:style w:type="paragraph" w:customStyle="1" w:styleId="StyleFormHeading213ptBold">
    <w:name w:val="Style Form Heading 2 + 13 pt Bold"/>
    <w:basedOn w:val="FormHeading2"/>
    <w:rsid w:val="00C811D2"/>
    <w:rPr>
      <w:b/>
      <w:bCs w:val="0"/>
      <w:sz w:val="24"/>
      <w:szCs w:val="26"/>
    </w:rPr>
  </w:style>
  <w:style w:type="paragraph" w:customStyle="1" w:styleId="AHeading3">
    <w:name w:val="A Heading 3"/>
    <w:basedOn w:val="AHeading2"/>
    <w:next w:val="Normal"/>
    <w:rsid w:val="00C811D2"/>
    <w:pPr>
      <w:numPr>
        <w:ilvl w:val="2"/>
      </w:numPr>
      <w:pBdr>
        <w:bottom w:val="none" w:sz="0" w:space="0" w:color="auto"/>
      </w:pBdr>
    </w:pPr>
    <w:rPr>
      <w:bCs w:val="0"/>
      <w:iCs w:val="0"/>
      <w:sz w:val="24"/>
    </w:rPr>
  </w:style>
  <w:style w:type="paragraph" w:customStyle="1" w:styleId="FormTitle">
    <w:name w:val="Form Title"/>
    <w:basedOn w:val="Titre2"/>
    <w:next w:val="Normal"/>
    <w:rsid w:val="00C811D2"/>
    <w:pPr>
      <w:keepLines/>
      <w:numPr>
        <w:ilvl w:val="1"/>
        <w:numId w:val="39"/>
      </w:numPr>
      <w:tabs>
        <w:tab w:val="clear" w:pos="737"/>
      </w:tabs>
      <w:spacing w:before="240" w:after="360" w:line="276" w:lineRule="auto"/>
      <w:contextualSpacing w:val="0"/>
      <w:jc w:val="both"/>
      <w:outlineLvl w:val="9"/>
    </w:pPr>
    <w:rPr>
      <w:bCs/>
      <w:iCs/>
      <w:sz w:val="28"/>
      <w:szCs w:val="32"/>
      <w:lang w:val="en-GB"/>
    </w:rPr>
  </w:style>
  <w:style w:type="paragraph" w:customStyle="1" w:styleId="ProcessDescriptionNumbered">
    <w:name w:val="Process Description Numbered"/>
    <w:basedOn w:val="Normal"/>
    <w:link w:val="ProcessDescriptionNumberedCharChar"/>
    <w:rsid w:val="00C811D2"/>
    <w:pPr>
      <w:numPr>
        <w:numId w:val="37"/>
      </w:numPr>
      <w:spacing w:before="0" w:line="240" w:lineRule="auto"/>
      <w:contextualSpacing w:val="0"/>
    </w:pPr>
    <w:rPr>
      <w:sz w:val="22"/>
      <w:szCs w:val="22"/>
      <w:lang w:val="en-US"/>
    </w:rPr>
  </w:style>
  <w:style w:type="character" w:customStyle="1" w:styleId="ProcessDescriptionNumberedCharChar">
    <w:name w:val="Process Description Numbered Char Char"/>
    <w:basedOn w:val="Policepardfaut"/>
    <w:link w:val="ProcessDescriptionNumbered"/>
    <w:rsid w:val="00C811D2"/>
    <w:rPr>
      <w:rFonts w:ascii="Times New Roman" w:eastAsia="Times New Roman" w:hAnsi="Times New Roman" w:cs="Times New Roman"/>
    </w:rPr>
  </w:style>
  <w:style w:type="paragraph" w:customStyle="1" w:styleId="ProcessDescriptionHeading">
    <w:name w:val="Process Description Heading"/>
    <w:basedOn w:val="Titre3"/>
    <w:link w:val="ProcessDescriptionHeadingChar"/>
    <w:rsid w:val="00C811D2"/>
    <w:pPr>
      <w:pageBreakBefore/>
      <w:tabs>
        <w:tab w:val="num" w:pos="680"/>
      </w:tabs>
      <w:spacing w:before="0" w:after="360" w:line="240" w:lineRule="auto"/>
      <w:ind w:firstLine="397"/>
      <w:contextualSpacing w:val="0"/>
      <w:jc w:val="left"/>
    </w:pPr>
    <w:rPr>
      <w:rFonts w:ascii="Times New Roman" w:eastAsia="Times New Roman" w:hAnsi="Times New Roman" w:cs="Arial"/>
      <w:i/>
      <w:smallCaps/>
      <w:color w:val="000080"/>
      <w:szCs w:val="26"/>
      <w:lang w:val="en-GB"/>
    </w:rPr>
  </w:style>
  <w:style w:type="paragraph" w:customStyle="1" w:styleId="ProcessDescription">
    <w:name w:val="Process Description"/>
    <w:basedOn w:val="Normal"/>
    <w:rsid w:val="00C811D2"/>
    <w:pPr>
      <w:spacing w:before="0" w:line="240" w:lineRule="auto"/>
      <w:ind w:left="360"/>
      <w:contextualSpacing w:val="0"/>
    </w:pPr>
    <w:rPr>
      <w:sz w:val="22"/>
      <w:szCs w:val="22"/>
      <w:lang w:val="en-US"/>
    </w:rPr>
  </w:style>
  <w:style w:type="paragraph" w:customStyle="1" w:styleId="StyleFormTitleUnderline">
    <w:name w:val="Style Form Title + Underline"/>
    <w:basedOn w:val="FormTitle"/>
    <w:rsid w:val="00C811D2"/>
    <w:pPr>
      <w:tabs>
        <w:tab w:val="clear" w:pos="1134"/>
        <w:tab w:val="num" w:pos="540"/>
      </w:tabs>
      <w:ind w:left="540" w:hanging="720"/>
    </w:pPr>
  </w:style>
  <w:style w:type="table" w:customStyle="1" w:styleId="ProcessDescriptionTable">
    <w:name w:val="Process_Description_Table"/>
    <w:basedOn w:val="TableauNormal"/>
    <w:rsid w:val="00C811D2"/>
    <w:pPr>
      <w:spacing w:after="0" w:line="240" w:lineRule="auto"/>
    </w:pPr>
    <w:rPr>
      <w:rFonts w:ascii="Times New Roman" w:eastAsia="Times New Roman" w:hAnsi="Times New Roman" w:cs="Times New Roman"/>
      <w:sz w:val="20"/>
      <w:szCs w:val="20"/>
      <w:lang w:val="en-AU"/>
    </w:rPr>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bottom w:w="57" w:type="dxa"/>
      </w:tblCellMar>
    </w:tblPr>
    <w:tblStylePr w:type="firstRow">
      <w:tblPr/>
      <w:tcPr>
        <w:tcBorders>
          <w:top w:val="nil"/>
          <w:left w:val="nil"/>
          <w:bottom w:val="nil"/>
          <w:right w:val="nil"/>
          <w:insideH w:val="nil"/>
          <w:insideV w:val="nil"/>
          <w:tl2br w:val="nil"/>
          <w:tr2bl w:val="nil"/>
        </w:tcBorders>
      </w:tcPr>
    </w:tblStylePr>
    <w:tblStylePr w:type="neCell">
      <w:pPr>
        <w:jc w:val="center"/>
      </w:pPr>
      <w:rPr>
        <w:rFonts w:ascii="Times New Roman" w:hAnsi="Times New Roman"/>
        <w:sz w:val="18"/>
      </w:rPr>
      <w:tblPr/>
      <w:tcPr>
        <w:tcBorders>
          <w:bottom w:val="single" w:sz="4" w:space="0" w:color="auto"/>
        </w:tcBorders>
      </w:tcPr>
    </w:tblStylePr>
  </w:style>
  <w:style w:type="table" w:customStyle="1" w:styleId="ProposedProcessDescriptionsTable">
    <w:name w:val="Proposed Process Descriptions Table"/>
    <w:basedOn w:val="TableauNormal"/>
    <w:rsid w:val="00C811D2"/>
    <w:pPr>
      <w:spacing w:after="0" w:line="240" w:lineRule="auto"/>
    </w:pPr>
    <w:rPr>
      <w:rFonts w:ascii="Times New Roman" w:eastAsia="Times New Roman" w:hAnsi="Times New Roman" w:cs="Times New Roman"/>
      <w:szCs w:val="20"/>
      <w:lang w:val="en-AU"/>
    </w:rPr>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style>
  <w:style w:type="character" w:customStyle="1" w:styleId="ProcessDescriptionHeadingChar">
    <w:name w:val="Process Description Heading Char"/>
    <w:basedOn w:val="Titre3Car"/>
    <w:link w:val="ProcessDescriptionHeading"/>
    <w:rsid w:val="00C811D2"/>
    <w:rPr>
      <w:rFonts w:ascii="Times New Roman" w:eastAsia="Times New Roman" w:hAnsi="Times New Roman" w:cs="Arial"/>
      <w:b/>
      <w:bCs/>
      <w:i/>
      <w:smallCaps/>
      <w:color w:val="000080"/>
      <w:sz w:val="24"/>
      <w:szCs w:val="26"/>
      <w:lang w:val="en-GB"/>
    </w:rPr>
  </w:style>
  <w:style w:type="numbering" w:customStyle="1" w:styleId="FormTitleList">
    <w:name w:val="Form Title List"/>
    <w:basedOn w:val="Aucuneliste"/>
    <w:rsid w:val="00C811D2"/>
    <w:pPr>
      <w:numPr>
        <w:numId w:val="38"/>
      </w:numPr>
    </w:pPr>
  </w:style>
  <w:style w:type="table" w:styleId="Tableauple1">
    <w:name w:val="Table Subtle 1"/>
    <w:basedOn w:val="TableauNormal"/>
    <w:rsid w:val="00C811D2"/>
    <w:pPr>
      <w:spacing w:after="0" w:line="240" w:lineRule="auto"/>
    </w:pPr>
    <w:rPr>
      <w:rFonts w:ascii="Times New Roman" w:eastAsia="Times New Roman" w:hAnsi="Times New Roman" w:cs="Times New Roman"/>
      <w:sz w:val="20"/>
      <w:szCs w:val="20"/>
      <w:lang w:val="en-AU"/>
    </w:rPr>
    <w:tblPr>
      <w:tblStyleRowBandSize w:val="1"/>
    </w:tblPr>
    <w:tblStylePr w:type="firstRow">
      <w:tblPr/>
      <w:tcPr>
        <w:shd w:val="clear" w:color="auto" w:fill="FF9900"/>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shd w:val="clear" w:color="auto" w:fill="E6E6E6"/>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Heading2-ABottomSinglesolidlineAuto05ptLin">
    <w:name w:val="Style Heading 2 - A + Bottom: (Single solid line Auto  0.5 pt Lin..."/>
    <w:basedOn w:val="Heading2-A"/>
    <w:rsid w:val="00C811D2"/>
    <w:pPr>
      <w:pBdr>
        <w:bottom w:val="single" w:sz="4" w:space="1" w:color="auto"/>
      </w:pBdr>
    </w:pPr>
    <w:rPr>
      <w:rFonts w:cs="Times New Roman"/>
      <w:iCs w:val="0"/>
      <w:color w:val="auto"/>
      <w:szCs w:val="20"/>
    </w:rPr>
  </w:style>
  <w:style w:type="paragraph" w:customStyle="1" w:styleId="ParaLevel1">
    <w:name w:val="Para Level 1"/>
    <w:basedOn w:val="Normal"/>
    <w:rsid w:val="00C811D2"/>
    <w:pPr>
      <w:tabs>
        <w:tab w:val="num" w:pos="567"/>
      </w:tabs>
      <w:spacing w:before="40" w:after="40" w:line="288" w:lineRule="auto"/>
      <w:ind w:left="567" w:hanging="567"/>
      <w:contextualSpacing w:val="0"/>
      <w:jc w:val="left"/>
    </w:pPr>
    <w:rPr>
      <w:szCs w:val="24"/>
      <w:lang w:val="en-GB"/>
    </w:rPr>
  </w:style>
  <w:style w:type="paragraph" w:customStyle="1" w:styleId="ParaLevel2">
    <w:name w:val="Para Level 2"/>
    <w:basedOn w:val="ParaLevel1"/>
    <w:rsid w:val="00C811D2"/>
    <w:pPr>
      <w:tabs>
        <w:tab w:val="clear" w:pos="567"/>
        <w:tab w:val="num" w:pos="851"/>
      </w:tabs>
      <w:ind w:left="851" w:hanging="851"/>
    </w:pPr>
  </w:style>
  <w:style w:type="paragraph" w:customStyle="1" w:styleId="ParaLevel3">
    <w:name w:val="Para Level 3"/>
    <w:basedOn w:val="ParaLevel1"/>
    <w:rsid w:val="00C811D2"/>
    <w:pPr>
      <w:tabs>
        <w:tab w:val="clear" w:pos="567"/>
        <w:tab w:val="num" w:pos="1134"/>
      </w:tabs>
      <w:ind w:left="1134" w:hanging="1134"/>
    </w:pPr>
  </w:style>
  <w:style w:type="paragraph" w:customStyle="1" w:styleId="ParaLevel4">
    <w:name w:val="Para Level 4"/>
    <w:basedOn w:val="ParaLevel1"/>
    <w:rsid w:val="00C811D2"/>
    <w:pPr>
      <w:tabs>
        <w:tab w:val="clear" w:pos="567"/>
        <w:tab w:val="num" w:pos="1440"/>
      </w:tabs>
      <w:ind w:left="1440" w:hanging="1440"/>
    </w:pPr>
  </w:style>
  <w:style w:type="character" w:customStyle="1" w:styleId="NotetextChar">
    <w:name w:val="Note text Char"/>
    <w:basedOn w:val="Policepardfaut"/>
    <w:link w:val="Notetext"/>
    <w:rsid w:val="00C811D2"/>
    <w:rPr>
      <w:rFonts w:ascii="Times New Roman" w:eastAsia="Times New Roman" w:hAnsi="Times New Roman" w:cs="Times New Roman"/>
      <w:sz w:val="24"/>
      <w:szCs w:val="24"/>
      <w:lang w:val="en-GB"/>
    </w:rPr>
  </w:style>
  <w:style w:type="paragraph" w:customStyle="1" w:styleId="MonospacePara">
    <w:name w:val="Monospace Para"/>
    <w:basedOn w:val="Normal"/>
    <w:rsid w:val="00C811D2"/>
    <w:pPr>
      <w:spacing w:before="40" w:after="40" w:line="240" w:lineRule="auto"/>
      <w:contextualSpacing w:val="0"/>
      <w:jc w:val="left"/>
    </w:pPr>
    <w:rPr>
      <w:rFonts w:ascii="Courier New" w:hAnsi="Courier New"/>
      <w:sz w:val="18"/>
      <w:szCs w:val="24"/>
      <w:lang w:val="en-GB"/>
    </w:rPr>
  </w:style>
  <w:style w:type="paragraph" w:styleId="Textebrut">
    <w:name w:val="Plain Text"/>
    <w:basedOn w:val="Normal"/>
    <w:link w:val="TextebrutCar"/>
    <w:rsid w:val="00C811D2"/>
    <w:pPr>
      <w:spacing w:before="0" w:after="0" w:line="240" w:lineRule="auto"/>
      <w:contextualSpacing w:val="0"/>
      <w:jc w:val="left"/>
    </w:pPr>
    <w:rPr>
      <w:rFonts w:ascii="Courier New" w:hAnsi="Courier New" w:cs="Courier New"/>
      <w:sz w:val="20"/>
      <w:lang w:val="en-GB"/>
    </w:rPr>
  </w:style>
  <w:style w:type="character" w:customStyle="1" w:styleId="TextebrutCar">
    <w:name w:val="Texte brut Car"/>
    <w:basedOn w:val="Policepardfaut"/>
    <w:link w:val="Textebrut"/>
    <w:rsid w:val="00C811D2"/>
    <w:rPr>
      <w:rFonts w:ascii="Courier New" w:eastAsia="Times New Roman" w:hAnsi="Courier New" w:cs="Courier New"/>
      <w:sz w:val="20"/>
      <w:szCs w:val="20"/>
      <w:lang w:val="en-GB"/>
    </w:rPr>
  </w:style>
  <w:style w:type="paragraph" w:customStyle="1" w:styleId="NormalJustified">
    <w:name w:val="Normal Justified"/>
    <w:basedOn w:val="Normal"/>
    <w:rsid w:val="00C811D2"/>
    <w:pPr>
      <w:spacing w:before="40" w:after="40" w:line="288" w:lineRule="auto"/>
      <w:contextualSpacing w:val="0"/>
    </w:pPr>
    <w:rPr>
      <w:szCs w:val="24"/>
      <w:lang w:val="en-GB"/>
    </w:rPr>
  </w:style>
  <w:style w:type="paragraph" w:customStyle="1" w:styleId="Head71">
    <w:name w:val="Head 7.1"/>
    <w:basedOn w:val="Normal"/>
    <w:rsid w:val="00C811D2"/>
    <w:pPr>
      <w:keepNext/>
      <w:pBdr>
        <w:bottom w:val="single" w:sz="24" w:space="3" w:color="auto"/>
      </w:pBdr>
      <w:suppressAutoHyphens/>
      <w:spacing w:before="480" w:line="240" w:lineRule="auto"/>
      <w:contextualSpacing w:val="0"/>
      <w:jc w:val="center"/>
    </w:pPr>
    <w:rPr>
      <w:rFonts w:ascii="Times New Roman Bold" w:hAnsi="Times New Roman Bold"/>
      <w:b/>
      <w:smallCaps/>
      <w:sz w:val="32"/>
      <w:lang w:val="en-US"/>
    </w:rPr>
  </w:style>
  <w:style w:type="paragraph" w:customStyle="1" w:styleId="Head72">
    <w:name w:val="Head 7.2"/>
    <w:basedOn w:val="Normal"/>
    <w:rsid w:val="00C811D2"/>
    <w:pPr>
      <w:suppressAutoHyphens/>
      <w:spacing w:before="0" w:line="240" w:lineRule="auto"/>
      <w:ind w:left="720" w:hanging="720"/>
      <w:contextualSpacing w:val="0"/>
      <w:jc w:val="left"/>
    </w:pPr>
    <w:rPr>
      <w:rFonts w:ascii="Times New Roman Bold" w:hAnsi="Times New Roman Bold"/>
      <w:b/>
      <w:sz w:val="28"/>
      <w:lang w:val="en-US"/>
    </w:rPr>
  </w:style>
  <w:style w:type="paragraph" w:customStyle="1" w:styleId="InnerHeading3">
    <w:name w:val="Inner Heading 3"/>
    <w:basedOn w:val="Normal"/>
    <w:next w:val="Normal"/>
    <w:rsid w:val="00C811D2"/>
    <w:pPr>
      <w:keepNext/>
      <w:numPr>
        <w:numId w:val="40"/>
      </w:numPr>
      <w:spacing w:before="0" w:after="0" w:line="288" w:lineRule="auto"/>
      <w:contextualSpacing w:val="0"/>
    </w:pPr>
    <w:rPr>
      <w:szCs w:val="24"/>
      <w:u w:val="single"/>
      <w:lang w:val="en-GB"/>
    </w:rPr>
  </w:style>
  <w:style w:type="character" w:customStyle="1" w:styleId="preparersnote">
    <w:name w:val="preparer's note"/>
    <w:basedOn w:val="Policepardfaut"/>
    <w:rsid w:val="00C811D2"/>
    <w:rPr>
      <w:b/>
      <w:i/>
      <w:iCs/>
    </w:rPr>
  </w:style>
  <w:style w:type="table" w:styleId="Tramemoyenne1-Accent5">
    <w:name w:val="Medium Shading 1 Accent 5"/>
    <w:basedOn w:val="TableauNormal"/>
    <w:uiPriority w:val="63"/>
    <w:rsid w:val="00C811D2"/>
    <w:pPr>
      <w:spacing w:after="0" w:line="240" w:lineRule="auto"/>
    </w:pPr>
    <w:rPr>
      <w:rFonts w:ascii="Times New Roman" w:eastAsia="Times New Roman" w:hAnsi="Times New Roman" w:cs="Times New Roman"/>
      <w:sz w:val="20"/>
      <w:szCs w:val="20"/>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olonnesdetableau3">
    <w:name w:val="Table Columns 3"/>
    <w:basedOn w:val="TableauNormal"/>
    <w:rsid w:val="00C811D2"/>
    <w:pPr>
      <w:suppressAutoHyphens/>
      <w:spacing w:after="120" w:line="240" w:lineRule="auto"/>
      <w:jc w:val="both"/>
    </w:pPr>
    <w:rPr>
      <w:rFonts w:ascii="Times New Roman" w:eastAsia="Times New Roman" w:hAnsi="Times New Roman" w:cs="Times New Roman"/>
      <w:b/>
      <w:bCs/>
      <w:sz w:val="20"/>
      <w:szCs w:val="20"/>
      <w:lang w:val="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character" w:customStyle="1" w:styleId="MediumGrid1-Accent2Char">
    <w:name w:val="Medium Grid 1 - Accent 2 Char"/>
    <w:link w:val="Grillemoyenne1-Accent2"/>
    <w:uiPriority w:val="34"/>
    <w:rsid w:val="00C811D2"/>
    <w:rPr>
      <w:rFonts w:ascii="Times New Roman" w:hAnsi="Times New Roman"/>
      <w:sz w:val="24"/>
      <w:szCs w:val="22"/>
      <w:lang w:val="en-GB"/>
    </w:rPr>
  </w:style>
  <w:style w:type="table" w:styleId="Grillemoyenne1-Accent2">
    <w:name w:val="Medium Grid 1 Accent 2"/>
    <w:basedOn w:val="TableauNormal"/>
    <w:link w:val="MediumGrid1-Accent2Char"/>
    <w:uiPriority w:val="34"/>
    <w:rsid w:val="00C811D2"/>
    <w:pPr>
      <w:spacing w:after="0" w:line="240" w:lineRule="auto"/>
    </w:pPr>
    <w:rPr>
      <w:rFonts w:ascii="Times New Roman" w:hAnsi="Times New Roman"/>
      <w:sz w:val="24"/>
      <w:lang w:val="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paragraph" w:customStyle="1" w:styleId="Title1">
    <w:name w:val="Title1"/>
    <w:basedOn w:val="Normal"/>
    <w:rsid w:val="00C811D2"/>
    <w:pPr>
      <w:spacing w:before="100" w:beforeAutospacing="1" w:after="100" w:afterAutospacing="1" w:line="240" w:lineRule="auto"/>
      <w:contextualSpacing w:val="0"/>
      <w:jc w:val="left"/>
    </w:pPr>
    <w:rPr>
      <w:szCs w:val="24"/>
      <w:lang w:val="en-US"/>
    </w:rPr>
  </w:style>
  <w:style w:type="paragraph" w:customStyle="1" w:styleId="TextBoxFramed">
    <w:name w:val="Text Box Framed"/>
    <w:rsid w:val="00C811D2"/>
    <w:pPr>
      <w:keepNext/>
      <w:keepLines/>
      <w:tabs>
        <w:tab w:val="left" w:pos="-720"/>
      </w:tabs>
      <w:suppressAutoHyphens/>
      <w:spacing w:after="0" w:line="240" w:lineRule="auto"/>
    </w:pPr>
    <w:rPr>
      <w:rFonts w:ascii="Times New Roman" w:eastAsia="Times New Roman" w:hAnsi="Times New Roman" w:cs="Calibri"/>
    </w:rPr>
  </w:style>
  <w:style w:type="paragraph" w:customStyle="1" w:styleId="Clauses">
    <w:name w:val="Clauses"/>
    <w:basedOn w:val="Normal"/>
    <w:rsid w:val="00C811D2"/>
    <w:pPr>
      <w:keepLines/>
      <w:tabs>
        <w:tab w:val="num" w:pos="431"/>
      </w:tabs>
      <w:spacing w:before="0" w:line="240" w:lineRule="auto"/>
      <w:ind w:left="431" w:hanging="431"/>
      <w:contextualSpacing w:val="0"/>
      <w:jc w:val="left"/>
      <w:outlineLvl w:val="0"/>
    </w:pPr>
    <w:rPr>
      <w:rFonts w:ascii="Times New Roman Bold" w:hAnsi="Times New Roman Bold"/>
      <w:b/>
      <w:lang w:val="es-ES_tradnl" w:eastAsia="en-GB"/>
    </w:rPr>
  </w:style>
  <w:style w:type="paragraph" w:customStyle="1" w:styleId="Normala">
    <w:name w:val="Normal(a)"/>
    <w:basedOn w:val="Normal"/>
    <w:rsid w:val="00C811D2"/>
    <w:pPr>
      <w:keepLines/>
      <w:tabs>
        <w:tab w:val="left" w:pos="1418"/>
        <w:tab w:val="num" w:pos="1712"/>
      </w:tabs>
      <w:spacing w:before="0" w:line="240" w:lineRule="auto"/>
      <w:ind w:left="1418" w:hanging="426"/>
      <w:contextualSpacing w:val="0"/>
    </w:pPr>
    <w:rPr>
      <w:lang w:val="en-GB" w:eastAsia="en-GB"/>
    </w:rPr>
  </w:style>
  <w:style w:type="paragraph" w:customStyle="1" w:styleId="Normali">
    <w:name w:val="Normal(i)"/>
    <w:basedOn w:val="Normala"/>
    <w:rsid w:val="00C811D2"/>
  </w:style>
  <w:style w:type="paragraph" w:customStyle="1" w:styleId="Normal1">
    <w:name w:val="Normal(1)"/>
    <w:basedOn w:val="Normal"/>
    <w:rsid w:val="00C811D2"/>
    <w:pPr>
      <w:spacing w:before="0" w:line="240" w:lineRule="auto"/>
      <w:ind w:left="576" w:hanging="576"/>
      <w:contextualSpacing w:val="0"/>
    </w:pPr>
    <w:rPr>
      <w:lang w:val="en-GB" w:eastAsia="en-GB"/>
    </w:rPr>
  </w:style>
  <w:style w:type="paragraph" w:styleId="Salutations">
    <w:name w:val="Salutation"/>
    <w:basedOn w:val="Normal"/>
    <w:next w:val="Normal"/>
    <w:link w:val="SalutationsCar"/>
    <w:rsid w:val="00C811D2"/>
    <w:pPr>
      <w:spacing w:before="0" w:after="0" w:line="240" w:lineRule="auto"/>
      <w:contextualSpacing w:val="0"/>
      <w:jc w:val="left"/>
    </w:pPr>
    <w:rPr>
      <w:szCs w:val="24"/>
      <w:lang w:val="en-US"/>
    </w:rPr>
  </w:style>
  <w:style w:type="character" w:customStyle="1" w:styleId="SalutationsCar">
    <w:name w:val="Salutations Car"/>
    <w:basedOn w:val="Policepardfaut"/>
    <w:link w:val="Salutations"/>
    <w:rsid w:val="00C811D2"/>
    <w:rPr>
      <w:rFonts w:ascii="Times New Roman" w:eastAsia="Times New Roman" w:hAnsi="Times New Roman" w:cs="Times New Roman"/>
      <w:sz w:val="24"/>
      <w:szCs w:val="24"/>
    </w:rPr>
  </w:style>
  <w:style w:type="paragraph" w:styleId="Listecontinue">
    <w:name w:val="List Continue"/>
    <w:basedOn w:val="Normal"/>
    <w:rsid w:val="00C811D2"/>
    <w:pPr>
      <w:spacing w:before="0" w:line="240" w:lineRule="auto"/>
      <w:ind w:left="283"/>
      <w:contextualSpacing w:val="0"/>
      <w:jc w:val="left"/>
    </w:pPr>
    <w:rPr>
      <w:szCs w:val="24"/>
      <w:lang w:val="en-US"/>
    </w:rPr>
  </w:style>
  <w:style w:type="paragraph" w:customStyle="1" w:styleId="xl143">
    <w:name w:val="xl143"/>
    <w:basedOn w:val="Normal"/>
    <w:rsid w:val="00C811D2"/>
    <w:pPr>
      <w:pBdr>
        <w:left w:val="single" w:sz="4" w:space="0" w:color="auto"/>
        <w:right w:val="single" w:sz="4" w:space="0" w:color="000000"/>
      </w:pBdr>
      <w:spacing w:before="100" w:beforeAutospacing="1" w:after="100" w:afterAutospacing="1" w:line="240" w:lineRule="auto"/>
      <w:contextualSpacing w:val="0"/>
      <w:jc w:val="left"/>
    </w:pPr>
    <w:rPr>
      <w:rFonts w:eastAsia="Arial Unicode MS"/>
      <w:b/>
      <w:bCs/>
      <w:sz w:val="20"/>
      <w:u w:val="single"/>
      <w:lang w:val="it-IT" w:eastAsia="it-IT"/>
    </w:rPr>
  </w:style>
  <w:style w:type="paragraph" w:customStyle="1" w:styleId="A1-Heading1">
    <w:name w:val="A1-Heading1"/>
    <w:basedOn w:val="Titre1"/>
    <w:rsid w:val="00C811D2"/>
    <w:pPr>
      <w:keepNext/>
      <w:spacing w:before="240" w:after="240" w:line="240" w:lineRule="auto"/>
      <w:contextualSpacing w:val="0"/>
      <w:jc w:val="center"/>
    </w:pPr>
    <w:rPr>
      <w:sz w:val="26"/>
      <w:lang w:val="en-US"/>
    </w:rPr>
  </w:style>
  <w:style w:type="paragraph" w:customStyle="1" w:styleId="A1-Heading2">
    <w:name w:val="A1-Heading 2"/>
    <w:basedOn w:val="Titre2"/>
    <w:next w:val="Normal"/>
    <w:rsid w:val="00C811D2"/>
    <w:pPr>
      <w:tabs>
        <w:tab w:val="clear" w:pos="737"/>
      </w:tabs>
      <w:spacing w:before="0" w:after="200" w:line="276" w:lineRule="auto"/>
      <w:ind w:hanging="720"/>
      <w:contextualSpacing w:val="0"/>
      <w:jc w:val="center"/>
    </w:pPr>
    <w:rPr>
      <w:bCs/>
      <w:smallCaps/>
      <w:sz w:val="28"/>
      <w:szCs w:val="24"/>
      <w:lang w:val="en-US"/>
    </w:rPr>
  </w:style>
  <w:style w:type="paragraph" w:customStyle="1" w:styleId="A2-Heading1">
    <w:name w:val="A2-Heading 1"/>
    <w:basedOn w:val="Titre1"/>
    <w:rsid w:val="00C811D2"/>
    <w:pPr>
      <w:keepNext/>
      <w:numPr>
        <w:ilvl w:val="8"/>
        <w:numId w:val="69"/>
      </w:numPr>
      <w:tabs>
        <w:tab w:val="clear" w:pos="5400"/>
        <w:tab w:val="num" w:pos="360"/>
      </w:tabs>
      <w:spacing w:before="0" w:after="200" w:line="240" w:lineRule="auto"/>
      <w:ind w:left="0" w:firstLine="0"/>
      <w:contextualSpacing w:val="0"/>
      <w:jc w:val="center"/>
    </w:pPr>
    <w:rPr>
      <w:rFonts w:ascii="Times New Roman Bold" w:hAnsi="Times New Roman Bold"/>
      <w:sz w:val="26"/>
      <w:szCs w:val="24"/>
      <w:lang w:val="en-US"/>
    </w:rPr>
  </w:style>
  <w:style w:type="paragraph" w:customStyle="1" w:styleId="A2-Heading2">
    <w:name w:val="A2-Heading 2"/>
    <w:basedOn w:val="Titre2"/>
    <w:next w:val="Normal"/>
    <w:rsid w:val="00C811D2"/>
    <w:pPr>
      <w:tabs>
        <w:tab w:val="clear" w:pos="737"/>
        <w:tab w:val="num" w:pos="360"/>
      </w:tabs>
      <w:spacing w:before="0" w:line="276" w:lineRule="auto"/>
      <w:contextualSpacing w:val="0"/>
      <w:jc w:val="center"/>
    </w:pPr>
    <w:rPr>
      <w:bCs/>
      <w:smallCaps/>
      <w:sz w:val="28"/>
      <w:szCs w:val="24"/>
      <w:lang w:val="en-US"/>
    </w:rPr>
  </w:style>
  <w:style w:type="paragraph" w:customStyle="1" w:styleId="A1-Heading3">
    <w:name w:val="A1-Heading 3"/>
    <w:basedOn w:val="Titre3"/>
    <w:rsid w:val="00C811D2"/>
    <w:pPr>
      <w:keepLines w:val="0"/>
      <w:tabs>
        <w:tab w:val="left" w:pos="540"/>
        <w:tab w:val="num" w:pos="680"/>
      </w:tabs>
      <w:spacing w:before="0" w:line="240" w:lineRule="auto"/>
      <w:ind w:left="533" w:right="-29" w:hanging="533"/>
      <w:contextualSpacing w:val="0"/>
      <w:jc w:val="left"/>
    </w:pPr>
    <w:rPr>
      <w:rFonts w:ascii="Times New Roman" w:eastAsia="Times New Roman" w:hAnsi="Times New Roman" w:cs="Times New Roman"/>
      <w:i/>
      <w:smallCaps/>
      <w:color w:val="auto"/>
      <w:szCs w:val="24"/>
      <w:lang w:val="en-US"/>
    </w:rPr>
  </w:style>
  <w:style w:type="paragraph" w:customStyle="1" w:styleId="A1-Heading4">
    <w:name w:val="A1-Heading 4"/>
    <w:basedOn w:val="Titre4"/>
    <w:rsid w:val="00C811D2"/>
    <w:pPr>
      <w:keepNext w:val="0"/>
      <w:keepLines/>
      <w:tabs>
        <w:tab w:val="clear" w:pos="1080"/>
        <w:tab w:val="clear" w:pos="2077"/>
        <w:tab w:val="left" w:pos="720"/>
        <w:tab w:val="left" w:pos="1062"/>
        <w:tab w:val="right" w:leader="dot" w:pos="8640"/>
      </w:tabs>
      <w:overflowPunct/>
      <w:autoSpaceDE/>
      <w:autoSpaceDN/>
      <w:adjustRightInd/>
      <w:spacing w:before="0" w:after="0" w:line="276" w:lineRule="auto"/>
      <w:ind w:left="1062" w:hanging="720"/>
      <w:textAlignment w:val="auto"/>
    </w:pPr>
    <w:rPr>
      <w:rFonts w:ascii="Times New Roman" w:eastAsiaTheme="majorEastAsia" w:hAnsi="Times New Roman"/>
      <w:bCs/>
      <w:iCs/>
      <w:color w:val="C0504D" w:themeColor="accent2"/>
      <w:sz w:val="24"/>
      <w:szCs w:val="24"/>
      <w:lang w:val="en-US"/>
    </w:rPr>
  </w:style>
  <w:style w:type="paragraph" w:customStyle="1" w:styleId="A2-Heading3">
    <w:name w:val="A2-Heading 3"/>
    <w:basedOn w:val="Titre3"/>
    <w:rsid w:val="00C811D2"/>
    <w:pPr>
      <w:keepLines w:val="0"/>
      <w:tabs>
        <w:tab w:val="left" w:pos="540"/>
        <w:tab w:val="num" w:pos="680"/>
      </w:tabs>
      <w:spacing w:before="0" w:line="240" w:lineRule="auto"/>
      <w:ind w:left="539" w:right="-34" w:hanging="539"/>
      <w:contextualSpacing w:val="0"/>
      <w:jc w:val="left"/>
    </w:pPr>
    <w:rPr>
      <w:rFonts w:ascii="Times New Roman" w:eastAsia="Times New Roman" w:hAnsi="Times New Roman" w:cs="Times New Roman"/>
      <w:i/>
      <w:smallCaps/>
      <w:color w:val="auto"/>
      <w:szCs w:val="24"/>
      <w:lang w:val="en-US"/>
    </w:rPr>
  </w:style>
  <w:style w:type="paragraph" w:customStyle="1" w:styleId="Section2-Heading1">
    <w:name w:val="Section 2 - Heading 1"/>
    <w:basedOn w:val="Normal"/>
    <w:rsid w:val="00C811D2"/>
    <w:pPr>
      <w:tabs>
        <w:tab w:val="left" w:pos="360"/>
      </w:tabs>
      <w:spacing w:before="0" w:after="200" w:line="240" w:lineRule="auto"/>
      <w:ind w:left="360" w:hanging="360"/>
      <w:contextualSpacing w:val="0"/>
      <w:jc w:val="left"/>
    </w:pPr>
    <w:rPr>
      <w:b/>
      <w:szCs w:val="24"/>
      <w:lang w:val="en-GB"/>
    </w:rPr>
  </w:style>
  <w:style w:type="paragraph" w:customStyle="1" w:styleId="Section2-Heading2">
    <w:name w:val="Section 2 - Heading 2"/>
    <w:basedOn w:val="Normal"/>
    <w:rsid w:val="00C811D2"/>
    <w:pPr>
      <w:spacing w:before="0" w:after="200" w:line="240" w:lineRule="auto"/>
      <w:ind w:left="360"/>
      <w:contextualSpacing w:val="0"/>
      <w:jc w:val="left"/>
    </w:pPr>
    <w:rPr>
      <w:b/>
      <w:szCs w:val="24"/>
      <w:lang w:val="en-GB"/>
    </w:rPr>
  </w:style>
  <w:style w:type="paragraph" w:customStyle="1" w:styleId="Section3-Heading1">
    <w:name w:val="Section 3 - Heading 1"/>
    <w:basedOn w:val="Normal"/>
    <w:rsid w:val="00C811D2"/>
    <w:pPr>
      <w:pBdr>
        <w:bottom w:val="single" w:sz="4" w:space="1" w:color="auto"/>
      </w:pBdr>
      <w:spacing w:before="0" w:after="240" w:line="240" w:lineRule="auto"/>
      <w:contextualSpacing w:val="0"/>
      <w:jc w:val="center"/>
    </w:pPr>
    <w:rPr>
      <w:rFonts w:ascii="Times New Roman Bold" w:hAnsi="Times New Roman Bold"/>
      <w:b/>
      <w:sz w:val="32"/>
      <w:szCs w:val="24"/>
      <w:lang w:val="en-US"/>
    </w:rPr>
  </w:style>
  <w:style w:type="paragraph" w:customStyle="1" w:styleId="Section3-Heading2">
    <w:name w:val="Section 3 - Heading 2"/>
    <w:basedOn w:val="Normal"/>
    <w:next w:val="Normal"/>
    <w:rsid w:val="00C811D2"/>
    <w:pPr>
      <w:spacing w:before="0" w:after="200" w:line="240" w:lineRule="auto"/>
      <w:contextualSpacing w:val="0"/>
      <w:jc w:val="center"/>
    </w:pPr>
    <w:rPr>
      <w:b/>
      <w:sz w:val="28"/>
      <w:szCs w:val="24"/>
      <w:lang w:val="en-US"/>
    </w:rPr>
  </w:style>
  <w:style w:type="paragraph" w:customStyle="1" w:styleId="Section4-Heading1">
    <w:name w:val="Section 4 - Heading 1"/>
    <w:basedOn w:val="Section3-Heading1"/>
    <w:rsid w:val="00C811D2"/>
  </w:style>
  <w:style w:type="character" w:customStyle="1" w:styleId="BankNormalChar">
    <w:name w:val="BankNormal Char"/>
    <w:link w:val="BankNormal"/>
    <w:rsid w:val="00C811D2"/>
    <w:rPr>
      <w:rFonts w:ascii="Times New Roman" w:eastAsia="Times New Roman" w:hAnsi="Times New Roman" w:cs="Times New Roman"/>
      <w:sz w:val="24"/>
      <w:szCs w:val="20"/>
    </w:rPr>
  </w:style>
  <w:style w:type="character" w:customStyle="1" w:styleId="InstructiontoDelete">
    <w:name w:val="Instruction to Delete"/>
    <w:rsid w:val="00C811D2"/>
    <w:rPr>
      <w:rFonts w:ascii="Times New Roman" w:hAnsi="Times New Roman"/>
      <w:sz w:val="22"/>
    </w:rPr>
  </w:style>
  <w:style w:type="paragraph" w:customStyle="1" w:styleId="A1-Heading20">
    <w:name w:val="A1-Heading2"/>
    <w:basedOn w:val="Titre2"/>
    <w:rsid w:val="00C811D2"/>
    <w:pPr>
      <w:tabs>
        <w:tab w:val="clear" w:pos="737"/>
      </w:tabs>
      <w:spacing w:before="0" w:after="240" w:line="276" w:lineRule="auto"/>
      <w:ind w:hanging="720"/>
      <w:contextualSpacing w:val="0"/>
      <w:jc w:val="center"/>
    </w:pPr>
    <w:rPr>
      <w:bCs/>
      <w:smallCaps/>
      <w:sz w:val="24"/>
      <w:szCs w:val="24"/>
      <w:lang w:val="en-US"/>
    </w:rPr>
  </w:style>
  <w:style w:type="paragraph" w:styleId="Listenumros4">
    <w:name w:val="List Number 4"/>
    <w:basedOn w:val="Normal"/>
    <w:link w:val="Listenumros4Car"/>
    <w:rsid w:val="00C811D2"/>
    <w:pPr>
      <w:numPr>
        <w:numId w:val="72"/>
      </w:numPr>
      <w:spacing w:before="0" w:after="0" w:line="240" w:lineRule="auto"/>
      <w:jc w:val="left"/>
    </w:pPr>
    <w:rPr>
      <w:szCs w:val="24"/>
      <w:lang w:val="en-US"/>
    </w:rPr>
  </w:style>
  <w:style w:type="paragraph" w:customStyle="1" w:styleId="Head21">
    <w:name w:val="Head 2.1"/>
    <w:basedOn w:val="Normal"/>
    <w:rsid w:val="00C811D2"/>
    <w:pPr>
      <w:keepNext/>
      <w:pBdr>
        <w:bottom w:val="single" w:sz="24" w:space="3" w:color="auto"/>
      </w:pBdr>
      <w:suppressAutoHyphens/>
      <w:spacing w:before="480" w:line="240" w:lineRule="auto"/>
      <w:contextualSpacing w:val="0"/>
      <w:jc w:val="center"/>
    </w:pPr>
    <w:rPr>
      <w:rFonts w:ascii="Times New Roman Bold" w:hAnsi="Times New Roman Bold"/>
      <w:b/>
      <w:smallCaps/>
      <w:sz w:val="32"/>
      <w:lang w:val="en-US"/>
    </w:rPr>
  </w:style>
  <w:style w:type="paragraph" w:customStyle="1" w:styleId="Head22">
    <w:name w:val="Head 2.2"/>
    <w:basedOn w:val="Normal"/>
    <w:rsid w:val="00C811D2"/>
    <w:pPr>
      <w:tabs>
        <w:tab w:val="left" w:pos="360"/>
      </w:tabs>
      <w:suppressAutoHyphens/>
      <w:spacing w:before="0" w:line="240" w:lineRule="auto"/>
      <w:ind w:left="360" w:hanging="360"/>
      <w:contextualSpacing w:val="0"/>
      <w:jc w:val="left"/>
    </w:pPr>
    <w:rPr>
      <w:b/>
      <w:lang w:val="en-US"/>
    </w:rPr>
  </w:style>
  <w:style w:type="paragraph" w:customStyle="1" w:styleId="HeadB21">
    <w:name w:val="Head B2.1"/>
    <w:basedOn w:val="Normal"/>
    <w:rsid w:val="00C811D2"/>
    <w:pPr>
      <w:suppressAutoHyphens/>
      <w:spacing w:before="0" w:line="240" w:lineRule="auto"/>
      <w:contextualSpacing w:val="0"/>
      <w:jc w:val="center"/>
    </w:pPr>
    <w:rPr>
      <w:b/>
      <w:sz w:val="28"/>
      <w:lang w:val="en-US"/>
    </w:rPr>
  </w:style>
  <w:style w:type="paragraph" w:customStyle="1" w:styleId="HeadB22">
    <w:name w:val="Head B2.2"/>
    <w:basedOn w:val="Normal"/>
    <w:rsid w:val="00C811D2"/>
    <w:pPr>
      <w:suppressAutoHyphens/>
      <w:spacing w:before="0" w:line="240" w:lineRule="auto"/>
      <w:ind w:left="360" w:hanging="360"/>
      <w:contextualSpacing w:val="0"/>
      <w:jc w:val="left"/>
    </w:pPr>
    <w:rPr>
      <w:b/>
      <w:lang w:val="en-US"/>
    </w:rPr>
  </w:style>
  <w:style w:type="paragraph" w:customStyle="1" w:styleId="Head22b">
    <w:name w:val="Head 2.2b"/>
    <w:basedOn w:val="Normal"/>
    <w:rsid w:val="00C811D2"/>
    <w:pPr>
      <w:suppressAutoHyphens/>
      <w:spacing w:before="0" w:line="240" w:lineRule="auto"/>
      <w:ind w:left="360" w:hanging="360"/>
      <w:contextualSpacing w:val="0"/>
      <w:jc w:val="left"/>
    </w:pPr>
    <w:rPr>
      <w:rFonts w:ascii="Tms Rmn" w:hAnsi="Tms Rmn"/>
      <w:b/>
      <w:lang w:val="en-US"/>
    </w:rPr>
  </w:style>
  <w:style w:type="paragraph" w:customStyle="1" w:styleId="Head41">
    <w:name w:val="Head 4.1"/>
    <w:basedOn w:val="Head21"/>
    <w:rsid w:val="00C811D2"/>
  </w:style>
  <w:style w:type="paragraph" w:customStyle="1" w:styleId="Head42">
    <w:name w:val="Head 4.2"/>
    <w:basedOn w:val="Normal"/>
    <w:rsid w:val="00C811D2"/>
    <w:pPr>
      <w:suppressAutoHyphens/>
      <w:spacing w:before="0" w:line="240" w:lineRule="auto"/>
      <w:ind w:left="360" w:hanging="360"/>
      <w:contextualSpacing w:val="0"/>
      <w:jc w:val="left"/>
    </w:pPr>
    <w:rPr>
      <w:b/>
      <w:lang w:val="en-US"/>
    </w:rPr>
  </w:style>
  <w:style w:type="paragraph" w:customStyle="1" w:styleId="Head51">
    <w:name w:val="Head 5.1"/>
    <w:basedOn w:val="Head21"/>
    <w:rsid w:val="00C811D2"/>
    <w:pPr>
      <w:spacing w:after="0"/>
    </w:pPr>
  </w:style>
  <w:style w:type="paragraph" w:customStyle="1" w:styleId="Head52">
    <w:name w:val="Head 5.2"/>
    <w:basedOn w:val="Normal"/>
    <w:rsid w:val="00C811D2"/>
    <w:pPr>
      <w:keepNext/>
      <w:suppressAutoHyphens/>
      <w:spacing w:before="480" w:line="240" w:lineRule="auto"/>
      <w:ind w:left="547" w:hanging="547"/>
      <w:contextualSpacing w:val="0"/>
      <w:jc w:val="center"/>
    </w:pPr>
    <w:rPr>
      <w:b/>
      <w:lang w:val="en-US"/>
    </w:rPr>
  </w:style>
  <w:style w:type="character" w:customStyle="1" w:styleId="DefaultParagraphFo">
    <w:name w:val="Default Paragraph Fo"/>
    <w:rsid w:val="00C811D2"/>
  </w:style>
  <w:style w:type="paragraph" w:customStyle="1" w:styleId="tabletxt">
    <w:name w:val="table_txt"/>
    <w:basedOn w:val="Normal"/>
    <w:rsid w:val="00C811D2"/>
    <w:pPr>
      <w:suppressAutoHyphens/>
      <w:spacing w:before="0" w:line="240" w:lineRule="auto"/>
      <w:contextualSpacing w:val="0"/>
      <w:jc w:val="left"/>
    </w:pPr>
    <w:rPr>
      <w:sz w:val="22"/>
      <w:lang w:val="en-US"/>
    </w:rPr>
  </w:style>
  <w:style w:type="paragraph" w:customStyle="1" w:styleId="explanatorynotes">
    <w:name w:val="explanatory_notes"/>
    <w:basedOn w:val="Normal"/>
    <w:rsid w:val="00C811D2"/>
    <w:pPr>
      <w:suppressAutoHyphens/>
      <w:spacing w:before="0" w:line="360" w:lineRule="exact"/>
      <w:contextualSpacing w:val="0"/>
    </w:pPr>
    <w:rPr>
      <w:rFonts w:ascii="Arial" w:hAnsi="Arial"/>
      <w:sz w:val="22"/>
      <w:lang w:val="en-US"/>
    </w:rPr>
  </w:style>
  <w:style w:type="paragraph" w:customStyle="1" w:styleId="TextBoxdots">
    <w:name w:val="Text Box (dots)"/>
    <w:rsid w:val="00C811D2"/>
    <w:pPr>
      <w:keepNext/>
      <w:keepLines/>
      <w:tabs>
        <w:tab w:val="left" w:pos="-720"/>
      </w:tabs>
      <w:suppressAutoHyphens/>
      <w:spacing w:after="0" w:line="240" w:lineRule="auto"/>
      <w:jc w:val="both"/>
    </w:pPr>
    <w:rPr>
      <w:rFonts w:ascii="Times New Roman" w:eastAsia="Times New Roman" w:hAnsi="Times New Roman" w:cs="Calibri"/>
      <w:spacing w:val="-2"/>
    </w:rPr>
  </w:style>
  <w:style w:type="paragraph" w:customStyle="1" w:styleId="TextBoxUnframed">
    <w:name w:val="Text Box Unframed"/>
    <w:rsid w:val="00C811D2"/>
    <w:pPr>
      <w:keepNext/>
      <w:keepLines/>
      <w:tabs>
        <w:tab w:val="left" w:pos="-720"/>
      </w:tabs>
      <w:suppressAutoHyphens/>
      <w:spacing w:after="0" w:line="240" w:lineRule="auto"/>
    </w:pPr>
    <w:rPr>
      <w:rFonts w:ascii="Times New Roman" w:eastAsia="Times New Roman" w:hAnsi="Times New Roman" w:cs="Calibri"/>
    </w:rPr>
  </w:style>
  <w:style w:type="paragraph" w:customStyle="1" w:styleId="TOC11">
    <w:name w:val="TOC 11"/>
    <w:rsid w:val="00C811D2"/>
    <w:pPr>
      <w:tabs>
        <w:tab w:val="left" w:pos="360"/>
      </w:tabs>
      <w:suppressAutoHyphens/>
      <w:spacing w:after="0" w:line="240" w:lineRule="auto"/>
    </w:pPr>
    <w:rPr>
      <w:rFonts w:ascii="CG Times" w:eastAsia="Times New Roman" w:hAnsi="CG Times" w:cs="Calibri"/>
      <w:smallCaps/>
    </w:rPr>
  </w:style>
  <w:style w:type="paragraph" w:customStyle="1" w:styleId="Heading1a0">
    <w:name w:val="Heading 1a"/>
    <w:rsid w:val="00C811D2"/>
    <w:pPr>
      <w:keepNext/>
      <w:keepLines/>
      <w:tabs>
        <w:tab w:val="left" w:pos="-720"/>
      </w:tabs>
      <w:suppressAutoHyphens/>
      <w:spacing w:after="0" w:line="240" w:lineRule="auto"/>
      <w:jc w:val="center"/>
    </w:pPr>
    <w:rPr>
      <w:rFonts w:ascii="Times New Roman" w:eastAsia="Times New Roman" w:hAnsi="Times New Roman" w:cs="Calibri"/>
      <w:b/>
      <w:smallCaps/>
      <w:sz w:val="32"/>
    </w:rPr>
  </w:style>
  <w:style w:type="character" w:customStyle="1" w:styleId="EquationCaption">
    <w:name w:val="_Equation Caption"/>
    <w:rsid w:val="00C811D2"/>
  </w:style>
  <w:style w:type="paragraph" w:customStyle="1" w:styleId="heading31">
    <w:name w:val="heading 3.1"/>
    <w:basedOn w:val="Head21"/>
    <w:rsid w:val="00C811D2"/>
    <w:pPr>
      <w:pBdr>
        <w:bottom w:val="single" w:sz="30" w:space="6" w:color="auto"/>
      </w:pBdr>
      <w:spacing w:before="960"/>
    </w:pPr>
  </w:style>
  <w:style w:type="paragraph" w:customStyle="1" w:styleId="Head81">
    <w:name w:val="Head 8.1"/>
    <w:basedOn w:val="Titre1"/>
    <w:rsid w:val="00C811D2"/>
    <w:pPr>
      <w:keepNext/>
      <w:suppressAutoHyphens/>
      <w:spacing w:before="480" w:line="240" w:lineRule="auto"/>
      <w:contextualSpacing w:val="0"/>
      <w:jc w:val="center"/>
      <w:outlineLvl w:val="9"/>
    </w:pPr>
    <w:rPr>
      <w:rFonts w:ascii="Times New Roman Bold" w:hAnsi="Times New Roman Bold"/>
      <w:sz w:val="26"/>
      <w:lang w:val="en-US"/>
    </w:rPr>
  </w:style>
  <w:style w:type="paragraph" w:customStyle="1" w:styleId="Head31">
    <w:name w:val="Head 3.1"/>
    <w:basedOn w:val="Head21"/>
    <w:rsid w:val="00C811D2"/>
  </w:style>
  <w:style w:type="paragraph" w:customStyle="1" w:styleId="Head82">
    <w:name w:val="Head 8.2"/>
    <w:basedOn w:val="Head81"/>
    <w:rsid w:val="00C811D2"/>
    <w:rPr>
      <w:smallCaps/>
      <w:sz w:val="28"/>
    </w:rPr>
  </w:style>
  <w:style w:type="paragraph" w:customStyle="1" w:styleId="Head61">
    <w:name w:val="Head 6.1"/>
    <w:basedOn w:val="Head51"/>
    <w:rsid w:val="00C811D2"/>
    <w:pPr>
      <w:pBdr>
        <w:bottom w:val="none" w:sz="0" w:space="0" w:color="auto"/>
      </w:pBdr>
      <w:spacing w:before="0" w:after="240"/>
    </w:pPr>
    <w:rPr>
      <w:caps/>
    </w:rPr>
  </w:style>
  <w:style w:type="paragraph" w:customStyle="1" w:styleId="TOC1a">
    <w:name w:val="TOC 1a"/>
    <w:basedOn w:val="TM1"/>
    <w:rsid w:val="00C811D2"/>
    <w:pPr>
      <w:tabs>
        <w:tab w:val="right" w:leader="dot" w:pos="9000"/>
      </w:tabs>
      <w:suppressAutoHyphens/>
    </w:pPr>
    <w:rPr>
      <w:rFonts w:ascii="Times New Roman Bold" w:hAnsi="Times New Roman Bold" w:cs="Times New Roman"/>
      <w:caps/>
      <w:noProof/>
      <w:szCs w:val="20"/>
      <w:lang w:val="en-US"/>
    </w:rPr>
  </w:style>
  <w:style w:type="paragraph" w:customStyle="1" w:styleId="TOC2a">
    <w:name w:val="TOC 2a"/>
    <w:basedOn w:val="TM2"/>
    <w:rsid w:val="00C811D2"/>
    <w:pPr>
      <w:tabs>
        <w:tab w:val="left" w:pos="480"/>
        <w:tab w:val="left" w:pos="720"/>
        <w:tab w:val="left" w:pos="900"/>
        <w:tab w:val="right" w:leader="dot" w:pos="9000"/>
      </w:tabs>
      <w:suppressAutoHyphens/>
      <w:ind w:left="900" w:hanging="540"/>
    </w:pPr>
    <w:rPr>
      <w:rFonts w:ascii="Times New Roman" w:hAnsi="Times New Roman" w:cs="Times New Roman"/>
      <w:smallCaps/>
      <w:noProof/>
      <w:sz w:val="24"/>
      <w:szCs w:val="20"/>
      <w:lang w:val="en-US"/>
    </w:rPr>
  </w:style>
  <w:style w:type="paragraph" w:customStyle="1" w:styleId="toc1b">
    <w:name w:val="toc 1b"/>
    <w:basedOn w:val="TM1"/>
    <w:rsid w:val="00C811D2"/>
    <w:pPr>
      <w:tabs>
        <w:tab w:val="right" w:leader="dot" w:pos="8136"/>
        <w:tab w:val="right" w:leader="dot" w:pos="9000"/>
      </w:tabs>
      <w:suppressAutoHyphens/>
    </w:pPr>
    <w:rPr>
      <w:rFonts w:ascii="Times New Roman Bold" w:hAnsi="Times New Roman Bold" w:cs="Times New Roman"/>
      <w:caps/>
      <w:noProof/>
      <w:szCs w:val="20"/>
      <w:lang w:val="en-US"/>
    </w:rPr>
  </w:style>
  <w:style w:type="paragraph" w:customStyle="1" w:styleId="TOC2b">
    <w:name w:val="TOC 2b"/>
    <w:basedOn w:val="TM2"/>
    <w:rsid w:val="00C811D2"/>
    <w:pPr>
      <w:tabs>
        <w:tab w:val="left" w:pos="480"/>
        <w:tab w:val="left" w:pos="900"/>
        <w:tab w:val="right" w:leader="dot" w:pos="8136"/>
        <w:tab w:val="right" w:leader="dot" w:pos="9000"/>
      </w:tabs>
      <w:suppressAutoHyphens/>
      <w:ind w:left="900" w:hanging="540"/>
    </w:pPr>
    <w:rPr>
      <w:rFonts w:ascii="Times New Roman" w:hAnsi="Times New Roman" w:cs="Times New Roman"/>
      <w:smallCaps/>
      <w:noProof/>
      <w:sz w:val="24"/>
      <w:szCs w:val="20"/>
      <w:lang w:val="en-US"/>
    </w:rPr>
  </w:style>
  <w:style w:type="paragraph" w:customStyle="1" w:styleId="diagramtxt">
    <w:name w:val="diagram_txt"/>
    <w:basedOn w:val="Normal"/>
    <w:rsid w:val="00C811D2"/>
    <w:pPr>
      <w:spacing w:before="0" w:after="0" w:line="240" w:lineRule="auto"/>
      <w:contextualSpacing w:val="0"/>
      <w:jc w:val="center"/>
    </w:pPr>
    <w:rPr>
      <w:sz w:val="22"/>
      <w:lang w:val="en-US"/>
    </w:rPr>
  </w:style>
  <w:style w:type="paragraph" w:customStyle="1" w:styleId="Indt1">
    <w:name w:val="Indt1"/>
    <w:basedOn w:val="Normal"/>
    <w:rsid w:val="00C811D2"/>
    <w:pPr>
      <w:numPr>
        <w:ilvl w:val="12"/>
      </w:numPr>
      <w:suppressAutoHyphens/>
      <w:spacing w:before="0" w:line="240" w:lineRule="auto"/>
      <w:ind w:left="432" w:right="-72" w:hanging="360"/>
      <w:contextualSpacing w:val="0"/>
    </w:pPr>
    <w:rPr>
      <w:sz w:val="22"/>
      <w:lang w:val="en-US"/>
    </w:rPr>
  </w:style>
  <w:style w:type="paragraph" w:customStyle="1" w:styleId="indt2">
    <w:name w:val="indt2"/>
    <w:basedOn w:val="Normal"/>
    <w:rsid w:val="00C811D2"/>
    <w:pPr>
      <w:numPr>
        <w:ilvl w:val="12"/>
      </w:numPr>
      <w:suppressAutoHyphens/>
      <w:spacing w:before="0" w:line="240" w:lineRule="auto"/>
      <w:ind w:left="619" w:right="-72" w:hanging="360"/>
      <w:contextualSpacing w:val="0"/>
    </w:pPr>
    <w:rPr>
      <w:lang w:val="en-US"/>
    </w:rPr>
  </w:style>
  <w:style w:type="paragraph" w:customStyle="1" w:styleId="Header3-Paragraph">
    <w:name w:val="Header 3 - Paragraph"/>
    <w:basedOn w:val="Normal"/>
    <w:rsid w:val="00C811D2"/>
    <w:pPr>
      <w:numPr>
        <w:ilvl w:val="1"/>
        <w:numId w:val="42"/>
      </w:numPr>
      <w:tabs>
        <w:tab w:val="clear" w:pos="504"/>
        <w:tab w:val="num" w:pos="864"/>
      </w:tabs>
      <w:spacing w:before="0" w:after="200" w:line="240" w:lineRule="auto"/>
      <w:ind w:left="1238" w:hanging="619"/>
      <w:contextualSpacing w:val="0"/>
    </w:pPr>
    <w:rPr>
      <w:lang w:val="en-US"/>
    </w:rPr>
  </w:style>
  <w:style w:type="paragraph" w:customStyle="1" w:styleId="Outline2">
    <w:name w:val="Outline2"/>
    <w:basedOn w:val="Normal"/>
    <w:rsid w:val="00C811D2"/>
    <w:pPr>
      <w:numPr>
        <w:numId w:val="43"/>
      </w:numPr>
      <w:tabs>
        <w:tab w:val="clear" w:pos="360"/>
        <w:tab w:val="num" w:pos="720"/>
      </w:tabs>
      <w:spacing w:after="0" w:line="240" w:lineRule="auto"/>
      <w:ind w:left="720"/>
      <w:contextualSpacing w:val="0"/>
      <w:jc w:val="left"/>
    </w:pPr>
    <w:rPr>
      <w:kern w:val="28"/>
      <w:lang w:val="en-US"/>
    </w:rPr>
  </w:style>
  <w:style w:type="character" w:customStyle="1" w:styleId="Table">
    <w:name w:val="Table"/>
    <w:rsid w:val="00C811D2"/>
    <w:rPr>
      <w:rFonts w:ascii="Times New Roman" w:hAnsi="Times New Roman"/>
      <w:dstrike w:val="0"/>
      <w:color w:val="auto"/>
      <w:sz w:val="24"/>
      <w:vertAlign w:val="baseline"/>
    </w:rPr>
  </w:style>
  <w:style w:type="paragraph" w:customStyle="1" w:styleId="ITBClauseHeader">
    <w:name w:val="ITB Clause Header"/>
    <w:basedOn w:val="Normal"/>
    <w:rsid w:val="00C811D2"/>
    <w:pPr>
      <w:keepNext/>
      <w:keepLines/>
      <w:numPr>
        <w:numId w:val="41"/>
      </w:numPr>
      <w:spacing w:line="240" w:lineRule="auto"/>
      <w:contextualSpacing w:val="0"/>
      <w:jc w:val="left"/>
      <w:outlineLvl w:val="1"/>
    </w:pPr>
    <w:rPr>
      <w:b/>
      <w:lang w:val="en-US"/>
    </w:rPr>
  </w:style>
  <w:style w:type="paragraph" w:customStyle="1" w:styleId="ITBSub-Clause">
    <w:name w:val="ITB Sub-Clause"/>
    <w:basedOn w:val="Normal"/>
    <w:rsid w:val="00C811D2"/>
    <w:pPr>
      <w:numPr>
        <w:ilvl w:val="1"/>
        <w:numId w:val="41"/>
      </w:numPr>
      <w:tabs>
        <w:tab w:val="clear" w:pos="504"/>
        <w:tab w:val="left" w:pos="1440"/>
      </w:tabs>
      <w:spacing w:before="0" w:after="200" w:line="240" w:lineRule="auto"/>
      <w:ind w:left="1440" w:hanging="684"/>
      <w:contextualSpacing w:val="0"/>
    </w:pPr>
    <w:rPr>
      <w:lang w:val="en-US"/>
    </w:rPr>
  </w:style>
  <w:style w:type="paragraph" w:customStyle="1" w:styleId="ITBSub-ClauseaList">
    <w:name w:val="ITB Sub-Clause (a) List"/>
    <w:basedOn w:val="Normal"/>
    <w:rsid w:val="00C811D2"/>
    <w:pPr>
      <w:numPr>
        <w:ilvl w:val="2"/>
        <w:numId w:val="41"/>
      </w:numPr>
      <w:tabs>
        <w:tab w:val="clear" w:pos="936"/>
        <w:tab w:val="num" w:pos="1980"/>
        <w:tab w:val="left" w:pos="2430"/>
      </w:tabs>
      <w:spacing w:before="0" w:after="160" w:line="240" w:lineRule="auto"/>
      <w:ind w:left="1980" w:hanging="522"/>
      <w:contextualSpacing w:val="0"/>
    </w:pPr>
    <w:rPr>
      <w:lang w:val="en-US"/>
    </w:rPr>
  </w:style>
  <w:style w:type="paragraph" w:customStyle="1" w:styleId="ITBSub-ClauseiListinITBGCC">
    <w:name w:val="ITB Sub-Clause (i) List in ITB &amp; GCC"/>
    <w:basedOn w:val="ITBSub-ClauseaList"/>
    <w:rsid w:val="00C811D2"/>
    <w:pPr>
      <w:numPr>
        <w:ilvl w:val="3"/>
      </w:numPr>
      <w:tabs>
        <w:tab w:val="clear" w:pos="1656"/>
        <w:tab w:val="clear" w:pos="2430"/>
        <w:tab w:val="num" w:pos="360"/>
        <w:tab w:val="left" w:pos="2520"/>
        <w:tab w:val="num" w:pos="2700"/>
        <w:tab w:val="left" w:pos="3060"/>
      </w:tabs>
      <w:ind w:left="2520"/>
    </w:pPr>
  </w:style>
  <w:style w:type="paragraph" w:customStyle="1" w:styleId="BDSText">
    <w:name w:val="BDS Text"/>
    <w:basedOn w:val="Normal"/>
    <w:rsid w:val="00C811D2"/>
    <w:pPr>
      <w:tabs>
        <w:tab w:val="right" w:pos="7272"/>
      </w:tabs>
      <w:spacing w:line="240" w:lineRule="auto"/>
      <w:contextualSpacing w:val="0"/>
    </w:pPr>
    <w:rPr>
      <w:lang w:val="en-US"/>
    </w:rPr>
  </w:style>
  <w:style w:type="paragraph" w:customStyle="1" w:styleId="BDSsubclause1">
    <w:name w:val="BDS subclause(1)"/>
    <w:basedOn w:val="ITBSub-ClauseiListinITBGCC"/>
    <w:rsid w:val="00C811D2"/>
    <w:pPr>
      <w:tabs>
        <w:tab w:val="clear" w:pos="360"/>
        <w:tab w:val="clear" w:pos="2520"/>
        <w:tab w:val="clear" w:pos="2700"/>
        <w:tab w:val="left" w:pos="657"/>
        <w:tab w:val="num" w:pos="1656"/>
      </w:tabs>
      <w:ind w:left="657" w:hanging="630"/>
    </w:pPr>
  </w:style>
  <w:style w:type="paragraph" w:customStyle="1" w:styleId="CommentTextContd">
    <w:name w:val="Comment Text Contd"/>
    <w:basedOn w:val="Corpsdetexte"/>
    <w:rsid w:val="00C811D2"/>
    <w:pPr>
      <w:keepLines/>
      <w:tabs>
        <w:tab w:val="left" w:pos="0"/>
        <w:tab w:val="left" w:pos="1152"/>
        <w:tab w:val="left" w:pos="2016"/>
      </w:tabs>
      <w:spacing w:line="240" w:lineRule="auto"/>
      <w:ind w:left="864"/>
      <w:contextualSpacing w:val="0"/>
    </w:pPr>
    <w:rPr>
      <w:rFonts w:ascii="Arial" w:hAnsi="Arial"/>
      <w:sz w:val="22"/>
      <w:lang w:val="en-US"/>
    </w:rPr>
  </w:style>
  <w:style w:type="paragraph" w:customStyle="1" w:styleId="SectionVHeader">
    <w:name w:val="Section V. Header"/>
    <w:basedOn w:val="Normal"/>
    <w:uiPriority w:val="99"/>
    <w:rsid w:val="00C811D2"/>
    <w:pPr>
      <w:spacing w:before="0" w:line="240" w:lineRule="auto"/>
      <w:contextualSpacing w:val="0"/>
      <w:jc w:val="center"/>
      <w:outlineLvl w:val="2"/>
    </w:pPr>
    <w:rPr>
      <w:b/>
      <w:sz w:val="36"/>
      <w:lang w:val="en-US"/>
    </w:rPr>
  </w:style>
  <w:style w:type="paragraph" w:customStyle="1" w:styleId="SCCRefSuba">
    <w:name w:val="SCC Ref Sub(a)"/>
    <w:basedOn w:val="Normal"/>
    <w:rsid w:val="00C811D2"/>
    <w:pPr>
      <w:tabs>
        <w:tab w:val="left" w:pos="1440"/>
        <w:tab w:val="left" w:pos="8640"/>
      </w:tabs>
      <w:spacing w:before="240" w:line="240" w:lineRule="auto"/>
      <w:ind w:left="1454" w:hanging="907"/>
      <w:contextualSpacing w:val="0"/>
    </w:pPr>
    <w:rPr>
      <w:bCs/>
      <w:lang w:val="en-US"/>
    </w:rPr>
  </w:style>
  <w:style w:type="character" w:customStyle="1" w:styleId="PreparersOption">
    <w:name w:val="Preparer's Option"/>
    <w:rsid w:val="00C811D2"/>
    <w:rPr>
      <w:rFonts w:ascii="Times New Roman" w:hAnsi="Times New Roman"/>
      <w:b/>
      <w:bCs/>
      <w:i/>
      <w:iCs/>
      <w:sz w:val="24"/>
    </w:rPr>
  </w:style>
  <w:style w:type="paragraph" w:customStyle="1" w:styleId="techspecspara">
    <w:name w:val="techspecs para"/>
    <w:basedOn w:val="Normal"/>
    <w:rsid w:val="00C811D2"/>
    <w:pPr>
      <w:tabs>
        <w:tab w:val="left" w:pos="1872"/>
      </w:tabs>
      <w:spacing w:before="0" w:after="200" w:line="240" w:lineRule="auto"/>
      <w:contextualSpacing w:val="0"/>
      <w:outlineLvl w:val="3"/>
    </w:pPr>
    <w:rPr>
      <w:lang w:val="en-US"/>
    </w:rPr>
  </w:style>
  <w:style w:type="character" w:customStyle="1" w:styleId="Preparersnotenobold">
    <w:name w:val="Preparer's note (no bold)"/>
    <w:rsid w:val="00C811D2"/>
    <w:rPr>
      <w:i/>
    </w:rPr>
  </w:style>
  <w:style w:type="paragraph" w:styleId="Liste2">
    <w:name w:val="List 2"/>
    <w:basedOn w:val="Normal"/>
    <w:rsid w:val="00C811D2"/>
    <w:pPr>
      <w:spacing w:before="0" w:after="0" w:line="240" w:lineRule="auto"/>
      <w:ind w:left="720" w:hanging="360"/>
      <w:contextualSpacing w:val="0"/>
      <w:jc w:val="left"/>
    </w:pPr>
    <w:rPr>
      <w:szCs w:val="24"/>
      <w:lang w:val="en-US"/>
    </w:rPr>
  </w:style>
  <w:style w:type="paragraph" w:styleId="Liste3">
    <w:name w:val="List 3"/>
    <w:basedOn w:val="Normal"/>
    <w:rsid w:val="00C811D2"/>
    <w:pPr>
      <w:spacing w:before="0" w:after="0" w:line="240" w:lineRule="auto"/>
      <w:ind w:left="1080" w:hanging="360"/>
      <w:contextualSpacing w:val="0"/>
      <w:jc w:val="left"/>
    </w:pPr>
    <w:rPr>
      <w:szCs w:val="24"/>
      <w:lang w:val="en-US"/>
    </w:rPr>
  </w:style>
  <w:style w:type="paragraph" w:styleId="Retraitcorpset1relig">
    <w:name w:val="Body Text First Indent 2"/>
    <w:basedOn w:val="Retraitcorpsdetexte"/>
    <w:link w:val="Retraitcorpset1religCar"/>
    <w:rsid w:val="00C811D2"/>
    <w:pPr>
      <w:ind w:left="360" w:firstLine="210"/>
    </w:pPr>
    <w:rPr>
      <w:rFonts w:ascii="Times New Roman" w:hAnsi="Times New Roman" w:cs="Times New Roman"/>
      <w:sz w:val="24"/>
      <w:lang w:val="en-US"/>
    </w:rPr>
  </w:style>
  <w:style w:type="character" w:customStyle="1" w:styleId="Retraitcorpset1religCar">
    <w:name w:val="Retrait corps et 1re lig. Car"/>
    <w:basedOn w:val="RetraitcorpsdetexteCar"/>
    <w:link w:val="Retraitcorpset1relig"/>
    <w:rsid w:val="00C811D2"/>
    <w:rPr>
      <w:rFonts w:ascii="Times New Roman" w:eastAsia="Times New Roman" w:hAnsi="Times New Roman" w:cs="Times New Roman"/>
      <w:sz w:val="24"/>
      <w:szCs w:val="24"/>
      <w:lang w:val="en-AU"/>
    </w:rPr>
  </w:style>
  <w:style w:type="paragraph" w:customStyle="1" w:styleId="SBDBase">
    <w:name w:val="SBD Base"/>
    <w:rsid w:val="00C811D2"/>
    <w:pPr>
      <w:spacing w:after="0" w:line="240" w:lineRule="auto"/>
      <w:jc w:val="both"/>
    </w:pPr>
    <w:rPr>
      <w:rFonts w:ascii="Times New Roman" w:eastAsia="Times New Roman" w:hAnsi="Times New Roman" w:cs="Calibri"/>
      <w:sz w:val="24"/>
    </w:rPr>
  </w:style>
  <w:style w:type="paragraph" w:customStyle="1" w:styleId="Heading2">
    <w:name w:val="Heading2"/>
    <w:basedOn w:val="Titre1"/>
    <w:rsid w:val="00C811D2"/>
    <w:pPr>
      <w:keepNext/>
      <w:tabs>
        <w:tab w:val="num" w:pos="576"/>
      </w:tabs>
      <w:spacing w:before="240" w:after="60" w:line="240" w:lineRule="auto"/>
      <w:ind w:left="576" w:hanging="576"/>
      <w:contextualSpacing w:val="0"/>
      <w:jc w:val="center"/>
    </w:pPr>
    <w:rPr>
      <w:rFonts w:ascii="Arial" w:hAnsi="Arial" w:cs="Arial"/>
      <w:bCs/>
      <w:kern w:val="32"/>
      <w:sz w:val="26"/>
      <w:szCs w:val="24"/>
      <w:lang w:val="en-US"/>
    </w:rPr>
  </w:style>
  <w:style w:type="paragraph" w:customStyle="1" w:styleId="TxBrc6">
    <w:name w:val="TxBr_c6"/>
    <w:basedOn w:val="Normal"/>
    <w:rsid w:val="00C811D2"/>
    <w:pPr>
      <w:widowControl w:val="0"/>
      <w:autoSpaceDE w:val="0"/>
      <w:autoSpaceDN w:val="0"/>
      <w:adjustRightInd w:val="0"/>
      <w:spacing w:before="0" w:after="0" w:line="240" w:lineRule="atLeast"/>
      <w:contextualSpacing w:val="0"/>
      <w:jc w:val="center"/>
    </w:pPr>
    <w:rPr>
      <w:sz w:val="20"/>
      <w:szCs w:val="24"/>
      <w:lang w:val="en-US"/>
    </w:rPr>
  </w:style>
  <w:style w:type="character" w:customStyle="1" w:styleId="a9">
    <w:name w:val="a"/>
    <w:rsid w:val="00C811D2"/>
  </w:style>
  <w:style w:type="paragraph" w:customStyle="1" w:styleId="tty80">
    <w:name w:val="tty80"/>
    <w:basedOn w:val="Normal"/>
    <w:rsid w:val="00C811D2"/>
    <w:pPr>
      <w:spacing w:before="0" w:line="240" w:lineRule="auto"/>
      <w:contextualSpacing w:val="0"/>
    </w:pPr>
    <w:rPr>
      <w:rFonts w:ascii="Courier New" w:hAnsi="Courier New"/>
      <w:sz w:val="22"/>
      <w:lang w:val="en-US"/>
    </w:rPr>
  </w:style>
  <w:style w:type="paragraph" w:customStyle="1" w:styleId="Pa1">
    <w:name w:val="Pa1"/>
    <w:basedOn w:val="Normal"/>
    <w:next w:val="Normal"/>
    <w:uiPriority w:val="99"/>
    <w:rsid w:val="00C811D2"/>
    <w:pPr>
      <w:autoSpaceDE w:val="0"/>
      <w:autoSpaceDN w:val="0"/>
      <w:adjustRightInd w:val="0"/>
      <w:spacing w:before="0" w:after="0" w:line="240" w:lineRule="atLeast"/>
      <w:contextualSpacing w:val="0"/>
      <w:jc w:val="left"/>
    </w:pPr>
    <w:rPr>
      <w:rFonts w:ascii="Book Antiqua" w:eastAsia="Calibri" w:hAnsi="Book Antiqua"/>
      <w:szCs w:val="24"/>
      <w:lang w:val="en-US"/>
    </w:rPr>
  </w:style>
  <w:style w:type="paragraph" w:customStyle="1" w:styleId="xl63">
    <w:name w:val="xl63"/>
    <w:basedOn w:val="Normal"/>
    <w:rsid w:val="00C811D2"/>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pPr>
    <w:rPr>
      <w:szCs w:val="24"/>
      <w:lang w:val="en-US"/>
    </w:rPr>
  </w:style>
  <w:style w:type="paragraph" w:customStyle="1" w:styleId="xl64">
    <w:name w:val="xl64"/>
    <w:basedOn w:val="Normal"/>
    <w:rsid w:val="00C811D2"/>
    <w:pPr>
      <w:spacing w:before="100" w:beforeAutospacing="1" w:after="100" w:afterAutospacing="1" w:line="240" w:lineRule="auto"/>
      <w:contextualSpacing w:val="0"/>
      <w:jc w:val="left"/>
    </w:pPr>
    <w:rPr>
      <w:sz w:val="18"/>
      <w:szCs w:val="18"/>
      <w:lang w:val="en-US"/>
    </w:rPr>
  </w:style>
  <w:style w:type="paragraph" w:customStyle="1" w:styleId="xl84">
    <w:name w:val="xl84"/>
    <w:basedOn w:val="Normal"/>
    <w:rsid w:val="00C811D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contextualSpacing w:val="0"/>
      <w:jc w:val="left"/>
    </w:pPr>
    <w:rPr>
      <w:b/>
      <w:bCs/>
      <w:sz w:val="20"/>
      <w:lang w:val="en-US"/>
    </w:rPr>
  </w:style>
  <w:style w:type="paragraph" w:customStyle="1" w:styleId="xl85">
    <w:name w:val="xl85"/>
    <w:basedOn w:val="Normal"/>
    <w:rsid w:val="00C811D2"/>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pPr>
    <w:rPr>
      <w:b/>
      <w:bCs/>
      <w:szCs w:val="24"/>
      <w:lang w:val="en-US"/>
    </w:rPr>
  </w:style>
  <w:style w:type="paragraph" w:customStyle="1" w:styleId="xl86">
    <w:name w:val="xl86"/>
    <w:basedOn w:val="Normal"/>
    <w:rsid w:val="00C811D2"/>
    <w:pPr>
      <w:pBdr>
        <w:bottom w:val="single" w:sz="4" w:space="0" w:color="auto"/>
      </w:pBdr>
      <w:spacing w:before="100" w:beforeAutospacing="1" w:after="100" w:afterAutospacing="1" w:line="240" w:lineRule="auto"/>
      <w:contextualSpacing w:val="0"/>
      <w:jc w:val="center"/>
    </w:pPr>
    <w:rPr>
      <w:b/>
      <w:bCs/>
      <w:sz w:val="28"/>
      <w:szCs w:val="28"/>
      <w:lang w:val="en-US"/>
    </w:rPr>
  </w:style>
  <w:style w:type="paragraph" w:customStyle="1" w:styleId="xl87">
    <w:name w:val="xl87"/>
    <w:basedOn w:val="Normal"/>
    <w:rsid w:val="00C811D2"/>
    <w:pPr>
      <w:pBdr>
        <w:top w:val="single" w:sz="4" w:space="0" w:color="auto"/>
        <w:left w:val="single" w:sz="4" w:space="0" w:color="auto"/>
        <w:bottom w:val="single" w:sz="4" w:space="0" w:color="auto"/>
      </w:pBdr>
      <w:spacing w:before="100" w:beforeAutospacing="1" w:after="100" w:afterAutospacing="1" w:line="240" w:lineRule="auto"/>
      <w:contextualSpacing w:val="0"/>
      <w:jc w:val="center"/>
    </w:pPr>
    <w:rPr>
      <w:b/>
      <w:bCs/>
      <w:szCs w:val="24"/>
      <w:lang w:val="en-US"/>
    </w:rPr>
  </w:style>
  <w:style w:type="paragraph" w:customStyle="1" w:styleId="xl88">
    <w:name w:val="xl88"/>
    <w:basedOn w:val="Normal"/>
    <w:rsid w:val="00C811D2"/>
    <w:pPr>
      <w:pBdr>
        <w:top w:val="single" w:sz="4" w:space="0" w:color="auto"/>
        <w:bottom w:val="single" w:sz="4" w:space="0" w:color="auto"/>
      </w:pBdr>
      <w:spacing w:before="100" w:beforeAutospacing="1" w:after="100" w:afterAutospacing="1" w:line="240" w:lineRule="auto"/>
      <w:contextualSpacing w:val="0"/>
      <w:jc w:val="center"/>
    </w:pPr>
    <w:rPr>
      <w:b/>
      <w:bCs/>
      <w:szCs w:val="24"/>
      <w:lang w:val="en-US"/>
    </w:rPr>
  </w:style>
  <w:style w:type="paragraph" w:customStyle="1" w:styleId="xl89">
    <w:name w:val="xl89"/>
    <w:basedOn w:val="Normal"/>
    <w:rsid w:val="00C811D2"/>
    <w:pPr>
      <w:pBdr>
        <w:top w:val="single" w:sz="4" w:space="0" w:color="auto"/>
        <w:bottom w:val="single" w:sz="4" w:space="0" w:color="auto"/>
        <w:right w:val="single" w:sz="4" w:space="0" w:color="auto"/>
      </w:pBdr>
      <w:spacing w:before="100" w:beforeAutospacing="1" w:after="100" w:afterAutospacing="1" w:line="240" w:lineRule="auto"/>
      <w:contextualSpacing w:val="0"/>
      <w:jc w:val="center"/>
    </w:pPr>
    <w:rPr>
      <w:b/>
      <w:bCs/>
      <w:szCs w:val="24"/>
      <w:lang w:val="en-US"/>
    </w:rPr>
  </w:style>
  <w:style w:type="paragraph" w:customStyle="1" w:styleId="NumberBullet">
    <w:name w:val="Number Bullet"/>
    <w:basedOn w:val="Normal"/>
    <w:rsid w:val="00C811D2"/>
    <w:pPr>
      <w:numPr>
        <w:numId w:val="44"/>
      </w:numPr>
      <w:spacing w:before="60" w:after="60" w:line="240" w:lineRule="auto"/>
      <w:contextualSpacing w:val="0"/>
      <w:jc w:val="left"/>
    </w:pPr>
    <w:rPr>
      <w:rFonts w:ascii="Arial" w:hAnsi="Arial"/>
      <w:sz w:val="22"/>
      <w:szCs w:val="24"/>
    </w:rPr>
  </w:style>
  <w:style w:type="table" w:styleId="Grillemoyenne1-Accent6">
    <w:name w:val="Medium Grid 1 Accent 6"/>
    <w:basedOn w:val="TableauNormal"/>
    <w:uiPriority w:val="67"/>
    <w:rsid w:val="00C811D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1">
    <w:name w:val="표-점"/>
    <w:basedOn w:val="aa"/>
    <w:qFormat/>
    <w:rsid w:val="00C811D2"/>
    <w:pPr>
      <w:numPr>
        <w:numId w:val="51"/>
      </w:numPr>
      <w:ind w:leftChars="0" w:left="0"/>
    </w:pPr>
  </w:style>
  <w:style w:type="table" w:styleId="Grilleclaire-Accent6">
    <w:name w:val="Light Grid Accent 6"/>
    <w:basedOn w:val="TableauNormal"/>
    <w:uiPriority w:val="62"/>
    <w:rsid w:val="00C811D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rillemoyenne2-Accent5">
    <w:name w:val="Medium Grid 2 Accent 5"/>
    <w:basedOn w:val="TableauNormal"/>
    <w:uiPriority w:val="68"/>
    <w:rsid w:val="00C811D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11">
    <w:name w:val="연한 눈금 - 강조색 11"/>
    <w:basedOn w:val="TableauNormal"/>
    <w:uiPriority w:val="62"/>
    <w:rsid w:val="00C811D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
    <w:name w:val="표 구분선1"/>
    <w:basedOn w:val="TableauNormal"/>
    <w:next w:val="Grilledutableau"/>
    <w:rsid w:val="00C811D2"/>
    <w:pPr>
      <w:widowControl w:val="0"/>
      <w:wordWrap w:val="0"/>
      <w:autoSpaceDE w:val="0"/>
      <w:autoSpaceDN w:val="0"/>
      <w:spacing w:after="0" w:line="240" w:lineRule="auto"/>
      <w:jc w:val="both"/>
    </w:pPr>
    <w:rPr>
      <w:rFonts w:ascii="Times New Roman" w:eastAsia="Batang" w:hAnsi="Times New Roman" w:cs="Times New Roman"/>
      <w:sz w:val="20"/>
      <w:szCs w:val="20"/>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0">
    <w:name w:val="스타일 다단계 번호 매기기"/>
    <w:basedOn w:val="Aucuneliste"/>
    <w:rsid w:val="00C811D2"/>
    <w:pPr>
      <w:numPr>
        <w:numId w:val="45"/>
      </w:numPr>
    </w:pPr>
  </w:style>
  <w:style w:type="paragraph" w:customStyle="1" w:styleId="aa">
    <w:name w:val="표 머리"/>
    <w:basedOn w:val="Normal"/>
    <w:rsid w:val="00C811D2"/>
    <w:pPr>
      <w:widowControl w:val="0"/>
      <w:wordWrap w:val="0"/>
      <w:topLinePunct/>
      <w:autoSpaceDE w:val="0"/>
      <w:autoSpaceDN w:val="0"/>
      <w:spacing w:before="0" w:after="0" w:line="240" w:lineRule="auto"/>
      <w:ind w:leftChars="264" w:left="264"/>
      <w:jc w:val="center"/>
    </w:pPr>
    <w:rPr>
      <w:rFonts w:ascii="GulimChe" w:eastAsia="GulimChe" w:hAnsi="GulimChe" w:cs="Batang"/>
      <w:kern w:val="2"/>
      <w:sz w:val="20"/>
      <w:lang w:val="en-US" w:eastAsia="ko-KR"/>
    </w:rPr>
  </w:style>
  <w:style w:type="character" w:customStyle="1" w:styleId="-3">
    <w:name w:val="표-본문"/>
    <w:basedOn w:val="Policepardfaut"/>
    <w:rsid w:val="00C811D2"/>
    <w:rPr>
      <w:sz w:val="24"/>
      <w:szCs w:val="24"/>
    </w:rPr>
  </w:style>
  <w:style w:type="table" w:customStyle="1" w:styleId="1-11">
    <w:name w:val="중간 음영 1 - 강조색 11"/>
    <w:basedOn w:val="TableauNormal"/>
    <w:uiPriority w:val="63"/>
    <w:rsid w:val="00C811D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2">
    <w:name w:val="글본문2"/>
    <w:basedOn w:val="Normal"/>
    <w:link w:val="2Char"/>
    <w:rsid w:val="00C811D2"/>
    <w:pPr>
      <w:widowControl w:val="0"/>
      <w:wordWrap w:val="0"/>
      <w:topLinePunct/>
      <w:spacing w:line="360" w:lineRule="auto"/>
      <w:ind w:leftChars="225" w:left="540"/>
    </w:pPr>
    <w:rPr>
      <w:rFonts w:eastAsiaTheme="minorEastAsia"/>
      <w:sz w:val="26"/>
      <w:szCs w:val="26"/>
      <w:lang w:val="en-US" w:eastAsia="ko-KR"/>
    </w:rPr>
  </w:style>
  <w:style w:type="character" w:customStyle="1" w:styleId="2Char">
    <w:name w:val="글본문2 Char"/>
    <w:basedOn w:val="Policepardfaut"/>
    <w:link w:val="2"/>
    <w:rsid w:val="00C811D2"/>
    <w:rPr>
      <w:rFonts w:ascii="Times New Roman" w:eastAsiaTheme="minorEastAsia" w:hAnsi="Times New Roman" w:cs="Times New Roman"/>
      <w:sz w:val="26"/>
      <w:szCs w:val="26"/>
      <w:lang w:eastAsia="ko-KR"/>
    </w:rPr>
  </w:style>
  <w:style w:type="paragraph" w:customStyle="1" w:styleId="a6">
    <w:name w:val="동그라미"/>
    <w:basedOn w:val="Normal10"/>
    <w:qFormat/>
    <w:rsid w:val="00C811D2"/>
    <w:pPr>
      <w:numPr>
        <w:numId w:val="47"/>
      </w:numPr>
      <w:tabs>
        <w:tab w:val="num" w:pos="360"/>
        <w:tab w:val="num" w:pos="720"/>
      </w:tabs>
      <w:ind w:left="648" w:hanging="288"/>
    </w:pPr>
    <w:rPr>
      <w:sz w:val="24"/>
      <w:szCs w:val="24"/>
    </w:rPr>
  </w:style>
  <w:style w:type="paragraph" w:customStyle="1" w:styleId="ab">
    <w:name w:val="그림"/>
    <w:basedOn w:val="Lgende"/>
    <w:qFormat/>
    <w:rsid w:val="00C811D2"/>
    <w:pPr>
      <w:keepNext/>
      <w:widowControl w:val="0"/>
      <w:wordWrap w:val="0"/>
      <w:topLinePunct/>
      <w:spacing w:before="0" w:after="60" w:line="200" w:lineRule="exact"/>
      <w:ind w:leftChars="264" w:left="264"/>
      <w:jc w:val="center"/>
      <w:outlineLvl w:val="0"/>
    </w:pPr>
    <w:rPr>
      <w:color w:val="auto"/>
      <w:kern w:val="12"/>
      <w:sz w:val="24"/>
      <w:szCs w:val="24"/>
      <w:lang w:val="en-GB" w:eastAsia="ko-KR"/>
    </w:rPr>
  </w:style>
  <w:style w:type="paragraph" w:customStyle="1" w:styleId="5">
    <w:name w:val="목차5몬문"/>
    <w:basedOn w:val="a6"/>
    <w:qFormat/>
    <w:rsid w:val="00C811D2"/>
    <w:pPr>
      <w:numPr>
        <w:numId w:val="0"/>
      </w:numPr>
      <w:tabs>
        <w:tab w:val="num" w:pos="720"/>
      </w:tabs>
      <w:ind w:leftChars="192" w:left="422"/>
    </w:pPr>
  </w:style>
  <w:style w:type="paragraph" w:customStyle="1" w:styleId="6-">
    <w:name w:val="목차6 -"/>
    <w:basedOn w:val="Normal"/>
    <w:qFormat/>
    <w:rsid w:val="00C811D2"/>
    <w:pPr>
      <w:widowControl w:val="0"/>
      <w:numPr>
        <w:ilvl w:val="3"/>
        <w:numId w:val="48"/>
      </w:numPr>
      <w:wordWrap w:val="0"/>
      <w:topLinePunct/>
      <w:spacing w:before="0" w:after="0" w:line="288" w:lineRule="auto"/>
      <w:ind w:leftChars="264" w:left="1134" w:hanging="283"/>
      <w:outlineLvl w:val="0"/>
    </w:pPr>
    <w:rPr>
      <w:rFonts w:eastAsiaTheme="minorEastAsia"/>
      <w:szCs w:val="24"/>
      <w:lang w:val="en-US" w:eastAsia="ko-KR"/>
    </w:rPr>
  </w:style>
  <w:style w:type="paragraph" w:customStyle="1" w:styleId="normaltext">
    <w:name w:val="normal text"/>
    <w:basedOn w:val="Normal"/>
    <w:link w:val="normaltextChar"/>
    <w:qFormat/>
    <w:rsid w:val="00C811D2"/>
    <w:pPr>
      <w:widowControl w:val="0"/>
      <w:wordWrap w:val="0"/>
      <w:topLinePunct/>
      <w:spacing w:before="0" w:after="0" w:line="312" w:lineRule="auto"/>
      <w:ind w:firstLine="720"/>
      <w:contextualSpacing w:val="0"/>
    </w:pPr>
    <w:rPr>
      <w:rFonts w:eastAsia="Batang"/>
      <w:sz w:val="26"/>
      <w:szCs w:val="26"/>
      <w:lang w:val="en-US" w:eastAsia="ko-KR"/>
    </w:rPr>
  </w:style>
  <w:style w:type="character" w:customStyle="1" w:styleId="normaltextChar">
    <w:name w:val="normal text Char"/>
    <w:basedOn w:val="Policepardfaut"/>
    <w:link w:val="normaltext"/>
    <w:rsid w:val="00C811D2"/>
    <w:rPr>
      <w:rFonts w:ascii="Times New Roman" w:eastAsia="Batang" w:hAnsi="Times New Roman" w:cs="Times New Roman"/>
      <w:sz w:val="26"/>
      <w:szCs w:val="26"/>
      <w:lang w:eastAsia="ko-KR"/>
    </w:rPr>
  </w:style>
  <w:style w:type="paragraph" w:customStyle="1" w:styleId="paraindent">
    <w:name w:val="para_indent"/>
    <w:link w:val="paraindentChar"/>
    <w:qFormat/>
    <w:rsid w:val="00C811D2"/>
    <w:pPr>
      <w:numPr>
        <w:numId w:val="49"/>
      </w:numPr>
      <w:spacing w:after="0" w:line="312" w:lineRule="auto"/>
      <w:contextualSpacing/>
      <w:jc w:val="both"/>
    </w:pPr>
    <w:rPr>
      <w:rFonts w:ascii="Times New Roman" w:eastAsia="Times New Roman" w:hAnsi="Times New Roman" w:cs="Times New Roman"/>
      <w:sz w:val="26"/>
      <w:szCs w:val="26"/>
      <w:lang w:val="en-AU" w:eastAsia="ko-KR"/>
    </w:rPr>
  </w:style>
  <w:style w:type="character" w:customStyle="1" w:styleId="paraindentChar">
    <w:name w:val="para_indent Char"/>
    <w:basedOn w:val="ParagraphedelisteCar"/>
    <w:link w:val="paraindent"/>
    <w:rsid w:val="00C811D2"/>
    <w:rPr>
      <w:rFonts w:ascii="Times New Roman" w:eastAsia="Times New Roman" w:hAnsi="Times New Roman" w:cs="Times New Roman"/>
      <w:sz w:val="26"/>
      <w:szCs w:val="26"/>
      <w:lang w:val="en-AU" w:eastAsia="ko-KR"/>
    </w:rPr>
  </w:style>
  <w:style w:type="paragraph" w:customStyle="1" w:styleId="a1">
    <w:name w:val="본문점"/>
    <w:basedOn w:val="Paragraphedeliste"/>
    <w:qFormat/>
    <w:rsid w:val="00C811D2"/>
    <w:pPr>
      <w:widowControl w:val="0"/>
      <w:numPr>
        <w:numId w:val="50"/>
      </w:numPr>
      <w:wordWrap w:val="0"/>
      <w:topLinePunct/>
      <w:spacing w:before="0" w:line="360" w:lineRule="auto"/>
      <w:outlineLvl w:val="0"/>
    </w:pPr>
    <w:rPr>
      <w:rFonts w:eastAsiaTheme="minorEastAsia"/>
      <w:sz w:val="26"/>
      <w:szCs w:val="26"/>
      <w:lang w:val="en-US" w:eastAsia="ko-KR"/>
    </w:rPr>
  </w:style>
  <w:style w:type="paragraph" w:customStyle="1" w:styleId="abc">
    <w:name w:val="abc"/>
    <w:basedOn w:val="Paragraphedeliste"/>
    <w:link w:val="abcChar"/>
    <w:qFormat/>
    <w:rsid w:val="00C811D2"/>
    <w:pPr>
      <w:widowControl w:val="0"/>
      <w:numPr>
        <w:numId w:val="52"/>
      </w:numPr>
      <w:wordWrap w:val="0"/>
      <w:topLinePunct/>
      <w:spacing w:line="312" w:lineRule="auto"/>
    </w:pPr>
    <w:rPr>
      <w:rFonts w:eastAsia="Batang"/>
      <w:b/>
      <w:sz w:val="26"/>
      <w:szCs w:val="26"/>
      <w:lang w:eastAsia="ko-KR"/>
    </w:rPr>
  </w:style>
  <w:style w:type="character" w:customStyle="1" w:styleId="abcChar">
    <w:name w:val="abc Char"/>
    <w:basedOn w:val="ParagraphedelisteCar"/>
    <w:link w:val="abc"/>
    <w:rsid w:val="00C811D2"/>
    <w:rPr>
      <w:rFonts w:ascii="Times New Roman" w:eastAsia="Batang" w:hAnsi="Times New Roman" w:cs="Times New Roman"/>
      <w:b/>
      <w:sz w:val="26"/>
      <w:szCs w:val="26"/>
      <w:lang w:val="en-AU" w:eastAsia="ko-KR"/>
    </w:rPr>
  </w:style>
  <w:style w:type="character" w:customStyle="1" w:styleId="textChar">
    <w:name w:val="text Char"/>
    <w:basedOn w:val="Policepardfaut"/>
    <w:link w:val="text"/>
    <w:rsid w:val="00C811D2"/>
    <w:rPr>
      <w:rFonts w:ascii="Arial" w:eastAsia="Times New Roman" w:hAnsi="Arial" w:cs="Times New Roman"/>
      <w:snapToGrid w:val="0"/>
      <w:sz w:val="24"/>
      <w:szCs w:val="20"/>
      <w:lang w:val="cs-CZ"/>
    </w:rPr>
  </w:style>
  <w:style w:type="paragraph" w:customStyle="1" w:styleId="Figure">
    <w:name w:val="Figure"/>
    <w:link w:val="FigureChar"/>
    <w:qFormat/>
    <w:rsid w:val="00C811D2"/>
    <w:pPr>
      <w:spacing w:before="120" w:after="120" w:line="312" w:lineRule="auto"/>
      <w:jc w:val="center"/>
    </w:pPr>
    <w:rPr>
      <w:rFonts w:ascii="Times New Roman" w:hAnsi="Times New Roman" w:cs="Times New Roman"/>
      <w:b/>
      <w:bCs/>
      <w:color w:val="4F81BD" w:themeColor="accent1"/>
      <w:sz w:val="26"/>
      <w:szCs w:val="26"/>
      <w:lang w:val="en-AU"/>
    </w:rPr>
  </w:style>
  <w:style w:type="numbering" w:customStyle="1" w:styleId="1">
    <w:name w:val="스타일 다단계 번호 매기기1"/>
    <w:basedOn w:val="Aucuneliste"/>
    <w:rsid w:val="00C811D2"/>
    <w:pPr>
      <w:numPr>
        <w:numId w:val="46"/>
      </w:numPr>
    </w:pPr>
  </w:style>
  <w:style w:type="character" w:customStyle="1" w:styleId="LgendeCar">
    <w:name w:val="Légende Car"/>
    <w:basedOn w:val="Policepardfaut"/>
    <w:link w:val="Lgende"/>
    <w:uiPriority w:val="35"/>
    <w:rsid w:val="00C811D2"/>
    <w:rPr>
      <w:rFonts w:ascii="Times New Roman" w:eastAsia="Times New Roman" w:hAnsi="Times New Roman" w:cs="Times New Roman"/>
      <w:b/>
      <w:bCs/>
      <w:color w:val="4F81BD" w:themeColor="accent1"/>
      <w:sz w:val="18"/>
      <w:szCs w:val="18"/>
      <w:lang w:val="en-AU"/>
    </w:rPr>
  </w:style>
  <w:style w:type="character" w:customStyle="1" w:styleId="FigureChar">
    <w:name w:val="Figure Char"/>
    <w:basedOn w:val="LgendeCar"/>
    <w:link w:val="Figure"/>
    <w:rsid w:val="00C811D2"/>
    <w:rPr>
      <w:rFonts w:ascii="Times New Roman" w:eastAsiaTheme="minorEastAsia" w:hAnsi="Times New Roman" w:cs="Times New Roman"/>
      <w:b/>
      <w:bCs/>
      <w:color w:val="4F81BD" w:themeColor="accent1"/>
      <w:sz w:val="26"/>
      <w:szCs w:val="26"/>
      <w:lang w:val="en-AU"/>
    </w:rPr>
  </w:style>
  <w:style w:type="paragraph" w:customStyle="1" w:styleId="10">
    <w:name w:val="1)"/>
    <w:basedOn w:val="normaltext"/>
    <w:uiPriority w:val="99"/>
    <w:qFormat/>
    <w:rsid w:val="00C811D2"/>
    <w:pPr>
      <w:numPr>
        <w:numId w:val="54"/>
      </w:numPr>
      <w:tabs>
        <w:tab w:val="num" w:pos="1179"/>
      </w:tabs>
      <w:spacing w:before="120" w:after="120"/>
      <w:ind w:left="1179" w:firstLine="720"/>
    </w:pPr>
  </w:style>
  <w:style w:type="paragraph" w:customStyle="1" w:styleId="a">
    <w:name w:val="원"/>
    <w:basedOn w:val="Paragraphedeliste"/>
    <w:uiPriority w:val="99"/>
    <w:qFormat/>
    <w:rsid w:val="00C811D2"/>
    <w:pPr>
      <w:widowControl w:val="0"/>
      <w:numPr>
        <w:numId w:val="53"/>
      </w:numPr>
      <w:wordWrap w:val="0"/>
      <w:topLinePunct/>
      <w:spacing w:before="0" w:after="0" w:line="288" w:lineRule="auto"/>
      <w:ind w:left="851" w:hanging="425"/>
      <w:outlineLvl w:val="0"/>
    </w:pPr>
    <w:rPr>
      <w:rFonts w:eastAsiaTheme="minorEastAsia"/>
      <w:sz w:val="26"/>
      <w:szCs w:val="26"/>
      <w:lang w:val="en-US" w:eastAsia="ko-KR"/>
    </w:rPr>
  </w:style>
  <w:style w:type="paragraph" w:customStyle="1" w:styleId="Normal10">
    <w:name w:val="Normal1"/>
    <w:basedOn w:val="Normal"/>
    <w:link w:val="normalChar"/>
    <w:qFormat/>
    <w:rsid w:val="00C811D2"/>
    <w:pPr>
      <w:widowControl w:val="0"/>
      <w:wordWrap w:val="0"/>
      <w:topLinePunct/>
      <w:spacing w:before="0" w:after="0" w:line="312" w:lineRule="auto"/>
      <w:contextualSpacing w:val="0"/>
      <w:jc w:val="left"/>
    </w:pPr>
    <w:rPr>
      <w:sz w:val="26"/>
      <w:szCs w:val="26"/>
      <w:lang w:val="en-US" w:eastAsia="ko-KR"/>
    </w:rPr>
  </w:style>
  <w:style w:type="character" w:customStyle="1" w:styleId="normalChar">
    <w:name w:val="normal Char"/>
    <w:basedOn w:val="Policepardfaut"/>
    <w:link w:val="Normal10"/>
    <w:rsid w:val="00C811D2"/>
    <w:rPr>
      <w:rFonts w:ascii="Times New Roman" w:eastAsia="Times New Roman" w:hAnsi="Times New Roman" w:cs="Times New Roman"/>
      <w:sz w:val="26"/>
      <w:szCs w:val="26"/>
      <w:lang w:eastAsia="ko-KR"/>
    </w:rPr>
  </w:style>
  <w:style w:type="paragraph" w:customStyle="1" w:styleId="tabletext0">
    <w:name w:val="table_text"/>
    <w:basedOn w:val="normaltext"/>
    <w:link w:val="tabletextChar"/>
    <w:uiPriority w:val="99"/>
    <w:qFormat/>
    <w:rsid w:val="00C811D2"/>
    <w:pPr>
      <w:ind w:firstLine="0"/>
      <w:jc w:val="left"/>
    </w:pPr>
  </w:style>
  <w:style w:type="character" w:customStyle="1" w:styleId="tabletextChar">
    <w:name w:val="table_text Char"/>
    <w:basedOn w:val="normaltextChar"/>
    <w:link w:val="tabletext0"/>
    <w:uiPriority w:val="99"/>
    <w:rsid w:val="00C811D2"/>
    <w:rPr>
      <w:rFonts w:ascii="Times New Roman" w:eastAsia="Batang" w:hAnsi="Times New Roman" w:cs="Times New Roman"/>
      <w:sz w:val="26"/>
      <w:szCs w:val="26"/>
      <w:lang w:eastAsia="ko-KR"/>
    </w:rPr>
  </w:style>
  <w:style w:type="paragraph" w:customStyle="1" w:styleId="indent2">
    <w:name w:val="indent_2"/>
    <w:basedOn w:val="paraindent"/>
    <w:link w:val="indent2Char"/>
    <w:uiPriority w:val="99"/>
    <w:qFormat/>
    <w:rsid w:val="00C811D2"/>
    <w:pPr>
      <w:numPr>
        <w:ilvl w:val="1"/>
        <w:numId w:val="55"/>
      </w:numPr>
    </w:pPr>
  </w:style>
  <w:style w:type="character" w:customStyle="1" w:styleId="indent2Char">
    <w:name w:val="indent_2 Char"/>
    <w:basedOn w:val="paraindentChar"/>
    <w:link w:val="indent2"/>
    <w:uiPriority w:val="99"/>
    <w:rsid w:val="00C811D2"/>
    <w:rPr>
      <w:rFonts w:ascii="Times New Roman" w:eastAsia="Times New Roman" w:hAnsi="Times New Roman" w:cs="Times New Roman"/>
      <w:sz w:val="26"/>
      <w:szCs w:val="26"/>
      <w:lang w:val="en-AU" w:eastAsia="ko-KR"/>
    </w:rPr>
  </w:style>
  <w:style w:type="paragraph" w:customStyle="1" w:styleId="MMTopic1">
    <w:name w:val="MM Topic 1"/>
    <w:basedOn w:val="Titre1"/>
    <w:rsid w:val="00C811D2"/>
    <w:pPr>
      <w:keepNext/>
      <w:numPr>
        <w:numId w:val="56"/>
      </w:numPr>
      <w:spacing w:before="240" w:after="60" w:line="240" w:lineRule="auto"/>
      <w:contextualSpacing w:val="0"/>
      <w:jc w:val="left"/>
    </w:pPr>
    <w:rPr>
      <w:rFonts w:ascii="Arial" w:eastAsia="SimSun" w:hAnsi="Arial" w:cs="Arial"/>
      <w:bCs/>
      <w:caps/>
      <w:smallCaps/>
      <w:kern w:val="32"/>
      <w:sz w:val="32"/>
      <w:szCs w:val="32"/>
      <w:lang w:val="en-GB" w:eastAsia="zh-CN"/>
    </w:rPr>
  </w:style>
  <w:style w:type="paragraph" w:customStyle="1" w:styleId="MMTopic2">
    <w:name w:val="MM Topic 2"/>
    <w:basedOn w:val="Titre2"/>
    <w:next w:val="NormalWeb"/>
    <w:rsid w:val="00C811D2"/>
    <w:pPr>
      <w:numPr>
        <w:ilvl w:val="1"/>
        <w:numId w:val="56"/>
      </w:numPr>
      <w:spacing w:before="240" w:after="60" w:line="276" w:lineRule="auto"/>
      <w:contextualSpacing w:val="0"/>
    </w:pPr>
    <w:rPr>
      <w:rFonts w:ascii="Arial" w:eastAsia="SimSun" w:hAnsi="Arial" w:cs="Arial"/>
      <w:bCs/>
      <w:i/>
      <w:iCs/>
      <w:caps/>
      <w:sz w:val="28"/>
      <w:szCs w:val="28"/>
      <w:lang w:val="en-GB" w:eastAsia="zh-CN"/>
    </w:rPr>
  </w:style>
  <w:style w:type="paragraph" w:customStyle="1" w:styleId="MMTopic3">
    <w:name w:val="MM Topic 3"/>
    <w:basedOn w:val="Titre3"/>
    <w:rsid w:val="00C811D2"/>
    <w:pPr>
      <w:keepLines w:val="0"/>
      <w:numPr>
        <w:ilvl w:val="2"/>
        <w:numId w:val="56"/>
      </w:numPr>
      <w:tabs>
        <w:tab w:val="clear" w:pos="1080"/>
      </w:tabs>
      <w:spacing w:before="240" w:after="60" w:line="240" w:lineRule="auto"/>
    </w:pPr>
    <w:rPr>
      <w:rFonts w:ascii="Arial" w:eastAsia="SimSun" w:hAnsi="Arial" w:cs="Arial"/>
      <w:i/>
      <w:smallCaps/>
      <w:color w:val="auto"/>
      <w:sz w:val="28"/>
      <w:szCs w:val="26"/>
      <w:lang w:val="en-GB" w:eastAsia="zh-CN"/>
    </w:rPr>
  </w:style>
  <w:style w:type="character" w:customStyle="1" w:styleId="hps">
    <w:name w:val="hps"/>
    <w:basedOn w:val="Policepardfaut"/>
    <w:rsid w:val="00C811D2"/>
  </w:style>
  <w:style w:type="paragraph" w:customStyle="1" w:styleId="Heading4-Para">
    <w:name w:val="Heading 4 - Para"/>
    <w:basedOn w:val="Normal"/>
    <w:qFormat/>
    <w:rsid w:val="00C811D2"/>
    <w:pPr>
      <w:spacing w:before="0" w:after="200"/>
      <w:contextualSpacing w:val="0"/>
    </w:pPr>
    <w:rPr>
      <w:rFonts w:ascii="EYInterstate Light" w:eastAsiaTheme="minorEastAsia" w:hAnsi="EYInterstate Light" w:cstheme="minorBidi"/>
      <w:sz w:val="22"/>
      <w:szCs w:val="22"/>
      <w:lang w:val="en-US"/>
    </w:rPr>
  </w:style>
  <w:style w:type="paragraph" w:customStyle="1" w:styleId="ecxmsonormal">
    <w:name w:val="ecxmsonormal"/>
    <w:basedOn w:val="Normal"/>
    <w:rsid w:val="00C811D2"/>
    <w:pPr>
      <w:spacing w:before="100" w:beforeAutospacing="1" w:after="100" w:afterAutospacing="1" w:line="240" w:lineRule="auto"/>
      <w:contextualSpacing w:val="0"/>
      <w:jc w:val="left"/>
    </w:pPr>
    <w:rPr>
      <w:szCs w:val="24"/>
      <w:lang w:val="en-US"/>
    </w:rPr>
  </w:style>
  <w:style w:type="character" w:customStyle="1" w:styleId="ecxhps">
    <w:name w:val="ecxhps"/>
    <w:basedOn w:val="Policepardfaut"/>
    <w:rsid w:val="00C811D2"/>
  </w:style>
  <w:style w:type="numbering" w:customStyle="1" w:styleId="12">
    <w:name w:val="목록 없음1"/>
    <w:next w:val="Aucuneliste"/>
    <w:semiHidden/>
    <w:rsid w:val="00C811D2"/>
  </w:style>
  <w:style w:type="paragraph" w:customStyle="1" w:styleId="3BookAntiqua9pt">
    <w:name w:val="제목 3 + (영어) Book Antiqua (한글) 굴림체 굵게 검정 왼쪽 앞: 9 pt 단락 뒤..."/>
    <w:basedOn w:val="Titre3"/>
    <w:rsid w:val="00C811D2"/>
    <w:pPr>
      <w:numPr>
        <w:ilvl w:val="1"/>
        <w:numId w:val="28"/>
      </w:numPr>
      <w:spacing w:before="0" w:line="312" w:lineRule="auto"/>
      <w:ind w:left="610" w:hangingChars="218" w:hanging="610"/>
    </w:pPr>
    <w:rPr>
      <w:rFonts w:ascii="Times New Roman" w:eastAsiaTheme="minorHAnsi" w:hAnsi="Times New Roman" w:cs="Arial"/>
      <w:i/>
      <w:caps/>
      <w:smallCaps/>
      <w:color w:val="auto"/>
      <w:sz w:val="28"/>
      <w:szCs w:val="26"/>
      <w:lang w:val="en-US" w:eastAsia="ko-KR"/>
    </w:rPr>
  </w:style>
  <w:style w:type="paragraph" w:customStyle="1" w:styleId="ac">
    <w:name w:val="글본문"/>
    <w:basedOn w:val="Normal"/>
    <w:link w:val="Char"/>
    <w:rsid w:val="00C811D2"/>
    <w:pPr>
      <w:widowControl w:val="0"/>
      <w:wordWrap w:val="0"/>
      <w:autoSpaceDE w:val="0"/>
      <w:autoSpaceDN w:val="0"/>
      <w:spacing w:before="0" w:after="0" w:line="240" w:lineRule="atLeast"/>
      <w:ind w:firstLineChars="100" w:firstLine="240"/>
      <w:contextualSpacing w:val="0"/>
    </w:pPr>
    <w:rPr>
      <w:rFonts w:ascii="Book Antiqua" w:eastAsia="GulimChe" w:hAnsi="Book Antiqua" w:cs="Batang"/>
      <w:kern w:val="2"/>
      <w:lang w:val="en-US" w:eastAsia="ko-KR"/>
    </w:rPr>
  </w:style>
  <w:style w:type="character" w:customStyle="1" w:styleId="Char">
    <w:name w:val="글본문 Char"/>
    <w:basedOn w:val="Policepardfaut"/>
    <w:link w:val="ac"/>
    <w:rsid w:val="00C811D2"/>
    <w:rPr>
      <w:rFonts w:ascii="Book Antiqua" w:eastAsia="GulimChe" w:hAnsi="Book Antiqua" w:cs="Batang"/>
      <w:kern w:val="2"/>
      <w:sz w:val="24"/>
      <w:szCs w:val="20"/>
      <w:lang w:eastAsia="ko-KR"/>
    </w:rPr>
  </w:style>
  <w:style w:type="table" w:customStyle="1" w:styleId="20">
    <w:name w:val="표 구분선2"/>
    <w:basedOn w:val="TableauNormal"/>
    <w:next w:val="Grilledutableau"/>
    <w:rsid w:val="00C811D2"/>
    <w:pPr>
      <w:widowControl w:val="0"/>
      <w:wordWrap w:val="0"/>
      <w:autoSpaceDE w:val="0"/>
      <w:autoSpaceDN w:val="0"/>
      <w:spacing w:after="0" w:line="240" w:lineRule="auto"/>
    </w:pPr>
    <w:rPr>
      <w:rFonts w:ascii="Times New Roman" w:eastAsia="GulimChe" w:hAnsi="Times New Roman" w:cs="Times New Roman"/>
      <w:sz w:val="20"/>
      <w:szCs w:val="20"/>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jc w:val="center"/>
      </w:pPr>
      <w:rPr>
        <w:rFonts w:eastAsia="@Malgun Gothic"/>
        <w:b/>
        <w:i w:val="0"/>
        <w:sz w:val="20"/>
      </w:rPr>
      <w:tblPr/>
      <w:tcPr>
        <w:shd w:val="clear" w:color="auto" w:fill="C0C0C0"/>
      </w:tcPr>
    </w:tblStylePr>
  </w:style>
  <w:style w:type="paragraph" w:customStyle="1" w:styleId="ex">
    <w:name w:val="ex) 스타일"/>
    <w:basedOn w:val="Normal"/>
    <w:autoRedefine/>
    <w:rsid w:val="00C811D2"/>
    <w:pPr>
      <w:widowControl w:val="0"/>
      <w:wordWrap w:val="0"/>
      <w:autoSpaceDE w:val="0"/>
      <w:autoSpaceDN w:val="0"/>
      <w:spacing w:before="0" w:after="0" w:line="240" w:lineRule="auto"/>
      <w:ind w:left="1620"/>
      <w:contextualSpacing w:val="0"/>
    </w:pPr>
    <w:rPr>
      <w:rFonts w:ascii="Batang" w:eastAsia="GulimChe" w:cs="Batang"/>
      <w:kern w:val="2"/>
      <w:lang w:val="en-US" w:eastAsia="ko-KR"/>
    </w:rPr>
  </w:style>
  <w:style w:type="paragraph" w:customStyle="1" w:styleId="ad">
    <w:name w:val="목차"/>
    <w:basedOn w:val="Normal"/>
    <w:rsid w:val="00C811D2"/>
    <w:pPr>
      <w:widowControl w:val="0"/>
      <w:wordWrap w:val="0"/>
      <w:autoSpaceDE w:val="0"/>
      <w:autoSpaceDN w:val="0"/>
      <w:spacing w:before="0" w:after="0" w:line="240" w:lineRule="auto"/>
      <w:contextualSpacing w:val="0"/>
      <w:jc w:val="center"/>
    </w:pPr>
    <w:rPr>
      <w:rFonts w:ascii="Batang" w:eastAsia="GulimChe" w:cs="Batang"/>
      <w:b/>
      <w:bCs/>
      <w:kern w:val="2"/>
      <w:sz w:val="48"/>
      <w:lang w:val="en-US" w:eastAsia="ko-KR"/>
    </w:rPr>
  </w:style>
  <w:style w:type="character" w:customStyle="1" w:styleId="13">
    <w:name w:val="표지1"/>
    <w:basedOn w:val="Policepardfaut"/>
    <w:rsid w:val="00C811D2"/>
    <w:rPr>
      <w:rFonts w:ascii="Times New Roman" w:eastAsia="HYGothic-Extra" w:hAnsi="Times New Roman"/>
    </w:rPr>
  </w:style>
  <w:style w:type="character" w:customStyle="1" w:styleId="21">
    <w:name w:val="표지2"/>
    <w:basedOn w:val="Policepardfaut"/>
    <w:rsid w:val="00C811D2"/>
    <w:rPr>
      <w:rFonts w:ascii="Times New Roman" w:eastAsia="HYGothic-Extra" w:hAnsi="Times New Roman"/>
      <w:sz w:val="40"/>
    </w:rPr>
  </w:style>
  <w:style w:type="paragraph" w:customStyle="1" w:styleId="3">
    <w:name w:val="표지3"/>
    <w:basedOn w:val="Normal"/>
    <w:rsid w:val="00C811D2"/>
    <w:pPr>
      <w:widowControl w:val="0"/>
      <w:wordWrap w:val="0"/>
      <w:autoSpaceDE w:val="0"/>
      <w:autoSpaceDN w:val="0"/>
      <w:spacing w:before="0" w:after="0" w:line="240" w:lineRule="auto"/>
      <w:contextualSpacing w:val="0"/>
      <w:jc w:val="center"/>
    </w:pPr>
    <w:rPr>
      <w:rFonts w:eastAsia="HYHeadLine-Medium" w:cs="Batang"/>
      <w:kern w:val="2"/>
      <w:sz w:val="28"/>
      <w:lang w:val="en-US" w:eastAsia="ko-KR"/>
    </w:rPr>
  </w:style>
  <w:style w:type="paragraph" w:customStyle="1" w:styleId="ae">
    <w:name w:val="직함"/>
    <w:aliases w:val="제목1"/>
    <w:basedOn w:val="Normal"/>
    <w:rsid w:val="00C811D2"/>
    <w:pPr>
      <w:widowControl w:val="0"/>
      <w:wordWrap w:val="0"/>
      <w:spacing w:line="360" w:lineRule="atLeast"/>
      <w:contextualSpacing w:val="0"/>
      <w:jc w:val="left"/>
      <w:outlineLvl w:val="0"/>
    </w:pPr>
    <w:rPr>
      <w:rFonts w:ascii="Arial" w:eastAsia="GulimChe" w:hAnsi="Arial"/>
      <w:b/>
      <w:kern w:val="2"/>
      <w:sz w:val="28"/>
      <w:lang w:val="en-US" w:eastAsia="ko-KR"/>
    </w:rPr>
  </w:style>
  <w:style w:type="paragraph" w:customStyle="1" w:styleId="af">
    <w:name w:val="바탕글"/>
    <w:basedOn w:val="Normal"/>
    <w:rsid w:val="00C811D2"/>
    <w:pPr>
      <w:snapToGrid w:val="0"/>
      <w:spacing w:before="0" w:after="0" w:line="384" w:lineRule="auto"/>
      <w:contextualSpacing w:val="0"/>
    </w:pPr>
    <w:rPr>
      <w:rFonts w:ascii="한양신명조" w:eastAsia="한양신명조" w:hAnsi="한양신명조" w:cs="Gulim"/>
      <w:color w:val="000000"/>
      <w:sz w:val="20"/>
      <w:lang w:val="en-US" w:eastAsia="ko-KR"/>
    </w:rPr>
  </w:style>
  <w:style w:type="paragraph" w:customStyle="1" w:styleId="a7">
    <w:name w:val="본문 동그라미"/>
    <w:basedOn w:val="Normal"/>
    <w:link w:val="Char0"/>
    <w:uiPriority w:val="99"/>
    <w:qFormat/>
    <w:rsid w:val="00C811D2"/>
    <w:pPr>
      <w:numPr>
        <w:numId w:val="57"/>
      </w:numPr>
      <w:tabs>
        <w:tab w:val="left" w:pos="851"/>
      </w:tabs>
      <w:spacing w:before="240" w:after="0" w:line="240" w:lineRule="auto"/>
      <w:ind w:left="0"/>
      <w:contextualSpacing w:val="0"/>
    </w:pPr>
    <w:rPr>
      <w:rFonts w:eastAsia="Malgun Gothic"/>
      <w:szCs w:val="24"/>
      <w:lang w:val="en-US" w:eastAsia="ko-KR" w:bidi="en-US"/>
    </w:rPr>
  </w:style>
  <w:style w:type="character" w:customStyle="1" w:styleId="Char0">
    <w:name w:val="본문 동그라미 Char"/>
    <w:basedOn w:val="Policepardfaut"/>
    <w:link w:val="a7"/>
    <w:uiPriority w:val="99"/>
    <w:rsid w:val="00C811D2"/>
    <w:rPr>
      <w:rFonts w:ascii="Times New Roman" w:eastAsia="Malgun Gothic" w:hAnsi="Times New Roman" w:cs="Times New Roman"/>
      <w:sz w:val="24"/>
      <w:szCs w:val="24"/>
      <w:lang w:eastAsia="ko-KR" w:bidi="en-US"/>
    </w:rPr>
  </w:style>
  <w:style w:type="paragraph" w:customStyle="1" w:styleId="a8">
    <w:name w:val="본문 마이너스"/>
    <w:basedOn w:val="a7"/>
    <w:link w:val="Char1"/>
    <w:uiPriority w:val="99"/>
    <w:qFormat/>
    <w:rsid w:val="00C811D2"/>
    <w:pPr>
      <w:numPr>
        <w:ilvl w:val="1"/>
      </w:numPr>
      <w:tabs>
        <w:tab w:val="clear" w:pos="851"/>
        <w:tab w:val="left" w:pos="1276"/>
      </w:tabs>
      <w:spacing w:before="120"/>
      <w:ind w:left="992" w:hanging="567"/>
    </w:pPr>
  </w:style>
  <w:style w:type="paragraph" w:customStyle="1" w:styleId="af0">
    <w:name w:val="표 제목"/>
    <w:basedOn w:val="Normal"/>
    <w:qFormat/>
    <w:rsid w:val="00C811D2"/>
    <w:pPr>
      <w:spacing w:line="240" w:lineRule="auto"/>
      <w:contextualSpacing w:val="0"/>
      <w:jc w:val="center"/>
    </w:pPr>
    <w:rPr>
      <w:rFonts w:eastAsia="Malgun Gothic"/>
      <w:sz w:val="22"/>
      <w:szCs w:val="22"/>
      <w:lang w:val="en-US" w:eastAsia="ko-KR" w:bidi="en-US"/>
    </w:rPr>
  </w:style>
  <w:style w:type="paragraph" w:customStyle="1" w:styleId="a4">
    <w:name w:val="표 마이너스"/>
    <w:basedOn w:val="Normal"/>
    <w:rsid w:val="00C811D2"/>
    <w:pPr>
      <w:numPr>
        <w:numId w:val="59"/>
      </w:numPr>
      <w:tabs>
        <w:tab w:val="left" w:pos="611"/>
      </w:tabs>
      <w:spacing w:before="0" w:after="0" w:line="240" w:lineRule="auto"/>
      <w:ind w:left="0"/>
      <w:contextualSpacing w:val="0"/>
      <w:jc w:val="left"/>
    </w:pPr>
    <w:rPr>
      <w:sz w:val="22"/>
      <w:szCs w:val="22"/>
      <w:lang w:val="en-US" w:eastAsia="ko-KR" w:bidi="en-US"/>
    </w:rPr>
  </w:style>
  <w:style w:type="paragraph" w:customStyle="1" w:styleId="a5">
    <w:name w:val="표 점"/>
    <w:basedOn w:val="Normal"/>
    <w:uiPriority w:val="99"/>
    <w:qFormat/>
    <w:rsid w:val="00C811D2"/>
    <w:pPr>
      <w:numPr>
        <w:numId w:val="58"/>
      </w:numPr>
      <w:tabs>
        <w:tab w:val="left" w:pos="318"/>
      </w:tabs>
      <w:spacing w:before="60" w:after="60" w:line="240" w:lineRule="auto"/>
      <w:ind w:left="0"/>
      <w:contextualSpacing w:val="0"/>
      <w:jc w:val="left"/>
    </w:pPr>
    <w:rPr>
      <w:sz w:val="22"/>
      <w:szCs w:val="22"/>
      <w:lang w:val="en-US" w:eastAsia="ko-KR" w:bidi="en-US"/>
    </w:rPr>
  </w:style>
  <w:style w:type="paragraph" w:customStyle="1" w:styleId="Figure0">
    <w:name w:val="Figure 제목"/>
    <w:basedOn w:val="Lgende"/>
    <w:link w:val="FigureChar0"/>
    <w:rsid w:val="00C811D2"/>
    <w:pPr>
      <w:spacing w:before="0" w:after="0"/>
      <w:contextualSpacing w:val="0"/>
      <w:jc w:val="center"/>
    </w:pPr>
    <w:rPr>
      <w:rFonts w:eastAsia="Malgun Gothic"/>
      <w:b w:val="0"/>
      <w:kern w:val="12"/>
      <w:sz w:val="24"/>
      <w:szCs w:val="24"/>
      <w:lang w:val="en-GB" w:eastAsia="ko-KR" w:bidi="en-US"/>
    </w:rPr>
  </w:style>
  <w:style w:type="character" w:customStyle="1" w:styleId="FigureChar0">
    <w:name w:val="Figure 제목 Char"/>
    <w:basedOn w:val="LgendeCar"/>
    <w:link w:val="Figure0"/>
    <w:rsid w:val="00C811D2"/>
    <w:rPr>
      <w:rFonts w:ascii="Times New Roman" w:eastAsia="Malgun Gothic" w:hAnsi="Times New Roman" w:cs="Times New Roman"/>
      <w:b w:val="0"/>
      <w:bCs/>
      <w:color w:val="4F81BD" w:themeColor="accent1"/>
      <w:kern w:val="12"/>
      <w:sz w:val="24"/>
      <w:szCs w:val="24"/>
      <w:lang w:val="en-GB" w:eastAsia="ko-KR" w:bidi="en-US"/>
    </w:rPr>
  </w:style>
  <w:style w:type="character" w:customStyle="1" w:styleId="Char1">
    <w:name w:val="본문 마이너스 Char"/>
    <w:basedOn w:val="Char0"/>
    <w:link w:val="a8"/>
    <w:uiPriority w:val="99"/>
    <w:rsid w:val="00C811D2"/>
    <w:rPr>
      <w:rFonts w:ascii="Times New Roman" w:eastAsia="Malgun Gothic" w:hAnsi="Times New Roman" w:cs="Times New Roman"/>
      <w:sz w:val="24"/>
      <w:szCs w:val="24"/>
      <w:lang w:eastAsia="ko-KR" w:bidi="en-US"/>
    </w:rPr>
  </w:style>
  <w:style w:type="paragraph" w:customStyle="1" w:styleId="Table0">
    <w:name w:val="Table 제목"/>
    <w:basedOn w:val="Normal"/>
    <w:link w:val="TableChar"/>
    <w:rsid w:val="00C811D2"/>
    <w:pPr>
      <w:spacing w:before="0" w:after="0" w:line="240" w:lineRule="auto"/>
      <w:contextualSpacing w:val="0"/>
      <w:jc w:val="left"/>
    </w:pPr>
    <w:rPr>
      <w:rFonts w:eastAsia="Malgun Gothic"/>
      <w:color w:val="4F81BD" w:themeColor="accent1"/>
      <w:kern w:val="12"/>
      <w:szCs w:val="24"/>
      <w:lang w:val="en-GB" w:eastAsia="ko-KR" w:bidi="en-US"/>
    </w:rPr>
  </w:style>
  <w:style w:type="character" w:customStyle="1" w:styleId="TableChar">
    <w:name w:val="Table Char"/>
    <w:basedOn w:val="LgendeCar"/>
    <w:link w:val="Table0"/>
    <w:rsid w:val="00C811D2"/>
    <w:rPr>
      <w:rFonts w:ascii="Times New Roman" w:eastAsia="Malgun Gothic" w:hAnsi="Times New Roman" w:cs="Times New Roman"/>
      <w:b w:val="0"/>
      <w:bCs w:val="0"/>
      <w:color w:val="4F81BD" w:themeColor="accent1"/>
      <w:kern w:val="12"/>
      <w:sz w:val="24"/>
      <w:szCs w:val="24"/>
      <w:lang w:val="en-GB" w:eastAsia="ko-KR" w:bidi="en-US"/>
    </w:rPr>
  </w:style>
  <w:style w:type="paragraph" w:customStyle="1" w:styleId="611111">
    <w:name w:val="제목 6.[1.1.1.1.1]"/>
    <w:basedOn w:val="Titre5"/>
    <w:next w:val="Normal"/>
    <w:link w:val="611111Char"/>
    <w:rsid w:val="00C811D2"/>
    <w:pPr>
      <w:keepNext/>
      <w:keepLines/>
      <w:tabs>
        <w:tab w:val="clear" w:pos="1008"/>
        <w:tab w:val="clear" w:pos="2221"/>
      </w:tabs>
      <w:overflowPunct/>
      <w:autoSpaceDE/>
      <w:autoSpaceDN/>
      <w:adjustRightInd/>
      <w:spacing w:before="120" w:after="0" w:line="360" w:lineRule="auto"/>
      <w:ind w:left="2551" w:hanging="850"/>
      <w:contextualSpacing/>
      <w:textAlignment w:val="auto"/>
    </w:pPr>
    <w:rPr>
      <w:rFonts w:ascii="Times New Roman" w:eastAsiaTheme="minorHAnsi" w:hAnsi="Times New Roman"/>
      <w:bCs/>
      <w:i w:val="0"/>
      <w:szCs w:val="26"/>
      <w:lang w:val="en-US" w:eastAsia="ko-KR"/>
    </w:rPr>
  </w:style>
  <w:style w:type="character" w:customStyle="1" w:styleId="611111Char">
    <w:name w:val="제목 6.[1.1.1.1.1] Char"/>
    <w:basedOn w:val="Policepardfaut"/>
    <w:link w:val="611111"/>
    <w:rsid w:val="00C811D2"/>
    <w:rPr>
      <w:rFonts w:ascii="Times New Roman" w:hAnsi="Times New Roman" w:cs="Times New Roman"/>
      <w:b/>
      <w:bCs/>
      <w:sz w:val="26"/>
      <w:szCs w:val="26"/>
      <w:lang w:eastAsia="ko-KR"/>
    </w:rPr>
  </w:style>
  <w:style w:type="paragraph" w:customStyle="1" w:styleId="-0">
    <w:name w:val="표안_(-)"/>
    <w:basedOn w:val="Normal"/>
    <w:link w:val="-Char"/>
    <w:rsid w:val="00C811D2"/>
    <w:pPr>
      <w:widowControl w:val="0"/>
      <w:numPr>
        <w:numId w:val="64"/>
      </w:numPr>
      <w:wordWrap w:val="0"/>
      <w:autoSpaceDE w:val="0"/>
      <w:autoSpaceDN w:val="0"/>
      <w:spacing w:before="0" w:after="0" w:line="240" w:lineRule="auto"/>
      <w:ind w:left="0"/>
      <w:contextualSpacing w:val="0"/>
    </w:pPr>
    <w:rPr>
      <w:rFonts w:eastAsia="Malgun Gothic"/>
      <w:bCs/>
      <w:sz w:val="22"/>
      <w:szCs w:val="24"/>
      <w:lang w:val="en-US" w:eastAsia="ko-KR"/>
    </w:rPr>
  </w:style>
  <w:style w:type="paragraph" w:customStyle="1" w:styleId="-2">
    <w:name w:val="본문(-)"/>
    <w:basedOn w:val="Normal"/>
    <w:rsid w:val="00C811D2"/>
    <w:pPr>
      <w:widowControl w:val="0"/>
      <w:numPr>
        <w:ilvl w:val="1"/>
        <w:numId w:val="60"/>
      </w:numPr>
      <w:autoSpaceDE w:val="0"/>
      <w:autoSpaceDN w:val="0"/>
      <w:spacing w:before="0" w:after="0"/>
      <w:ind w:left="0"/>
      <w:contextualSpacing w:val="0"/>
      <w:jc w:val="left"/>
    </w:pPr>
    <w:rPr>
      <w:rFonts w:eastAsia="Batang"/>
      <w:bCs/>
      <w:kern w:val="2"/>
      <w:szCs w:val="24"/>
      <w:lang w:val="en-US" w:eastAsia="ko-KR"/>
    </w:rPr>
  </w:style>
  <w:style w:type="paragraph" w:customStyle="1" w:styleId="-">
    <w:name w:val="작은 본문 -"/>
    <w:basedOn w:val="normaltext"/>
    <w:link w:val="-Char0"/>
    <w:rsid w:val="00C811D2"/>
    <w:pPr>
      <w:numPr>
        <w:numId w:val="61"/>
      </w:numPr>
      <w:tabs>
        <w:tab w:val="left" w:pos="851"/>
      </w:tabs>
      <w:topLinePunct w:val="0"/>
      <w:autoSpaceDE w:val="0"/>
      <w:autoSpaceDN w:val="0"/>
      <w:adjustRightInd w:val="0"/>
      <w:snapToGrid w:val="0"/>
      <w:spacing w:before="240" w:line="276" w:lineRule="auto"/>
      <w:ind w:leftChars="218" w:left="851" w:hanging="284"/>
    </w:pPr>
    <w:rPr>
      <w:rFonts w:cs="Batang"/>
      <w:kern w:val="2"/>
      <w:sz w:val="24"/>
      <w:szCs w:val="24"/>
    </w:rPr>
  </w:style>
  <w:style w:type="character" w:customStyle="1" w:styleId="-Char0">
    <w:name w:val="작은 본문 - Char"/>
    <w:basedOn w:val="Policepardfaut"/>
    <w:link w:val="-"/>
    <w:rsid w:val="00C811D2"/>
    <w:rPr>
      <w:rFonts w:ascii="Times New Roman" w:eastAsia="Batang" w:hAnsi="Times New Roman" w:cs="Batang"/>
      <w:kern w:val="2"/>
      <w:sz w:val="24"/>
      <w:szCs w:val="24"/>
      <w:lang w:eastAsia="ko-KR"/>
    </w:rPr>
  </w:style>
  <w:style w:type="paragraph" w:customStyle="1" w:styleId="af1">
    <w:name w:val="표제목"/>
    <w:basedOn w:val="Lgende"/>
    <w:rsid w:val="00C811D2"/>
    <w:pPr>
      <w:widowControl w:val="0"/>
      <w:wordWrap w:val="0"/>
      <w:autoSpaceDE w:val="0"/>
      <w:autoSpaceDN w:val="0"/>
      <w:spacing w:after="120"/>
      <w:contextualSpacing w:val="0"/>
      <w:jc w:val="center"/>
    </w:pPr>
    <w:rPr>
      <w:rFonts w:eastAsia="Batang"/>
      <w:b w:val="0"/>
      <w:color w:val="auto"/>
      <w:kern w:val="2"/>
      <w:sz w:val="24"/>
      <w:szCs w:val="24"/>
      <w:lang w:val="en-US" w:eastAsia="ko-KR"/>
    </w:rPr>
  </w:style>
  <w:style w:type="paragraph" w:customStyle="1" w:styleId="af2">
    <w:name w:val="표본문"/>
    <w:basedOn w:val="Normal"/>
    <w:rsid w:val="00C811D2"/>
    <w:pPr>
      <w:widowControl w:val="0"/>
      <w:autoSpaceDE w:val="0"/>
      <w:autoSpaceDN w:val="0"/>
      <w:spacing w:before="0" w:after="0" w:line="312" w:lineRule="auto"/>
      <w:contextualSpacing w:val="0"/>
      <w:jc w:val="left"/>
    </w:pPr>
    <w:rPr>
      <w:rFonts w:eastAsia="한양신명조"/>
      <w:sz w:val="22"/>
      <w:szCs w:val="22"/>
      <w:lang w:val="en-US" w:eastAsia="ko-KR"/>
    </w:rPr>
  </w:style>
  <w:style w:type="character" w:customStyle="1" w:styleId="shorttext">
    <w:name w:val="short_text"/>
    <w:basedOn w:val="Policepardfaut"/>
    <w:rsid w:val="00C811D2"/>
  </w:style>
  <w:style w:type="paragraph" w:customStyle="1" w:styleId="14">
    <w:name w:val="스타일1"/>
    <w:basedOn w:val="Normal"/>
    <w:rsid w:val="00C811D2"/>
    <w:pPr>
      <w:spacing w:before="240" w:after="0" w:line="240" w:lineRule="auto"/>
      <w:ind w:left="425" w:hanging="425"/>
      <w:contextualSpacing w:val="0"/>
      <w:jc w:val="left"/>
    </w:pPr>
    <w:rPr>
      <w:rFonts w:eastAsia="Malgun Gothic"/>
      <w:sz w:val="20"/>
      <w:lang w:val="en-US" w:eastAsia="ko-KR" w:bidi="en-US"/>
    </w:rPr>
  </w:style>
  <w:style w:type="paragraph" w:customStyle="1" w:styleId="af3">
    <w:name w:val="표안"/>
    <w:basedOn w:val="Normal"/>
    <w:qFormat/>
    <w:rsid w:val="00C811D2"/>
    <w:pPr>
      <w:spacing w:before="60" w:after="60" w:line="240" w:lineRule="auto"/>
      <w:contextualSpacing w:val="0"/>
      <w:jc w:val="center"/>
    </w:pPr>
    <w:rPr>
      <w:rFonts w:eastAsia="Malgun Gothic"/>
      <w:sz w:val="22"/>
      <w:szCs w:val="22"/>
      <w:lang w:val="en-US" w:eastAsia="ko-KR" w:bidi="en-US"/>
    </w:rPr>
  </w:style>
  <w:style w:type="paragraph" w:customStyle="1" w:styleId="a3">
    <w:name w:val="본문 점"/>
    <w:basedOn w:val="a8"/>
    <w:link w:val="Char2"/>
    <w:rsid w:val="00C811D2"/>
    <w:pPr>
      <w:numPr>
        <w:ilvl w:val="2"/>
        <w:numId w:val="62"/>
      </w:numPr>
      <w:tabs>
        <w:tab w:val="clear" w:pos="1276"/>
        <w:tab w:val="left" w:pos="1701"/>
        <w:tab w:val="left" w:pos="1843"/>
      </w:tabs>
      <w:ind w:left="1701" w:hanging="425"/>
    </w:pPr>
  </w:style>
  <w:style w:type="paragraph" w:customStyle="1" w:styleId="51111">
    <w:name w:val="제목 5.[1.1.1.1]"/>
    <w:basedOn w:val="Titre5"/>
    <w:link w:val="51111Char"/>
    <w:qFormat/>
    <w:rsid w:val="00C811D2"/>
    <w:pPr>
      <w:keepNext/>
      <w:keepLines/>
      <w:numPr>
        <w:ilvl w:val="3"/>
        <w:numId w:val="52"/>
      </w:numPr>
      <w:tabs>
        <w:tab w:val="clear" w:pos="1008"/>
        <w:tab w:val="left" w:pos="993"/>
        <w:tab w:val="left" w:pos="1040"/>
      </w:tabs>
      <w:overflowPunct/>
      <w:autoSpaceDE/>
      <w:autoSpaceDN/>
      <w:adjustRightInd/>
      <w:spacing w:before="100" w:beforeAutospacing="1" w:after="100" w:afterAutospacing="1" w:line="360" w:lineRule="auto"/>
      <w:contextualSpacing/>
      <w:textAlignment w:val="auto"/>
    </w:pPr>
    <w:rPr>
      <w:rFonts w:ascii="Times New Roman" w:eastAsiaTheme="majorEastAsia" w:hAnsi="Times New Roman"/>
      <w:bCs/>
      <w:i w:val="0"/>
      <w:color w:val="000000" w:themeColor="text1"/>
      <w:szCs w:val="26"/>
      <w:lang w:val="en-AU" w:eastAsia="ko-KR"/>
    </w:rPr>
  </w:style>
  <w:style w:type="character" w:customStyle="1" w:styleId="Char2">
    <w:name w:val="본문 점 Char"/>
    <w:basedOn w:val="Char1"/>
    <w:link w:val="a3"/>
    <w:rsid w:val="00C811D2"/>
    <w:rPr>
      <w:rFonts w:ascii="Times New Roman" w:eastAsia="Malgun Gothic" w:hAnsi="Times New Roman" w:cs="Times New Roman"/>
      <w:sz w:val="24"/>
      <w:szCs w:val="24"/>
      <w:lang w:eastAsia="ko-KR" w:bidi="en-US"/>
    </w:rPr>
  </w:style>
  <w:style w:type="character" w:customStyle="1" w:styleId="51111Char">
    <w:name w:val="제목 5.[1.1.1.1] Char"/>
    <w:basedOn w:val="Titre4Car"/>
    <w:link w:val="51111"/>
    <w:rsid w:val="00C811D2"/>
    <w:rPr>
      <w:rFonts w:ascii="Times New Roman" w:eastAsiaTheme="majorEastAsia" w:hAnsi="Times New Roman" w:cs="Times New Roman"/>
      <w:b/>
      <w:bCs/>
      <w:color w:val="000000" w:themeColor="text1"/>
      <w:sz w:val="26"/>
      <w:szCs w:val="26"/>
      <w:lang w:val="en-AU" w:eastAsia="ko-KR"/>
    </w:rPr>
  </w:style>
  <w:style w:type="paragraph" w:customStyle="1" w:styleId="a10">
    <w:name w:val="a1"/>
    <w:basedOn w:val="Normal"/>
    <w:rsid w:val="00C811D2"/>
    <w:pPr>
      <w:spacing w:before="100" w:beforeAutospacing="1" w:after="100" w:afterAutospacing="1" w:line="240" w:lineRule="auto"/>
      <w:contextualSpacing w:val="0"/>
      <w:jc w:val="left"/>
    </w:pPr>
    <w:rPr>
      <w:rFonts w:ascii="Gulim" w:eastAsia="Gulim" w:hAnsi="Gulim" w:cs="Gulim"/>
      <w:szCs w:val="24"/>
      <w:lang w:val="en-US" w:eastAsia="ko-KR"/>
    </w:rPr>
  </w:style>
  <w:style w:type="paragraph" w:customStyle="1" w:styleId="a00">
    <w:name w:val="a0"/>
    <w:basedOn w:val="Normal"/>
    <w:rsid w:val="00C811D2"/>
    <w:pPr>
      <w:spacing w:before="100" w:beforeAutospacing="1" w:after="100" w:afterAutospacing="1" w:line="240" w:lineRule="auto"/>
      <w:contextualSpacing w:val="0"/>
      <w:jc w:val="left"/>
    </w:pPr>
    <w:rPr>
      <w:rFonts w:ascii="Gulim" w:eastAsia="Gulim" w:hAnsi="Gulim" w:cs="Gulim"/>
      <w:szCs w:val="24"/>
      <w:lang w:val="en-US" w:eastAsia="ko-KR"/>
    </w:rPr>
  </w:style>
  <w:style w:type="character" w:customStyle="1" w:styleId="MainContentsYong-InLRT11pt">
    <w:name w:val="스타일 Main Contents / Yong-In LRT + 바탕 11 pt"/>
    <w:rsid w:val="00C811D2"/>
    <w:rPr>
      <w:rFonts w:ascii="Times New Roman" w:eastAsia="Batang" w:hAnsi="Times New Roman"/>
      <w:sz w:val="22"/>
    </w:rPr>
  </w:style>
  <w:style w:type="paragraph" w:customStyle="1" w:styleId="af4">
    <w:name w:val="선그리기"/>
    <w:basedOn w:val="Normal"/>
    <w:rsid w:val="00C811D2"/>
    <w:pPr>
      <w:snapToGrid w:val="0"/>
      <w:spacing w:before="0" w:after="0" w:line="384" w:lineRule="auto"/>
      <w:contextualSpacing w:val="0"/>
    </w:pPr>
    <w:rPr>
      <w:rFonts w:ascii="한양신명조" w:eastAsia="Gulim" w:hAnsi="산세리프" w:cs="Gulim"/>
      <w:color w:val="000000"/>
      <w:sz w:val="20"/>
      <w:lang w:val="en-US" w:eastAsia="ko-KR"/>
    </w:rPr>
  </w:style>
  <w:style w:type="numbering" w:customStyle="1" w:styleId="1111113">
    <w:name w:val="1 / 1.1 / 1.1.13"/>
    <w:rsid w:val="00C811D2"/>
    <w:pPr>
      <w:numPr>
        <w:numId w:val="63"/>
      </w:numPr>
    </w:pPr>
  </w:style>
  <w:style w:type="paragraph" w:customStyle="1" w:styleId="hstyle0">
    <w:name w:val="hstyle0"/>
    <w:basedOn w:val="Normal"/>
    <w:rsid w:val="00C811D2"/>
    <w:pPr>
      <w:spacing w:before="0" w:after="0" w:line="384" w:lineRule="auto"/>
      <w:contextualSpacing w:val="0"/>
    </w:pPr>
    <w:rPr>
      <w:rFonts w:ascii="함초롬바탕" w:eastAsia="함초롬바탕" w:hAnsi="Gulim" w:cs="Gulim"/>
      <w:color w:val="000000"/>
      <w:sz w:val="20"/>
      <w:lang w:val="en-US" w:eastAsia="ko-KR"/>
    </w:rPr>
  </w:style>
  <w:style w:type="paragraph" w:customStyle="1" w:styleId="buttletable">
    <w:name w:val="buttle table"/>
    <w:basedOn w:val="tabletext0"/>
    <w:link w:val="buttletableChar"/>
    <w:uiPriority w:val="99"/>
    <w:qFormat/>
    <w:rsid w:val="00C811D2"/>
    <w:pPr>
      <w:numPr>
        <w:numId w:val="65"/>
      </w:numPr>
      <w:ind w:left="288" w:hanging="288"/>
      <w:contextualSpacing/>
    </w:pPr>
    <w:rPr>
      <w:rFonts w:eastAsia="Times New Roman" w:cs="Batang"/>
      <w:lang w:val="en-AU"/>
    </w:rPr>
  </w:style>
  <w:style w:type="character" w:customStyle="1" w:styleId="buttletableChar">
    <w:name w:val="buttle table Char"/>
    <w:basedOn w:val="paraindentChar"/>
    <w:link w:val="buttletable"/>
    <w:uiPriority w:val="99"/>
    <w:rsid w:val="00C811D2"/>
    <w:rPr>
      <w:rFonts w:ascii="Times New Roman" w:eastAsia="Times New Roman" w:hAnsi="Times New Roman" w:cs="Batang"/>
      <w:sz w:val="26"/>
      <w:szCs w:val="26"/>
      <w:lang w:val="en-AU" w:eastAsia="ko-KR"/>
    </w:rPr>
  </w:style>
  <w:style w:type="paragraph" w:customStyle="1" w:styleId="1o">
    <w:name w:val="본문1 o"/>
    <w:basedOn w:val="3o"/>
    <w:qFormat/>
    <w:rsid w:val="00C811D2"/>
    <w:pPr>
      <w:ind w:left="798" w:hanging="372"/>
    </w:pPr>
  </w:style>
  <w:style w:type="paragraph" w:customStyle="1" w:styleId="3o">
    <w:name w:val="본문3 o"/>
    <w:basedOn w:val="Normal"/>
    <w:qFormat/>
    <w:rsid w:val="00C811D2"/>
    <w:pPr>
      <w:widowControl w:val="0"/>
      <w:autoSpaceDE w:val="0"/>
      <w:autoSpaceDN w:val="0"/>
      <w:adjustRightInd w:val="0"/>
      <w:spacing w:before="0" w:after="0"/>
      <w:ind w:right="-102" w:hanging="400"/>
      <w:contextualSpacing w:val="0"/>
    </w:pPr>
    <w:rPr>
      <w:rFonts w:eastAsia="Malgun Gothic"/>
      <w:szCs w:val="22"/>
      <w:lang w:val="en-US" w:eastAsia="ko-KR"/>
    </w:rPr>
  </w:style>
  <w:style w:type="paragraph" w:customStyle="1" w:styleId="tablebullet">
    <w:name w:val="table bullet"/>
    <w:basedOn w:val="-0"/>
    <w:link w:val="tablebulletChar"/>
    <w:uiPriority w:val="99"/>
    <w:qFormat/>
    <w:rsid w:val="00C811D2"/>
    <w:pPr>
      <w:widowControl/>
      <w:numPr>
        <w:numId w:val="66"/>
      </w:numPr>
      <w:wordWrap/>
      <w:spacing w:line="312" w:lineRule="auto"/>
      <w:jc w:val="left"/>
    </w:pPr>
    <w:rPr>
      <w:sz w:val="26"/>
    </w:rPr>
  </w:style>
  <w:style w:type="character" w:customStyle="1" w:styleId="-Char">
    <w:name w:val="표안_(-) Char"/>
    <w:basedOn w:val="Policepardfaut"/>
    <w:link w:val="-0"/>
    <w:rsid w:val="00C811D2"/>
    <w:rPr>
      <w:rFonts w:ascii="Times New Roman" w:eastAsia="Malgun Gothic" w:hAnsi="Times New Roman" w:cs="Times New Roman"/>
      <w:bCs/>
      <w:szCs w:val="24"/>
      <w:lang w:eastAsia="ko-KR"/>
    </w:rPr>
  </w:style>
  <w:style w:type="character" w:customStyle="1" w:styleId="tablebulletChar">
    <w:name w:val="table bullet Char"/>
    <w:basedOn w:val="-Char"/>
    <w:link w:val="tablebullet"/>
    <w:uiPriority w:val="99"/>
    <w:rsid w:val="00C811D2"/>
    <w:rPr>
      <w:rFonts w:ascii="Times New Roman" w:eastAsia="Malgun Gothic" w:hAnsi="Times New Roman" w:cs="Times New Roman"/>
      <w:bCs/>
      <w:sz w:val="26"/>
      <w:szCs w:val="24"/>
      <w:lang w:eastAsia="ko-KR"/>
    </w:rPr>
  </w:style>
  <w:style w:type="paragraph" w:customStyle="1" w:styleId="a2">
    <w:name w:val="표 글머리"/>
    <w:basedOn w:val="Normal"/>
    <w:rsid w:val="00C811D2"/>
    <w:pPr>
      <w:numPr>
        <w:numId w:val="67"/>
      </w:numPr>
      <w:kinsoku w:val="0"/>
      <w:wordWrap w:val="0"/>
      <w:overflowPunct w:val="0"/>
      <w:spacing w:before="0" w:after="0" w:line="240" w:lineRule="auto"/>
      <w:ind w:left="0"/>
      <w:contextualSpacing w:val="0"/>
      <w:jc w:val="left"/>
    </w:pPr>
    <w:rPr>
      <w:rFonts w:eastAsia="Gulim"/>
      <w:color w:val="000000"/>
      <w:szCs w:val="24"/>
      <w:lang w:val="en-US" w:eastAsia="ko-KR"/>
    </w:rPr>
  </w:style>
  <w:style w:type="character" w:customStyle="1" w:styleId="af5">
    <w:name w:val="일반점"/>
    <w:basedOn w:val="Char"/>
    <w:uiPriority w:val="1"/>
    <w:qFormat/>
    <w:rsid w:val="00C811D2"/>
    <w:rPr>
      <w:rFonts w:ascii="Times New Roman" w:eastAsia="GulimChe" w:hAnsi="Times New Roman" w:cs="Times New Roman"/>
      <w:kern w:val="2"/>
      <w:sz w:val="26"/>
      <w:szCs w:val="26"/>
      <w:lang w:eastAsia="ko-KR"/>
    </w:rPr>
  </w:style>
  <w:style w:type="paragraph" w:customStyle="1" w:styleId="af6">
    <w:name w:val="작은문단"/>
    <w:basedOn w:val="Normal"/>
    <w:rsid w:val="00C811D2"/>
    <w:pPr>
      <w:snapToGrid w:val="0"/>
      <w:spacing w:before="0" w:after="0" w:line="432" w:lineRule="auto"/>
      <w:ind w:left="400"/>
      <w:contextualSpacing w:val="0"/>
    </w:pPr>
    <w:rPr>
      <w:rFonts w:ascii="한양신명조" w:eastAsia="한양신명조" w:hAnsi="한양신명조" w:cs="Gulim"/>
      <w:b/>
      <w:bCs/>
      <w:color w:val="000000"/>
      <w:sz w:val="10"/>
      <w:szCs w:val="10"/>
      <w:lang w:val="en-US" w:eastAsia="ko-KR"/>
    </w:rPr>
  </w:style>
  <w:style w:type="paragraph" w:customStyle="1" w:styleId="af7">
    <w:name w:val="큰문단"/>
    <w:basedOn w:val="Normal"/>
    <w:rsid w:val="00C811D2"/>
    <w:pPr>
      <w:snapToGrid w:val="0"/>
      <w:spacing w:before="0" w:after="0" w:line="432" w:lineRule="auto"/>
      <w:ind w:left="400"/>
      <w:contextualSpacing w:val="0"/>
    </w:pPr>
    <w:rPr>
      <w:rFonts w:ascii="한양신명조" w:eastAsia="한양신명조" w:hAnsi="한양신명조" w:cs="Gulim"/>
      <w:b/>
      <w:bCs/>
      <w:color w:val="000000"/>
      <w:sz w:val="20"/>
      <w:lang w:val="en-US" w:eastAsia="ko-KR"/>
    </w:rPr>
  </w:style>
  <w:style w:type="paragraph" w:customStyle="1" w:styleId="O">
    <w:name w:val="O"/>
    <w:basedOn w:val="Normal"/>
    <w:rsid w:val="00C811D2"/>
    <w:pPr>
      <w:snapToGrid w:val="0"/>
      <w:spacing w:before="0" w:after="0" w:line="384" w:lineRule="auto"/>
      <w:contextualSpacing w:val="0"/>
    </w:pPr>
    <w:rPr>
      <w:rFonts w:ascii="한양신명조" w:eastAsia="한양신명조" w:hAnsi="한양신명조" w:cs="Gulim"/>
      <w:color w:val="000000"/>
      <w:sz w:val="22"/>
      <w:szCs w:val="22"/>
      <w:lang w:val="en-US" w:eastAsia="ko-KR"/>
    </w:rPr>
  </w:style>
  <w:style w:type="paragraph" w:customStyle="1" w:styleId="-4">
    <w:name w:val="-"/>
    <w:basedOn w:val="Normal"/>
    <w:rsid w:val="00C811D2"/>
    <w:pPr>
      <w:snapToGrid w:val="0"/>
      <w:spacing w:before="0" w:after="0" w:line="384" w:lineRule="auto"/>
      <w:contextualSpacing w:val="0"/>
    </w:pPr>
    <w:rPr>
      <w:rFonts w:ascii="한양신명조" w:eastAsia="한양신명조" w:hAnsi="한양신명조" w:cs="Gulim"/>
      <w:color w:val="000000"/>
      <w:sz w:val="22"/>
      <w:szCs w:val="22"/>
      <w:lang w:val="en-US" w:eastAsia="ko-KR"/>
    </w:rPr>
  </w:style>
  <w:style w:type="paragraph" w:customStyle="1" w:styleId="111">
    <w:name w:val="1.1.1."/>
    <w:basedOn w:val="Normal"/>
    <w:rsid w:val="00C811D2"/>
    <w:pPr>
      <w:spacing w:before="100" w:beforeAutospacing="1" w:after="100" w:afterAutospacing="1" w:line="240" w:lineRule="auto"/>
      <w:contextualSpacing w:val="0"/>
      <w:jc w:val="left"/>
    </w:pPr>
    <w:rPr>
      <w:rFonts w:ascii="Gulim" w:eastAsia="Gulim" w:hAnsi="Gulim" w:cs="Gulim"/>
      <w:szCs w:val="24"/>
      <w:lang w:val="en-US" w:eastAsia="ko-KR"/>
    </w:rPr>
  </w:style>
  <w:style w:type="paragraph" w:customStyle="1" w:styleId="15">
    <w:name w:val="(1)"/>
    <w:basedOn w:val="Normal"/>
    <w:rsid w:val="00C811D2"/>
    <w:pPr>
      <w:spacing w:before="100" w:beforeAutospacing="1" w:after="100" w:afterAutospacing="1" w:line="240" w:lineRule="auto"/>
      <w:contextualSpacing w:val="0"/>
      <w:jc w:val="left"/>
    </w:pPr>
    <w:rPr>
      <w:rFonts w:ascii="Gulim" w:eastAsia="Gulim" w:hAnsi="Gulim" w:cs="Gulim"/>
      <w:szCs w:val="24"/>
      <w:lang w:val="en-US" w:eastAsia="ko-KR"/>
    </w:rPr>
  </w:style>
  <w:style w:type="paragraph" w:customStyle="1" w:styleId="110">
    <w:name w:val="1.1"/>
    <w:basedOn w:val="Normal"/>
    <w:rsid w:val="00C811D2"/>
    <w:pPr>
      <w:spacing w:before="100" w:beforeAutospacing="1" w:after="100" w:afterAutospacing="1" w:line="240" w:lineRule="auto"/>
      <w:contextualSpacing w:val="0"/>
      <w:jc w:val="left"/>
    </w:pPr>
    <w:rPr>
      <w:rFonts w:ascii="Gulim" w:eastAsia="Gulim" w:hAnsi="Gulim" w:cs="Gulim"/>
      <w:szCs w:val="24"/>
      <w:lang w:val="en-US" w:eastAsia="ko-KR"/>
    </w:rPr>
  </w:style>
  <w:style w:type="paragraph" w:customStyle="1" w:styleId="IRTS1">
    <w:name w:val="IRTS_1"/>
    <w:basedOn w:val="Normal"/>
    <w:rsid w:val="00C811D2"/>
    <w:pPr>
      <w:snapToGrid w:val="0"/>
      <w:spacing w:before="0" w:after="0" w:line="432" w:lineRule="auto"/>
      <w:contextualSpacing w:val="0"/>
    </w:pPr>
    <w:rPr>
      <w:rFonts w:ascii="HY울릉도B" w:eastAsia="HY울릉도B" w:hAnsi="HY울릉도B" w:cs="Gulim"/>
      <w:color w:val="000000"/>
      <w:sz w:val="34"/>
      <w:szCs w:val="34"/>
      <w:lang w:val="en-US" w:eastAsia="ko-KR"/>
    </w:rPr>
  </w:style>
  <w:style w:type="paragraph" w:customStyle="1" w:styleId="IRTS-">
    <w:name w:val="IRTS_본문-"/>
    <w:basedOn w:val="Normal"/>
    <w:rsid w:val="00C811D2"/>
    <w:pPr>
      <w:snapToGrid w:val="0"/>
      <w:spacing w:before="0" w:after="0" w:line="432" w:lineRule="auto"/>
      <w:ind w:left="920"/>
      <w:contextualSpacing w:val="0"/>
    </w:pPr>
    <w:rPr>
      <w:rFonts w:ascii="HYSinMyeongJo-Medium" w:eastAsia="HYSinMyeongJo-Medium" w:hAnsi="HYSinMyeongJo-Medium" w:cs="Gulim"/>
      <w:color w:val="000000"/>
      <w:sz w:val="21"/>
      <w:szCs w:val="21"/>
      <w:lang w:val="en-US" w:eastAsia="ko-KR"/>
    </w:rPr>
  </w:style>
  <w:style w:type="paragraph" w:customStyle="1" w:styleId="irts11">
    <w:name w:val="irts_1.1"/>
    <w:basedOn w:val="Normal"/>
    <w:rsid w:val="00C811D2"/>
    <w:pPr>
      <w:spacing w:before="100" w:beforeAutospacing="1" w:after="100" w:afterAutospacing="1" w:line="240" w:lineRule="auto"/>
      <w:contextualSpacing w:val="0"/>
      <w:jc w:val="left"/>
    </w:pPr>
    <w:rPr>
      <w:rFonts w:ascii="Gulim" w:eastAsia="Gulim" w:hAnsi="Gulim" w:cs="Gulim"/>
      <w:szCs w:val="24"/>
      <w:lang w:val="en-US" w:eastAsia="ko-KR"/>
    </w:rPr>
  </w:style>
  <w:style w:type="paragraph" w:customStyle="1" w:styleId="irts111">
    <w:name w:val="irts_1.1.1"/>
    <w:basedOn w:val="Normal"/>
    <w:rsid w:val="00C811D2"/>
    <w:pPr>
      <w:spacing w:before="100" w:beforeAutospacing="1" w:after="100" w:afterAutospacing="1" w:line="240" w:lineRule="auto"/>
      <w:contextualSpacing w:val="0"/>
      <w:jc w:val="left"/>
    </w:pPr>
    <w:rPr>
      <w:rFonts w:ascii="Gulim" w:eastAsia="Gulim" w:hAnsi="Gulim" w:cs="Gulim"/>
      <w:szCs w:val="24"/>
      <w:lang w:val="en-US" w:eastAsia="ko-KR"/>
    </w:rPr>
  </w:style>
  <w:style w:type="paragraph" w:customStyle="1" w:styleId="Normal12">
    <w:name w:val="Normal 12"/>
    <w:link w:val="Normal12Char"/>
    <w:autoRedefine/>
    <w:qFormat/>
    <w:rsid w:val="00C811D2"/>
    <w:pPr>
      <w:widowControl w:val="0"/>
      <w:spacing w:after="0" w:line="360" w:lineRule="auto"/>
      <w:jc w:val="both"/>
    </w:pPr>
    <w:rPr>
      <w:rFonts w:ascii="Times New Roman" w:eastAsia="Batang" w:hAnsi="Times New Roman" w:cs="Times New Roman"/>
      <w:sz w:val="26"/>
      <w:szCs w:val="26"/>
      <w:lang w:val="en-GB" w:eastAsia="ko-KR"/>
    </w:rPr>
  </w:style>
  <w:style w:type="character" w:customStyle="1" w:styleId="Normal12Char">
    <w:name w:val="Normal 12 Char"/>
    <w:basedOn w:val="Policepardfaut"/>
    <w:link w:val="Normal12"/>
    <w:locked/>
    <w:rsid w:val="00C811D2"/>
    <w:rPr>
      <w:rFonts w:ascii="Times New Roman" w:eastAsia="Batang" w:hAnsi="Times New Roman" w:cs="Times New Roman"/>
      <w:sz w:val="26"/>
      <w:szCs w:val="26"/>
      <w:lang w:val="en-GB" w:eastAsia="ko-KR"/>
    </w:rPr>
  </w:style>
  <w:style w:type="paragraph" w:customStyle="1" w:styleId="DocumentTitle">
    <w:name w:val="Document Title"/>
    <w:autoRedefine/>
    <w:rsid w:val="00C811D2"/>
    <w:pPr>
      <w:spacing w:before="240" w:after="360" w:line="360" w:lineRule="exact"/>
      <w:ind w:left="1440" w:firstLine="720"/>
    </w:pPr>
    <w:rPr>
      <w:rFonts w:ascii="Arial" w:eastAsia="Times" w:hAnsi="Arial" w:cs="Arial"/>
      <w:b/>
      <w:noProof/>
    </w:rPr>
  </w:style>
  <w:style w:type="paragraph" w:customStyle="1" w:styleId="TableColumnHeading">
    <w:name w:val="Table Column Heading"/>
    <w:basedOn w:val="Normal"/>
    <w:autoRedefine/>
    <w:rsid w:val="00C811D2"/>
    <w:pPr>
      <w:keepNext/>
      <w:keepLines/>
      <w:spacing w:line="240" w:lineRule="auto"/>
      <w:contextualSpacing w:val="0"/>
    </w:pPr>
    <w:rPr>
      <w:rFonts w:ascii="Verdana" w:eastAsia="Times" w:hAnsi="Verdana"/>
      <w:b/>
      <w:snapToGrid w:val="0"/>
      <w:szCs w:val="24"/>
      <w:lang w:val="en-US"/>
    </w:rPr>
  </w:style>
  <w:style w:type="paragraph" w:customStyle="1" w:styleId="TableBody">
    <w:name w:val="Table Body"/>
    <w:basedOn w:val="Normal"/>
    <w:autoRedefine/>
    <w:rsid w:val="00C811D2"/>
    <w:pPr>
      <w:keepNext/>
      <w:spacing w:line="180" w:lineRule="exact"/>
      <w:contextualSpacing w:val="0"/>
    </w:pPr>
    <w:rPr>
      <w:rFonts w:ascii="Tahoma" w:eastAsia="Times" w:hAnsi="Tahoma"/>
      <w:snapToGrid w:val="0"/>
      <w:szCs w:val="24"/>
      <w:lang w:val="en-US"/>
    </w:rPr>
  </w:style>
  <w:style w:type="paragraph" w:customStyle="1" w:styleId="Blocklabel">
    <w:name w:val="Block label"/>
    <w:basedOn w:val="Normal"/>
    <w:next w:val="Normal"/>
    <w:rsid w:val="00C811D2"/>
    <w:pPr>
      <w:keepNext/>
      <w:spacing w:before="60" w:after="60" w:line="240" w:lineRule="auto"/>
      <w:contextualSpacing w:val="0"/>
    </w:pPr>
    <w:rPr>
      <w:b/>
      <w:szCs w:val="24"/>
      <w:lang w:val="en-US"/>
    </w:rPr>
  </w:style>
  <w:style w:type="paragraph" w:customStyle="1" w:styleId="Heading112pt">
    <w:name w:val="Heading 1 + 12 pt"/>
    <w:basedOn w:val="Titre1"/>
    <w:rsid w:val="00C811D2"/>
    <w:pPr>
      <w:keepNext/>
      <w:spacing w:before="480" w:after="240" w:line="240" w:lineRule="auto"/>
      <w:ind w:left="431" w:hanging="431"/>
      <w:contextualSpacing w:val="0"/>
    </w:pPr>
    <w:rPr>
      <w:rFonts w:ascii="Calibri" w:hAnsi="Calibri" w:cs="Arial"/>
      <w:bCs/>
      <w:smallCaps/>
      <w:sz w:val="28"/>
      <w:szCs w:val="24"/>
      <w:lang w:val="en-US"/>
    </w:rPr>
  </w:style>
  <w:style w:type="character" w:customStyle="1" w:styleId="Heading2Char1">
    <w:name w:val="Heading 2 Char1"/>
    <w:basedOn w:val="Policepardfaut"/>
    <w:rsid w:val="00C811D2"/>
    <w:rPr>
      <w:rFonts w:ascii="Verdana" w:hAnsi="Verdana" w:cs="Arial"/>
      <w:b/>
      <w:sz w:val="24"/>
      <w:szCs w:val="24"/>
    </w:rPr>
  </w:style>
  <w:style w:type="paragraph" w:customStyle="1" w:styleId="Paragraph1">
    <w:name w:val="Paragraph1"/>
    <w:basedOn w:val="Normal"/>
    <w:next w:val="Normal"/>
    <w:rsid w:val="00C811D2"/>
    <w:pPr>
      <w:spacing w:before="80" w:line="240" w:lineRule="auto"/>
      <w:ind w:right="-270"/>
      <w:contextualSpacing w:val="0"/>
    </w:pPr>
    <w:rPr>
      <w:rFonts w:ascii="Verdana" w:hAnsi="Verdana"/>
      <w:sz w:val="16"/>
      <w:szCs w:val="24"/>
      <w:lang w:val="en-US"/>
    </w:rPr>
  </w:style>
  <w:style w:type="paragraph" w:customStyle="1" w:styleId="Tabletext1">
    <w:name w:val="Tabletext"/>
    <w:basedOn w:val="Normal"/>
    <w:next w:val="Corpsdetexte2"/>
    <w:autoRedefine/>
    <w:rsid w:val="00C811D2"/>
    <w:pPr>
      <w:widowControl w:val="0"/>
      <w:spacing w:after="60" w:line="240" w:lineRule="atLeast"/>
      <w:contextualSpacing w:val="0"/>
      <w:jc w:val="center"/>
    </w:pPr>
    <w:rPr>
      <w:rFonts w:ascii="Verdana" w:hAnsi="Verdana" w:cs="Arial"/>
      <w:b/>
      <w:szCs w:val="24"/>
      <w:lang w:val="en-US"/>
    </w:rPr>
  </w:style>
  <w:style w:type="paragraph" w:customStyle="1" w:styleId="InfoBlue">
    <w:name w:val="InfoBlue"/>
    <w:basedOn w:val="Normal"/>
    <w:next w:val="Corpsdetexte2"/>
    <w:autoRedefine/>
    <w:rsid w:val="00C811D2"/>
    <w:pPr>
      <w:widowControl w:val="0"/>
      <w:spacing w:before="60" w:line="280" w:lineRule="exact"/>
      <w:contextualSpacing w:val="0"/>
    </w:pPr>
    <w:rPr>
      <w:rFonts w:ascii="Verdana" w:hAnsi="Verdana" w:cs="Arial"/>
      <w:i/>
      <w:iCs/>
      <w:color w:val="0000FF"/>
      <w:szCs w:val="22"/>
      <w:lang w:val="en-US"/>
    </w:rPr>
  </w:style>
  <w:style w:type="paragraph" w:customStyle="1" w:styleId="TableCell">
    <w:name w:val="Table Cell"/>
    <w:basedOn w:val="Normal"/>
    <w:next w:val="Normal"/>
    <w:rsid w:val="00C811D2"/>
    <w:pPr>
      <w:spacing w:before="20" w:after="20" w:line="240" w:lineRule="auto"/>
      <w:contextualSpacing w:val="0"/>
    </w:pPr>
    <w:rPr>
      <w:rFonts w:ascii="Verdana" w:hAnsi="Verdana" w:cs="Arial"/>
      <w:iCs/>
      <w:noProof/>
      <w:szCs w:val="24"/>
      <w:lang w:val="en-US"/>
    </w:rPr>
  </w:style>
  <w:style w:type="paragraph" w:styleId="Listepuces5">
    <w:name w:val="List Bullet 5"/>
    <w:basedOn w:val="Normal"/>
    <w:rsid w:val="00C811D2"/>
    <w:pPr>
      <w:framePr w:w="1860" w:wrap="around" w:vAnchor="text" w:hAnchor="page" w:x="1201" w:y="1"/>
      <w:numPr>
        <w:numId w:val="68"/>
      </w:numPr>
      <w:pBdr>
        <w:bottom w:val="single" w:sz="6" w:space="0" w:color="auto"/>
        <w:between w:val="single" w:sz="6" w:space="0" w:color="auto"/>
      </w:pBdr>
      <w:spacing w:line="320" w:lineRule="exact"/>
      <w:contextualSpacing w:val="0"/>
    </w:pPr>
    <w:rPr>
      <w:rFonts w:ascii="Verdana" w:hAnsi="Verdana"/>
      <w:sz w:val="18"/>
      <w:szCs w:val="24"/>
      <w:lang w:val="en-US"/>
    </w:rPr>
  </w:style>
  <w:style w:type="paragraph" w:customStyle="1" w:styleId="ListBulletLast">
    <w:name w:val="List Bullet Last"/>
    <w:basedOn w:val="Listepuces"/>
    <w:next w:val="Corpsdetexte"/>
    <w:rsid w:val="00C811D2"/>
    <w:pPr>
      <w:tabs>
        <w:tab w:val="clear" w:pos="1134"/>
        <w:tab w:val="num" w:pos="720"/>
      </w:tabs>
      <w:spacing w:before="120" w:after="120"/>
      <w:ind w:left="720" w:hanging="360"/>
      <w:jc w:val="both"/>
    </w:pPr>
    <w:rPr>
      <w:rFonts w:ascii="Times New Roman" w:hAnsi="Times New Roman" w:cs="Times New Roman"/>
      <w:sz w:val="24"/>
      <w:lang w:val="en-US"/>
    </w:rPr>
  </w:style>
  <w:style w:type="paragraph" w:customStyle="1" w:styleId="ListNumberFirst">
    <w:name w:val="List Number First"/>
    <w:basedOn w:val="Listenumros"/>
    <w:next w:val="Listenumros"/>
    <w:rsid w:val="00C811D2"/>
    <w:pPr>
      <w:numPr>
        <w:numId w:val="0"/>
      </w:numPr>
      <w:spacing w:before="80" w:after="160"/>
      <w:jc w:val="both"/>
    </w:pPr>
    <w:rPr>
      <w:rFonts w:ascii="Times New Roman" w:hAnsi="Times New Roman" w:cs="Times New Roman"/>
      <w:sz w:val="24"/>
      <w:lang w:val="en-US"/>
    </w:rPr>
  </w:style>
  <w:style w:type="paragraph" w:customStyle="1" w:styleId="CM69">
    <w:name w:val="CM69"/>
    <w:basedOn w:val="Normal"/>
    <w:next w:val="Normal"/>
    <w:uiPriority w:val="99"/>
    <w:rsid w:val="00C811D2"/>
    <w:pPr>
      <w:widowControl w:val="0"/>
      <w:autoSpaceDE w:val="0"/>
      <w:autoSpaceDN w:val="0"/>
      <w:adjustRightInd w:val="0"/>
      <w:spacing w:before="0" w:after="500" w:line="240" w:lineRule="auto"/>
      <w:contextualSpacing w:val="0"/>
      <w:jc w:val="left"/>
    </w:pPr>
    <w:rPr>
      <w:szCs w:val="24"/>
      <w:lang w:val="en-US"/>
    </w:rPr>
  </w:style>
  <w:style w:type="character" w:customStyle="1" w:styleId="BalloonTextChar9">
    <w:name w:val="Balloon Text Char9"/>
    <w:basedOn w:val="Policepardfaut"/>
    <w:uiPriority w:val="99"/>
    <w:rsid w:val="00C811D2"/>
    <w:rPr>
      <w:rFonts w:ascii="Lucida Grande" w:hAnsi="Lucida Grande"/>
      <w:sz w:val="18"/>
      <w:szCs w:val="18"/>
    </w:rPr>
  </w:style>
  <w:style w:type="paragraph" w:customStyle="1" w:styleId="noidung">
    <w:name w:val="noi dung"/>
    <w:basedOn w:val="Textebrut"/>
    <w:rsid w:val="00C811D2"/>
    <w:pPr>
      <w:widowControl w:val="0"/>
      <w:spacing w:before="40" w:after="40" w:line="300" w:lineRule="exact"/>
      <w:ind w:firstLine="425"/>
      <w:jc w:val="both"/>
    </w:pPr>
    <w:rPr>
      <w:rFonts w:ascii=".VnCentury Schoolbook" w:eastAsia="MS Mincho" w:hAnsi=".VnCentury Schoolbook"/>
      <w:sz w:val="23"/>
      <w:lang w:val="en-US"/>
    </w:rPr>
  </w:style>
  <w:style w:type="paragraph" w:customStyle="1" w:styleId="1nho">
    <w:name w:val="1 nho"/>
    <w:basedOn w:val="Textebrut"/>
    <w:rsid w:val="00C811D2"/>
    <w:pPr>
      <w:spacing w:before="120" w:after="80" w:line="300" w:lineRule="exact"/>
      <w:ind w:firstLine="425"/>
      <w:jc w:val="both"/>
    </w:pPr>
    <w:rPr>
      <w:rFonts w:ascii=".VnCentury Schoolbook" w:eastAsia="MS Mincho" w:hAnsi=".VnCentury Schoolbook"/>
      <w:b/>
      <w:sz w:val="23"/>
      <w:lang w:val="en-US"/>
    </w:rPr>
  </w:style>
  <w:style w:type="paragraph" w:customStyle="1" w:styleId="CharCharCharCharCharCharChar">
    <w:name w:val="Char Char Char Char Char Char Char"/>
    <w:basedOn w:val="Normal"/>
    <w:semiHidden/>
    <w:rsid w:val="00C811D2"/>
    <w:pPr>
      <w:spacing w:before="0" w:after="160" w:line="240" w:lineRule="exact"/>
      <w:contextualSpacing w:val="0"/>
      <w:jc w:val="left"/>
    </w:pPr>
    <w:rPr>
      <w:rFonts w:ascii=".VnArial" w:eastAsia=".VnTime" w:hAnsi=".VnArial" w:cs=".VnTime"/>
      <w:sz w:val="22"/>
      <w:szCs w:val="22"/>
      <w:lang w:val="en-US"/>
    </w:rPr>
  </w:style>
  <w:style w:type="paragraph" w:customStyle="1" w:styleId="niu">
    <w:name w:val="n§iÒu"/>
    <w:basedOn w:val="Normal"/>
    <w:rsid w:val="00C811D2"/>
    <w:pPr>
      <w:spacing w:after="0" w:line="340" w:lineRule="exact"/>
      <w:ind w:firstLine="680"/>
      <w:contextualSpacing w:val="0"/>
      <w:jc w:val="left"/>
    </w:pPr>
    <w:rPr>
      <w:rFonts w:ascii=".VnTime" w:hAnsi=".VnTime"/>
      <w:b/>
      <w:sz w:val="28"/>
      <w:szCs w:val="28"/>
      <w:lang w:val="en-US"/>
    </w:rPr>
  </w:style>
  <w:style w:type="character" w:customStyle="1" w:styleId="dieuChar">
    <w:name w:val="dieu Char"/>
    <w:link w:val="dieu"/>
    <w:rsid w:val="00C811D2"/>
    <w:rPr>
      <w:rFonts w:ascii="Times New Roman" w:eastAsia="Times New Roman" w:hAnsi="Times New Roman"/>
      <w:b/>
      <w:color w:val="0000FF"/>
      <w:sz w:val="26"/>
    </w:rPr>
  </w:style>
  <w:style w:type="paragraph" w:customStyle="1" w:styleId="dieu">
    <w:name w:val="dieu"/>
    <w:basedOn w:val="Normal"/>
    <w:link w:val="dieuChar"/>
    <w:rsid w:val="00C811D2"/>
    <w:pPr>
      <w:spacing w:before="0" w:line="240" w:lineRule="auto"/>
      <w:ind w:left="74" w:firstLine="720"/>
      <w:contextualSpacing w:val="0"/>
    </w:pPr>
    <w:rPr>
      <w:rFonts w:cstheme="minorBidi"/>
      <w:b/>
      <w:color w:val="0000FF"/>
      <w:sz w:val="26"/>
      <w:szCs w:val="22"/>
      <w:lang w:val="en-US"/>
    </w:rPr>
  </w:style>
  <w:style w:type="paragraph" w:customStyle="1" w:styleId="CharCharCharCharCharChar1CharCharCharCharCharCharCharCharCharCharCharCharCharCharCharCharCharCharCharCharCharChar">
    <w:name w:val="Char Char Char Char Char Char1 Char Char Char Char Char Char Char Char Char Char Char Char Char Char Char Char Char Char Char Char Char Char"/>
    <w:basedOn w:val="Normal"/>
    <w:semiHidden/>
    <w:rsid w:val="00C811D2"/>
    <w:pPr>
      <w:spacing w:before="0" w:after="160" w:line="240" w:lineRule="exact"/>
      <w:contextualSpacing w:val="0"/>
      <w:jc w:val="left"/>
    </w:pPr>
    <w:rPr>
      <w:rFonts w:ascii="Arial" w:hAnsi="Arial"/>
      <w:sz w:val="22"/>
      <w:szCs w:val="22"/>
      <w:lang w:val="en-US"/>
    </w:rPr>
  </w:style>
  <w:style w:type="character" w:customStyle="1" w:styleId="CharChar9">
    <w:name w:val="Char Char9"/>
    <w:rsid w:val="00C811D2"/>
    <w:rPr>
      <w:rFonts w:ascii="Cambria" w:eastAsia="Times New Roman" w:hAnsi="Cambria" w:cs="Times New Roman"/>
      <w:b/>
      <w:bCs/>
      <w:kern w:val="32"/>
      <w:sz w:val="32"/>
      <w:szCs w:val="32"/>
    </w:rPr>
  </w:style>
  <w:style w:type="paragraph" w:customStyle="1" w:styleId="n-dieund">
    <w:name w:val="n-dieund"/>
    <w:basedOn w:val="Normal"/>
    <w:rsid w:val="00C811D2"/>
    <w:pPr>
      <w:spacing w:before="0" w:line="240" w:lineRule="auto"/>
      <w:ind w:firstLine="709"/>
      <w:contextualSpacing w:val="0"/>
    </w:pPr>
    <w:rPr>
      <w:rFonts w:ascii=".VnTime" w:hAnsi=".VnTime"/>
      <w:sz w:val="28"/>
      <w:lang w:val="en-US" w:eastAsia="ja-JP"/>
    </w:rPr>
  </w:style>
  <w:style w:type="paragraph" w:customStyle="1" w:styleId="nNidungchuong">
    <w:name w:val="nNéi dung chuong"/>
    <w:basedOn w:val="Titre4"/>
    <w:rsid w:val="00C811D2"/>
    <w:pPr>
      <w:keepLines/>
      <w:tabs>
        <w:tab w:val="clear" w:pos="1080"/>
        <w:tab w:val="clear" w:pos="2077"/>
      </w:tabs>
      <w:spacing w:before="0" w:after="0" w:line="276" w:lineRule="auto"/>
      <w:ind w:left="0" w:firstLine="0"/>
      <w:jc w:val="center"/>
    </w:pPr>
    <w:rPr>
      <w:rFonts w:ascii=".VnTimeH" w:eastAsiaTheme="majorEastAsia" w:hAnsi=".VnTimeH"/>
      <w:iCs/>
      <w:color w:val="C0504D" w:themeColor="accent2"/>
      <w:szCs w:val="24"/>
    </w:rPr>
  </w:style>
  <w:style w:type="paragraph" w:customStyle="1" w:styleId="nTnchuong">
    <w:name w:val="nTªn chuong"/>
    <w:basedOn w:val="Titre4"/>
    <w:rsid w:val="00C811D2"/>
    <w:pPr>
      <w:keepLines/>
      <w:tabs>
        <w:tab w:val="clear" w:pos="1080"/>
        <w:tab w:val="clear" w:pos="2077"/>
      </w:tabs>
      <w:spacing w:before="0" w:after="0" w:line="276" w:lineRule="auto"/>
      <w:ind w:left="0" w:firstLine="0"/>
      <w:jc w:val="center"/>
    </w:pPr>
    <w:rPr>
      <w:rFonts w:ascii=".VnTime" w:eastAsiaTheme="majorEastAsia" w:hAnsi=".VnTime"/>
      <w:iCs/>
      <w:color w:val="C0504D" w:themeColor="accent2"/>
      <w:szCs w:val="24"/>
    </w:rPr>
  </w:style>
  <w:style w:type="character" w:customStyle="1" w:styleId="BodyTextIndent2Char1">
    <w:name w:val="Body Text Indent 2 Char1"/>
    <w:semiHidden/>
    <w:locked/>
    <w:rsid w:val="00C811D2"/>
    <w:rPr>
      <w:snapToGrid w:val="0"/>
      <w:lang w:bidi="ar-SA"/>
    </w:rPr>
  </w:style>
  <w:style w:type="character" w:customStyle="1" w:styleId="Heading3Char1">
    <w:name w:val="Heading 3 Char1"/>
    <w:locked/>
    <w:rsid w:val="00C811D2"/>
    <w:rPr>
      <w:rFonts w:cs="Arial"/>
      <w:b/>
      <w:bCs/>
      <w:snapToGrid w:val="0"/>
      <w:sz w:val="28"/>
      <w:szCs w:val="26"/>
      <w:lang w:val="en-US" w:eastAsia="en-US" w:bidi="ar-SA"/>
    </w:rPr>
  </w:style>
  <w:style w:type="character" w:customStyle="1" w:styleId="CharChar4">
    <w:name w:val="Char Char4"/>
    <w:locked/>
    <w:rsid w:val="00C811D2"/>
    <w:rPr>
      <w:b/>
      <w:sz w:val="24"/>
      <w:lang w:val="nl-NL"/>
    </w:rPr>
  </w:style>
  <w:style w:type="paragraph" w:customStyle="1" w:styleId="tenbang">
    <w:name w:val="ten bang"/>
    <w:basedOn w:val="Normal"/>
    <w:rsid w:val="00C811D2"/>
    <w:pPr>
      <w:spacing w:before="240" w:after="200" w:line="300" w:lineRule="exact"/>
      <w:contextualSpacing w:val="0"/>
      <w:jc w:val="center"/>
    </w:pPr>
    <w:rPr>
      <w:rFonts w:ascii=".VnArial" w:hAnsi=".VnArial"/>
      <w:b/>
      <w:sz w:val="21"/>
      <w:szCs w:val="24"/>
      <w:lang w:val="en-US"/>
    </w:rPr>
  </w:style>
  <w:style w:type="paragraph" w:customStyle="1" w:styleId="tenchuong">
    <w:name w:val="ten chuong"/>
    <w:basedOn w:val="Textebrut"/>
    <w:rsid w:val="00C811D2"/>
    <w:pPr>
      <w:spacing w:after="480" w:line="252" w:lineRule="auto"/>
      <w:jc w:val="center"/>
    </w:pPr>
    <w:rPr>
      <w:rFonts w:ascii=".VnAvantH" w:eastAsia="MS Mincho" w:hAnsi=".VnAvantH"/>
      <w:b/>
      <w:sz w:val="26"/>
      <w:lang w:val="en-US"/>
    </w:rPr>
  </w:style>
  <w:style w:type="paragraph" w:customStyle="1" w:styleId="chuong">
    <w:name w:val="chuong"/>
    <w:basedOn w:val="Normal"/>
    <w:rsid w:val="00C811D2"/>
    <w:pPr>
      <w:spacing w:before="480" w:after="40"/>
      <w:contextualSpacing w:val="0"/>
      <w:jc w:val="center"/>
    </w:pPr>
    <w:rPr>
      <w:rFonts w:ascii=".VnCentury Schoolbook" w:eastAsia="MS Mincho" w:hAnsi=".VnCentury Schoolbook"/>
      <w:b/>
      <w:i/>
      <w:w w:val="95"/>
      <w:sz w:val="26"/>
      <w:szCs w:val="24"/>
      <w:lang w:val="en-US"/>
    </w:rPr>
  </w:style>
  <w:style w:type="paragraph" w:customStyle="1" w:styleId="Tenmuc">
    <w:name w:val="Ten muc"/>
    <w:basedOn w:val="Normal"/>
    <w:rsid w:val="00C811D2"/>
    <w:pPr>
      <w:spacing w:before="0" w:after="180" w:line="252" w:lineRule="auto"/>
      <w:contextualSpacing w:val="0"/>
      <w:jc w:val="center"/>
    </w:pPr>
    <w:rPr>
      <w:rFonts w:ascii=".VnHelvetInsH" w:eastAsia="MS Mincho" w:hAnsi=".VnHelvetInsH" w:cs="Courier New"/>
      <w:lang w:val="en-US"/>
    </w:rPr>
  </w:style>
  <w:style w:type="paragraph" w:customStyle="1" w:styleId="Heading1">
    <w:name w:val="Heading1"/>
    <w:basedOn w:val="Titre1"/>
    <w:link w:val="Heading1Char"/>
    <w:qFormat/>
    <w:rsid w:val="00A11682"/>
    <w:pPr>
      <w:tabs>
        <w:tab w:val="num" w:pos="397"/>
      </w:tabs>
      <w:ind w:left="792" w:hanging="792"/>
      <w:jc w:val="left"/>
    </w:pPr>
    <w:rPr>
      <w:rFonts w:ascii="Times New Roman Bold" w:hAnsi="Times New Roman Bold"/>
      <w:caps/>
      <w:color w:val="4F81BD" w:themeColor="accent1"/>
      <w:sz w:val="28"/>
    </w:rPr>
  </w:style>
  <w:style w:type="character" w:customStyle="1" w:styleId="Heading1Char">
    <w:name w:val="Heading1 Char"/>
    <w:basedOn w:val="Policepardfaut"/>
    <w:link w:val="Heading1"/>
    <w:rsid w:val="00A11682"/>
    <w:rPr>
      <w:rFonts w:ascii="Times New Roman Bold" w:eastAsia="Times New Roman" w:hAnsi="Times New Roman Bold" w:cs="Times New Roman"/>
      <w:b/>
      <w:caps/>
      <w:color w:val="4F81BD" w:themeColor="accent1"/>
      <w:sz w:val="28"/>
      <w:szCs w:val="20"/>
      <w:lang w:val="en-AU"/>
    </w:rPr>
  </w:style>
  <w:style w:type="table" w:customStyle="1" w:styleId="TableGrid2">
    <w:name w:val="Table Grid2"/>
    <w:basedOn w:val="TableauNormal"/>
    <w:next w:val="Grilledutableau"/>
    <w:uiPriority w:val="59"/>
    <w:rsid w:val="00C81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auNormal"/>
    <w:next w:val="Grilledutableau"/>
    <w:uiPriority w:val="59"/>
    <w:rsid w:val="00C811D2"/>
    <w:pPr>
      <w:spacing w:after="0" w:line="240" w:lineRule="auto"/>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AutoList1">
    <w:name w:val="2AutoList1"/>
    <w:basedOn w:val="Normal"/>
    <w:rsid w:val="00C811D2"/>
    <w:pPr>
      <w:numPr>
        <w:ilvl w:val="1"/>
        <w:numId w:val="70"/>
      </w:numPr>
      <w:spacing w:before="0" w:after="0" w:line="240" w:lineRule="auto"/>
      <w:contextualSpacing w:val="0"/>
    </w:pPr>
    <w:rPr>
      <w:rFonts w:eastAsia="MS Mincho"/>
      <w:lang w:val="en-US"/>
    </w:rPr>
  </w:style>
  <w:style w:type="paragraph" w:customStyle="1" w:styleId="S1-Header2">
    <w:name w:val="S1-Header2"/>
    <w:basedOn w:val="Normal"/>
    <w:autoRedefine/>
    <w:rsid w:val="00C811D2"/>
    <w:pPr>
      <w:numPr>
        <w:numId w:val="71"/>
      </w:numPr>
      <w:spacing w:before="0" w:line="240" w:lineRule="auto"/>
      <w:contextualSpacing w:val="0"/>
      <w:jc w:val="left"/>
    </w:pPr>
    <w:rPr>
      <w:rFonts w:eastAsia="MS Mincho"/>
      <w:b/>
      <w:lang w:val="en-US"/>
    </w:rPr>
  </w:style>
  <w:style w:type="paragraph" w:customStyle="1" w:styleId="S1-subpara">
    <w:name w:val="S1-sub para"/>
    <w:basedOn w:val="Normal"/>
    <w:link w:val="S1-subparaChar"/>
    <w:rsid w:val="00C811D2"/>
    <w:pPr>
      <w:numPr>
        <w:ilvl w:val="1"/>
        <w:numId w:val="71"/>
      </w:numPr>
      <w:spacing w:before="0" w:after="200" w:line="240" w:lineRule="auto"/>
      <w:contextualSpacing w:val="0"/>
    </w:pPr>
    <w:rPr>
      <w:rFonts w:eastAsia="MS Mincho"/>
    </w:rPr>
  </w:style>
  <w:style w:type="character" w:customStyle="1" w:styleId="S1-subparaChar">
    <w:name w:val="S1-sub para Char"/>
    <w:link w:val="S1-subpara"/>
    <w:rsid w:val="00C811D2"/>
    <w:rPr>
      <w:rFonts w:ascii="Times New Roman" w:eastAsia="MS Mincho" w:hAnsi="Times New Roman" w:cs="Times New Roman"/>
      <w:sz w:val="24"/>
      <w:szCs w:val="20"/>
      <w:lang w:val="en-AU"/>
    </w:rPr>
  </w:style>
  <w:style w:type="paragraph" w:customStyle="1" w:styleId="Heading2A">
    <w:name w:val="Heading 2A"/>
    <w:basedOn w:val="Heading2-A"/>
    <w:link w:val="Heading2AChar"/>
    <w:qFormat/>
    <w:rsid w:val="00EE5978"/>
    <w:pPr>
      <w:spacing w:before="0"/>
    </w:pPr>
    <w:rPr>
      <w:color w:val="4F81BD" w:themeColor="accent1"/>
    </w:rPr>
  </w:style>
  <w:style w:type="character" w:customStyle="1" w:styleId="Heading2-AChar">
    <w:name w:val="Heading 2 - A Char"/>
    <w:basedOn w:val="Titre2Car"/>
    <w:link w:val="Heading2-A"/>
    <w:rsid w:val="00EE5978"/>
    <w:rPr>
      <w:rFonts w:ascii="Times New Roman" w:eastAsia="Times New Roman" w:hAnsi="Times New Roman" w:cs="Arial"/>
      <w:b/>
      <w:bCs/>
      <w:iCs/>
      <w:smallCaps/>
      <w:color w:val="000000" w:themeColor="text1"/>
      <w:sz w:val="24"/>
      <w:szCs w:val="28"/>
      <w:lang w:val="en-GB"/>
    </w:rPr>
  </w:style>
  <w:style w:type="character" w:customStyle="1" w:styleId="Heading2AChar">
    <w:name w:val="Heading 2A Char"/>
    <w:basedOn w:val="Heading2-AChar"/>
    <w:link w:val="Heading2A"/>
    <w:rsid w:val="00EE5978"/>
    <w:rPr>
      <w:rFonts w:ascii="Times New Roman" w:eastAsia="Times New Roman" w:hAnsi="Times New Roman" w:cs="Arial"/>
      <w:b/>
      <w:bCs/>
      <w:iCs/>
      <w:smallCaps/>
      <w:color w:val="4F81BD" w:themeColor="accent1"/>
      <w:sz w:val="24"/>
      <w:szCs w:val="28"/>
      <w:lang w:val="en-GB"/>
    </w:rPr>
  </w:style>
  <w:style w:type="character" w:customStyle="1" w:styleId="Instruction">
    <w:name w:val="Instruction"/>
    <w:rsid w:val="00307A8B"/>
    <w:rPr>
      <w:color w:val="FF0000"/>
    </w:rPr>
  </w:style>
  <w:style w:type="character" w:customStyle="1" w:styleId="Instructionbold">
    <w:name w:val="Instruction (bold)"/>
    <w:rsid w:val="00307A8B"/>
    <w:rPr>
      <w:b/>
      <w:bCs w:val="0"/>
      <w:color w:val="FF0000"/>
    </w:rPr>
  </w:style>
  <w:style w:type="character" w:customStyle="1" w:styleId="Optional">
    <w:name w:val="Optional"/>
    <w:rsid w:val="00307A8B"/>
    <w:rPr>
      <w:color w:val="0000FF"/>
    </w:rPr>
  </w:style>
  <w:style w:type="paragraph" w:customStyle="1" w:styleId="Style46">
    <w:name w:val="Style46"/>
    <w:basedOn w:val="Listenumros4"/>
    <w:link w:val="Style46Char"/>
    <w:qFormat/>
    <w:rsid w:val="00947688"/>
    <w:rPr>
      <w:b/>
      <w:color w:val="4F81BD" w:themeColor="accent1"/>
      <w:sz w:val="28"/>
      <w:szCs w:val="28"/>
    </w:rPr>
  </w:style>
  <w:style w:type="paragraph" w:customStyle="1" w:styleId="Style47">
    <w:name w:val="Style47"/>
    <w:basedOn w:val="Style46"/>
    <w:link w:val="Style47Char"/>
    <w:qFormat/>
    <w:rsid w:val="00947688"/>
    <w:pPr>
      <w:numPr>
        <w:numId w:val="0"/>
      </w:numPr>
    </w:pPr>
  </w:style>
  <w:style w:type="character" w:customStyle="1" w:styleId="Listenumros4Car">
    <w:name w:val="Liste à numéros 4 Car"/>
    <w:basedOn w:val="Policepardfaut"/>
    <w:link w:val="Listenumros4"/>
    <w:rsid w:val="00947688"/>
    <w:rPr>
      <w:rFonts w:ascii="Times New Roman" w:eastAsia="Times New Roman" w:hAnsi="Times New Roman" w:cs="Times New Roman"/>
      <w:sz w:val="24"/>
      <w:szCs w:val="24"/>
    </w:rPr>
  </w:style>
  <w:style w:type="character" w:customStyle="1" w:styleId="Style46Char">
    <w:name w:val="Style46 Char"/>
    <w:basedOn w:val="Listenumros4Car"/>
    <w:link w:val="Style46"/>
    <w:rsid w:val="00947688"/>
    <w:rPr>
      <w:rFonts w:ascii="Times New Roman" w:eastAsia="Times New Roman" w:hAnsi="Times New Roman" w:cs="Times New Roman"/>
      <w:b/>
      <w:color w:val="4F81BD" w:themeColor="accent1"/>
      <w:sz w:val="28"/>
      <w:szCs w:val="28"/>
    </w:rPr>
  </w:style>
  <w:style w:type="character" w:customStyle="1" w:styleId="Style47Char">
    <w:name w:val="Style47 Char"/>
    <w:basedOn w:val="Style46Char"/>
    <w:link w:val="Style47"/>
    <w:rsid w:val="00947688"/>
    <w:rPr>
      <w:rFonts w:ascii="Times New Roman" w:eastAsia="Times New Roman" w:hAnsi="Times New Roman" w:cs="Times New Roman"/>
      <w:b/>
      <w:color w:val="4F81BD" w:themeColor="accent1"/>
      <w:sz w:val="28"/>
      <w:szCs w:val="28"/>
    </w:rPr>
  </w:style>
  <w:style w:type="paragraph" w:customStyle="1" w:styleId="Style48">
    <w:name w:val="Style48"/>
    <w:basedOn w:val="Heading2-A"/>
    <w:link w:val="Style48Char"/>
    <w:qFormat/>
    <w:rsid w:val="008A34FD"/>
    <w:pPr>
      <w:numPr>
        <w:numId w:val="74"/>
      </w:numPr>
      <w:spacing w:before="200" w:after="200" w:line="240" w:lineRule="auto"/>
      <w:outlineLvl w:val="2"/>
    </w:pPr>
    <w:rPr>
      <w:color w:val="4F81BD" w:themeColor="accent1"/>
      <w:sz w:val="28"/>
    </w:rPr>
  </w:style>
  <w:style w:type="paragraph" w:customStyle="1" w:styleId="Style49">
    <w:name w:val="Style49"/>
    <w:basedOn w:val="Style48"/>
    <w:link w:val="Style49Char"/>
    <w:qFormat/>
    <w:rsid w:val="008A34FD"/>
    <w:pPr>
      <w:numPr>
        <w:numId w:val="75"/>
      </w:numPr>
    </w:pPr>
  </w:style>
  <w:style w:type="character" w:customStyle="1" w:styleId="Style48Char">
    <w:name w:val="Style48 Char"/>
    <w:basedOn w:val="Heading2-AChar"/>
    <w:link w:val="Style48"/>
    <w:rsid w:val="008A34FD"/>
    <w:rPr>
      <w:rFonts w:ascii="Times New Roman" w:eastAsia="Times New Roman" w:hAnsi="Times New Roman" w:cs="Arial"/>
      <w:b/>
      <w:bCs/>
      <w:iCs/>
      <w:smallCaps/>
      <w:color w:val="4F81BD" w:themeColor="accent1"/>
      <w:sz w:val="28"/>
      <w:szCs w:val="28"/>
      <w:lang w:val="en-GB"/>
    </w:rPr>
  </w:style>
  <w:style w:type="paragraph" w:customStyle="1" w:styleId="Style50">
    <w:name w:val="Style50"/>
    <w:basedOn w:val="Heading2-A"/>
    <w:link w:val="Style50Char"/>
    <w:qFormat/>
    <w:rsid w:val="008A34FD"/>
    <w:pPr>
      <w:numPr>
        <w:numId w:val="80"/>
      </w:numPr>
      <w:spacing w:before="240" w:line="240" w:lineRule="auto"/>
    </w:pPr>
    <w:rPr>
      <w:color w:val="4F81BD" w:themeColor="accent1"/>
      <w:sz w:val="28"/>
    </w:rPr>
  </w:style>
  <w:style w:type="character" w:customStyle="1" w:styleId="Style49Char">
    <w:name w:val="Style49 Char"/>
    <w:basedOn w:val="Style48Char"/>
    <w:link w:val="Style49"/>
    <w:rsid w:val="008A34FD"/>
    <w:rPr>
      <w:rFonts w:ascii="Times New Roman" w:eastAsia="Times New Roman" w:hAnsi="Times New Roman" w:cs="Arial"/>
      <w:b/>
      <w:bCs/>
      <w:iCs/>
      <w:smallCaps/>
      <w:color w:val="4F81BD" w:themeColor="accent1"/>
      <w:sz w:val="28"/>
      <w:szCs w:val="28"/>
      <w:lang w:val="en-GB"/>
    </w:rPr>
  </w:style>
  <w:style w:type="paragraph" w:customStyle="1" w:styleId="Style51">
    <w:name w:val="Style51"/>
    <w:basedOn w:val="Style49"/>
    <w:link w:val="Style51Char"/>
    <w:qFormat/>
    <w:rsid w:val="008A34FD"/>
    <w:pPr>
      <w:ind w:left="720" w:hanging="432"/>
    </w:pPr>
  </w:style>
  <w:style w:type="character" w:customStyle="1" w:styleId="Style50Char">
    <w:name w:val="Style50 Char"/>
    <w:basedOn w:val="Heading2-AChar"/>
    <w:link w:val="Style50"/>
    <w:rsid w:val="008A34FD"/>
    <w:rPr>
      <w:rFonts w:ascii="Times New Roman" w:eastAsia="Times New Roman" w:hAnsi="Times New Roman" w:cs="Arial"/>
      <w:b/>
      <w:bCs/>
      <w:iCs/>
      <w:smallCaps/>
      <w:color w:val="4F81BD" w:themeColor="accent1"/>
      <w:sz w:val="28"/>
      <w:szCs w:val="28"/>
      <w:lang w:val="en-GB"/>
    </w:rPr>
  </w:style>
  <w:style w:type="paragraph" w:customStyle="1" w:styleId="Style52">
    <w:name w:val="Style52"/>
    <w:basedOn w:val="Heading1"/>
    <w:link w:val="Style52Char"/>
    <w:qFormat/>
    <w:rsid w:val="008A34FD"/>
    <w:pPr>
      <w:numPr>
        <w:numId w:val="73"/>
      </w:numPr>
      <w:spacing w:before="0" w:after="360" w:line="240" w:lineRule="auto"/>
      <w:contextualSpacing w:val="0"/>
    </w:pPr>
    <w:rPr>
      <w:sz w:val="30"/>
      <w:szCs w:val="30"/>
    </w:rPr>
  </w:style>
  <w:style w:type="character" w:customStyle="1" w:styleId="Style51Char">
    <w:name w:val="Style51 Char"/>
    <w:basedOn w:val="Style49Char"/>
    <w:link w:val="Style51"/>
    <w:rsid w:val="008A34FD"/>
    <w:rPr>
      <w:rFonts w:ascii="Times New Roman" w:eastAsia="Times New Roman" w:hAnsi="Times New Roman" w:cs="Arial"/>
      <w:b/>
      <w:bCs/>
      <w:iCs/>
      <w:smallCaps/>
      <w:color w:val="4F81BD" w:themeColor="accent1"/>
      <w:sz w:val="28"/>
      <w:szCs w:val="28"/>
      <w:lang w:val="en-GB"/>
    </w:rPr>
  </w:style>
  <w:style w:type="paragraph" w:customStyle="1" w:styleId="Style53">
    <w:name w:val="Style53"/>
    <w:basedOn w:val="Style51"/>
    <w:link w:val="Style53Char"/>
    <w:qFormat/>
    <w:rsid w:val="008A34FD"/>
    <w:pPr>
      <w:ind w:left="1080" w:hanging="360"/>
      <w:jc w:val="left"/>
    </w:pPr>
  </w:style>
  <w:style w:type="character" w:customStyle="1" w:styleId="Style52Char">
    <w:name w:val="Style52 Char"/>
    <w:basedOn w:val="Heading1Char"/>
    <w:link w:val="Style52"/>
    <w:rsid w:val="008A34FD"/>
    <w:rPr>
      <w:rFonts w:ascii="Times New Roman Bold" w:eastAsia="Times New Roman" w:hAnsi="Times New Roman Bold" w:cs="Times New Roman"/>
      <w:b/>
      <w:caps/>
      <w:color w:val="4F81BD" w:themeColor="accent1"/>
      <w:sz w:val="30"/>
      <w:szCs w:val="30"/>
      <w:lang w:val="en-AU"/>
    </w:rPr>
  </w:style>
  <w:style w:type="numbering" w:customStyle="1" w:styleId="Style54">
    <w:name w:val="Style54"/>
    <w:uiPriority w:val="99"/>
    <w:rsid w:val="001E3FFA"/>
    <w:pPr>
      <w:numPr>
        <w:numId w:val="76"/>
      </w:numPr>
    </w:pPr>
  </w:style>
  <w:style w:type="character" w:customStyle="1" w:styleId="Style53Char">
    <w:name w:val="Style53 Char"/>
    <w:basedOn w:val="Style51Char"/>
    <w:link w:val="Style53"/>
    <w:rsid w:val="008A34FD"/>
    <w:rPr>
      <w:rFonts w:ascii="Times New Roman" w:eastAsia="Times New Roman" w:hAnsi="Times New Roman" w:cs="Arial"/>
      <w:b/>
      <w:bCs/>
      <w:iCs/>
      <w:smallCaps/>
      <w:color w:val="4F81BD" w:themeColor="accent1"/>
      <w:sz w:val="28"/>
      <w:szCs w:val="28"/>
      <w:lang w:val="en-GB"/>
    </w:rPr>
  </w:style>
  <w:style w:type="paragraph" w:customStyle="1" w:styleId="CoverInformation">
    <w:name w:val="Cover Information"/>
    <w:basedOn w:val="Normal"/>
    <w:link w:val="CoverInformationChar"/>
    <w:qFormat/>
    <w:rsid w:val="00065BA5"/>
    <w:pPr>
      <w:spacing w:before="240" w:after="240" w:line="240" w:lineRule="auto"/>
      <w:ind w:left="3600"/>
      <w:contextualSpacing w:val="0"/>
      <w:jc w:val="left"/>
    </w:pPr>
    <w:rPr>
      <w:rFonts w:ascii="Arial" w:hAnsi="Arial" w:cs="Arial"/>
      <w:color w:val="000000" w:themeColor="text1"/>
      <w:sz w:val="22"/>
      <w:szCs w:val="22"/>
      <w:lang w:val="en-US"/>
    </w:rPr>
  </w:style>
  <w:style w:type="character" w:customStyle="1" w:styleId="CoverInformationChar">
    <w:name w:val="Cover Information Char"/>
    <w:basedOn w:val="Policepardfaut"/>
    <w:link w:val="CoverInformation"/>
    <w:rsid w:val="00065BA5"/>
    <w:rPr>
      <w:rFonts w:ascii="Arial" w:eastAsia="Times New Roman" w:hAnsi="Arial" w:cs="Arial"/>
      <w:color w:val="000000" w:themeColor="text1"/>
    </w:rPr>
  </w:style>
  <w:style w:type="paragraph" w:customStyle="1" w:styleId="TitleCover0">
    <w:name w:val="Title (Cover)"/>
    <w:basedOn w:val="Normal"/>
    <w:link w:val="TitleCoverChar"/>
    <w:qFormat/>
    <w:rsid w:val="00065BA5"/>
    <w:pPr>
      <w:spacing w:before="240" w:after="0" w:line="240" w:lineRule="auto"/>
      <w:ind w:left="3600"/>
      <w:contextualSpacing w:val="0"/>
      <w:jc w:val="left"/>
    </w:pPr>
    <w:rPr>
      <w:rFonts w:ascii="Arial" w:hAnsi="Arial" w:cs="Arial"/>
      <w:b/>
      <w:color w:val="5F497A"/>
      <w:sz w:val="64"/>
      <w:szCs w:val="64"/>
      <w:lang w:val="en-US"/>
    </w:rPr>
  </w:style>
  <w:style w:type="character" w:customStyle="1" w:styleId="TitleCoverChar">
    <w:name w:val="Title (Cover) Char"/>
    <w:basedOn w:val="Policepardfaut"/>
    <w:link w:val="TitleCover0"/>
    <w:rsid w:val="00065BA5"/>
    <w:rPr>
      <w:rFonts w:ascii="Arial" w:eastAsia="Times New Roman" w:hAnsi="Arial" w:cs="Arial"/>
      <w:b/>
      <w:color w:val="5F497A"/>
      <w:sz w:val="64"/>
      <w:szCs w:val="64"/>
    </w:rPr>
  </w:style>
  <w:style w:type="paragraph" w:customStyle="1" w:styleId="SubtitleCover">
    <w:name w:val="Subtitle (Cover)"/>
    <w:basedOn w:val="Normal"/>
    <w:link w:val="SubtitleCoverChar"/>
    <w:qFormat/>
    <w:rsid w:val="00065BA5"/>
    <w:pPr>
      <w:spacing w:before="240" w:after="0" w:line="240" w:lineRule="auto"/>
      <w:ind w:left="3600"/>
      <w:contextualSpacing w:val="0"/>
    </w:pPr>
    <w:rPr>
      <w:rFonts w:ascii="Arial" w:hAnsi="Arial" w:cs="Arial"/>
      <w:b/>
      <w:color w:val="000000" w:themeColor="text1"/>
      <w:sz w:val="44"/>
      <w:szCs w:val="44"/>
      <w:lang w:val="en-US"/>
    </w:rPr>
  </w:style>
  <w:style w:type="character" w:customStyle="1" w:styleId="SubtitleCoverChar">
    <w:name w:val="Subtitle (Cover) Char"/>
    <w:basedOn w:val="Policepardfaut"/>
    <w:link w:val="SubtitleCover"/>
    <w:rsid w:val="00065BA5"/>
    <w:rPr>
      <w:rFonts w:ascii="Arial" w:eastAsia="Times New Roman" w:hAnsi="Arial" w:cs="Arial"/>
      <w:b/>
      <w:color w:val="000000" w:themeColor="text1"/>
      <w:sz w:val="44"/>
      <w:szCs w:val="44"/>
    </w:rPr>
  </w:style>
  <w:style w:type="paragraph" w:customStyle="1" w:styleId="Text1">
    <w:name w:val="Text 1"/>
    <w:basedOn w:val="Normal"/>
    <w:uiPriority w:val="99"/>
    <w:rsid w:val="00A73EB3"/>
    <w:pPr>
      <w:autoSpaceDE w:val="0"/>
      <w:autoSpaceDN w:val="0"/>
      <w:adjustRightInd w:val="0"/>
      <w:spacing w:before="0" w:after="240" w:line="240" w:lineRule="auto"/>
      <w:contextualSpacing w:val="0"/>
    </w:pPr>
    <w:rPr>
      <w:rFonts w:ascii="Calibri" w:eastAsia="MS Mincho" w:hAnsi="Calibri" w:cs="Calibri"/>
      <w:sz w:val="22"/>
      <w:szCs w:val="22"/>
      <w:lang w:val="en-US" w:eastAsia="en-GB"/>
    </w:rPr>
  </w:style>
  <w:style w:type="character" w:customStyle="1" w:styleId="hvr">
    <w:name w:val="hvr"/>
    <w:basedOn w:val="Policepardfaut"/>
    <w:rsid w:val="00D73003"/>
  </w:style>
  <w:style w:type="character" w:customStyle="1" w:styleId="tgc">
    <w:name w:val="_tgc"/>
    <w:basedOn w:val="Policepardfaut"/>
    <w:rsid w:val="00D73003"/>
  </w:style>
  <w:style w:type="paragraph" w:customStyle="1" w:styleId="REGsH1">
    <w:name w:val="REGs H1"/>
    <w:basedOn w:val="Style5"/>
    <w:link w:val="REGsH1Char"/>
    <w:qFormat/>
    <w:rsid w:val="00EA632A"/>
    <w:pPr>
      <w:tabs>
        <w:tab w:val="clear" w:pos="680"/>
      </w:tabs>
      <w:ind w:left="0" w:firstLine="0"/>
    </w:pPr>
    <w:rPr>
      <w:rFonts w:ascii="Andes" w:hAnsi="Andes"/>
    </w:rPr>
  </w:style>
  <w:style w:type="character" w:customStyle="1" w:styleId="REGsH1Char">
    <w:name w:val="REGs H1 Char"/>
    <w:basedOn w:val="Style5Char"/>
    <w:link w:val="REGsH1"/>
    <w:rsid w:val="00EA632A"/>
    <w:rPr>
      <w:rFonts w:ascii="Andes" w:eastAsia="Times New Roman" w:hAnsi="Andes" w:cs="Arial"/>
      <w:b/>
      <w:bCs/>
      <w:color w:val="000000"/>
      <w:kern w:val="32"/>
      <w:sz w:val="24"/>
      <w:szCs w:val="32"/>
      <w:lang w:val="en-AU"/>
    </w:rPr>
  </w:style>
  <w:style w:type="numbering" w:customStyle="1" w:styleId="NoList2">
    <w:name w:val="No List2"/>
    <w:next w:val="Aucuneliste"/>
    <w:uiPriority w:val="99"/>
    <w:semiHidden/>
    <w:unhideWhenUsed/>
    <w:rsid w:val="00420CA3"/>
  </w:style>
  <w:style w:type="character" w:styleId="Mentionnonrsolue">
    <w:name w:val="Unresolved Mention"/>
    <w:basedOn w:val="Policepardfaut"/>
    <w:uiPriority w:val="99"/>
    <w:semiHidden/>
    <w:unhideWhenUsed/>
    <w:rsid w:val="004967F3"/>
    <w:rPr>
      <w:color w:val="605E5C"/>
      <w:shd w:val="clear" w:color="auto" w:fill="E1DFDD"/>
    </w:rPr>
  </w:style>
  <w:style w:type="paragraph" w:customStyle="1" w:styleId="TableParagraph">
    <w:name w:val="Table Paragraph"/>
    <w:basedOn w:val="Normal"/>
    <w:uiPriority w:val="1"/>
    <w:qFormat/>
    <w:rsid w:val="00116A4A"/>
    <w:pPr>
      <w:widowControl w:val="0"/>
      <w:autoSpaceDE w:val="0"/>
      <w:autoSpaceDN w:val="0"/>
      <w:spacing w:before="1" w:after="0" w:line="240" w:lineRule="auto"/>
      <w:ind w:left="112"/>
      <w:contextualSpacing w:val="0"/>
      <w:jc w:val="left"/>
    </w:pPr>
    <w:rPr>
      <w:rFonts w:ascii="Calibri" w:eastAsia="Calibr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680544">
      <w:bodyDiv w:val="1"/>
      <w:marLeft w:val="0"/>
      <w:marRight w:val="0"/>
      <w:marTop w:val="0"/>
      <w:marBottom w:val="0"/>
      <w:divBdr>
        <w:top w:val="none" w:sz="0" w:space="0" w:color="auto"/>
        <w:left w:val="none" w:sz="0" w:space="0" w:color="auto"/>
        <w:bottom w:val="none" w:sz="0" w:space="0" w:color="auto"/>
        <w:right w:val="none" w:sz="0" w:space="0" w:color="auto"/>
      </w:divBdr>
      <w:divsChild>
        <w:div w:id="655914880">
          <w:marLeft w:val="0"/>
          <w:marRight w:val="0"/>
          <w:marTop w:val="0"/>
          <w:marBottom w:val="0"/>
          <w:divBdr>
            <w:top w:val="none" w:sz="0" w:space="0" w:color="auto"/>
            <w:left w:val="none" w:sz="0" w:space="0" w:color="auto"/>
            <w:bottom w:val="none" w:sz="0" w:space="0" w:color="auto"/>
            <w:right w:val="none" w:sz="0" w:space="0" w:color="auto"/>
          </w:divBdr>
          <w:divsChild>
            <w:div w:id="741176876">
              <w:marLeft w:val="0"/>
              <w:marRight w:val="0"/>
              <w:marTop w:val="0"/>
              <w:marBottom w:val="0"/>
              <w:divBdr>
                <w:top w:val="none" w:sz="0" w:space="0" w:color="auto"/>
                <w:left w:val="none" w:sz="0" w:space="0" w:color="auto"/>
                <w:bottom w:val="none" w:sz="0" w:space="0" w:color="auto"/>
                <w:right w:val="none" w:sz="0" w:space="0" w:color="auto"/>
              </w:divBdr>
              <w:divsChild>
                <w:div w:id="615452644">
                  <w:marLeft w:val="0"/>
                  <w:marRight w:val="0"/>
                  <w:marTop w:val="0"/>
                  <w:marBottom w:val="0"/>
                  <w:divBdr>
                    <w:top w:val="none" w:sz="0" w:space="0" w:color="auto"/>
                    <w:left w:val="none" w:sz="0" w:space="0" w:color="auto"/>
                    <w:bottom w:val="none" w:sz="0" w:space="0" w:color="auto"/>
                    <w:right w:val="none" w:sz="0" w:space="0" w:color="auto"/>
                  </w:divBdr>
                  <w:divsChild>
                    <w:div w:id="13935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44024">
      <w:bodyDiv w:val="1"/>
      <w:marLeft w:val="0"/>
      <w:marRight w:val="0"/>
      <w:marTop w:val="0"/>
      <w:marBottom w:val="0"/>
      <w:divBdr>
        <w:top w:val="none" w:sz="0" w:space="0" w:color="auto"/>
        <w:left w:val="none" w:sz="0" w:space="0" w:color="auto"/>
        <w:bottom w:val="none" w:sz="0" w:space="0" w:color="auto"/>
        <w:right w:val="none" w:sz="0" w:space="0" w:color="auto"/>
      </w:divBdr>
    </w:div>
    <w:div w:id="174543219">
      <w:bodyDiv w:val="1"/>
      <w:marLeft w:val="0"/>
      <w:marRight w:val="0"/>
      <w:marTop w:val="0"/>
      <w:marBottom w:val="0"/>
      <w:divBdr>
        <w:top w:val="none" w:sz="0" w:space="0" w:color="auto"/>
        <w:left w:val="none" w:sz="0" w:space="0" w:color="auto"/>
        <w:bottom w:val="none" w:sz="0" w:space="0" w:color="auto"/>
        <w:right w:val="none" w:sz="0" w:space="0" w:color="auto"/>
      </w:divBdr>
    </w:div>
    <w:div w:id="183327845">
      <w:bodyDiv w:val="1"/>
      <w:marLeft w:val="0"/>
      <w:marRight w:val="0"/>
      <w:marTop w:val="0"/>
      <w:marBottom w:val="0"/>
      <w:divBdr>
        <w:top w:val="none" w:sz="0" w:space="0" w:color="auto"/>
        <w:left w:val="none" w:sz="0" w:space="0" w:color="auto"/>
        <w:bottom w:val="none" w:sz="0" w:space="0" w:color="auto"/>
        <w:right w:val="none" w:sz="0" w:space="0" w:color="auto"/>
      </w:divBdr>
    </w:div>
    <w:div w:id="215817689">
      <w:bodyDiv w:val="1"/>
      <w:marLeft w:val="0"/>
      <w:marRight w:val="0"/>
      <w:marTop w:val="0"/>
      <w:marBottom w:val="0"/>
      <w:divBdr>
        <w:top w:val="none" w:sz="0" w:space="0" w:color="auto"/>
        <w:left w:val="none" w:sz="0" w:space="0" w:color="auto"/>
        <w:bottom w:val="none" w:sz="0" w:space="0" w:color="auto"/>
        <w:right w:val="none" w:sz="0" w:space="0" w:color="auto"/>
      </w:divBdr>
    </w:div>
    <w:div w:id="224412123">
      <w:bodyDiv w:val="1"/>
      <w:marLeft w:val="0"/>
      <w:marRight w:val="0"/>
      <w:marTop w:val="0"/>
      <w:marBottom w:val="0"/>
      <w:divBdr>
        <w:top w:val="none" w:sz="0" w:space="0" w:color="auto"/>
        <w:left w:val="none" w:sz="0" w:space="0" w:color="auto"/>
        <w:bottom w:val="none" w:sz="0" w:space="0" w:color="auto"/>
        <w:right w:val="none" w:sz="0" w:space="0" w:color="auto"/>
      </w:divBdr>
    </w:div>
    <w:div w:id="236747204">
      <w:bodyDiv w:val="1"/>
      <w:marLeft w:val="0"/>
      <w:marRight w:val="0"/>
      <w:marTop w:val="0"/>
      <w:marBottom w:val="0"/>
      <w:divBdr>
        <w:top w:val="none" w:sz="0" w:space="0" w:color="auto"/>
        <w:left w:val="none" w:sz="0" w:space="0" w:color="auto"/>
        <w:bottom w:val="none" w:sz="0" w:space="0" w:color="auto"/>
        <w:right w:val="none" w:sz="0" w:space="0" w:color="auto"/>
      </w:divBdr>
      <w:divsChild>
        <w:div w:id="998465319">
          <w:marLeft w:val="0"/>
          <w:marRight w:val="0"/>
          <w:marTop w:val="0"/>
          <w:marBottom w:val="0"/>
          <w:divBdr>
            <w:top w:val="none" w:sz="0" w:space="0" w:color="auto"/>
            <w:left w:val="none" w:sz="0" w:space="0" w:color="auto"/>
            <w:bottom w:val="none" w:sz="0" w:space="0" w:color="auto"/>
            <w:right w:val="none" w:sz="0" w:space="0" w:color="auto"/>
          </w:divBdr>
          <w:divsChild>
            <w:div w:id="30112705">
              <w:marLeft w:val="0"/>
              <w:marRight w:val="0"/>
              <w:marTop w:val="0"/>
              <w:marBottom w:val="0"/>
              <w:divBdr>
                <w:top w:val="none" w:sz="0" w:space="0" w:color="auto"/>
                <w:left w:val="none" w:sz="0" w:space="0" w:color="auto"/>
                <w:bottom w:val="none" w:sz="0" w:space="0" w:color="auto"/>
                <w:right w:val="none" w:sz="0" w:space="0" w:color="auto"/>
              </w:divBdr>
            </w:div>
            <w:div w:id="94538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9057">
      <w:bodyDiv w:val="1"/>
      <w:marLeft w:val="0"/>
      <w:marRight w:val="0"/>
      <w:marTop w:val="0"/>
      <w:marBottom w:val="0"/>
      <w:divBdr>
        <w:top w:val="none" w:sz="0" w:space="0" w:color="auto"/>
        <w:left w:val="none" w:sz="0" w:space="0" w:color="auto"/>
        <w:bottom w:val="none" w:sz="0" w:space="0" w:color="auto"/>
        <w:right w:val="none" w:sz="0" w:space="0" w:color="auto"/>
      </w:divBdr>
    </w:div>
    <w:div w:id="356388821">
      <w:bodyDiv w:val="1"/>
      <w:marLeft w:val="0"/>
      <w:marRight w:val="0"/>
      <w:marTop w:val="0"/>
      <w:marBottom w:val="0"/>
      <w:divBdr>
        <w:top w:val="none" w:sz="0" w:space="0" w:color="auto"/>
        <w:left w:val="none" w:sz="0" w:space="0" w:color="auto"/>
        <w:bottom w:val="none" w:sz="0" w:space="0" w:color="auto"/>
        <w:right w:val="none" w:sz="0" w:space="0" w:color="auto"/>
      </w:divBdr>
    </w:div>
    <w:div w:id="370804589">
      <w:bodyDiv w:val="1"/>
      <w:marLeft w:val="0"/>
      <w:marRight w:val="0"/>
      <w:marTop w:val="0"/>
      <w:marBottom w:val="0"/>
      <w:divBdr>
        <w:top w:val="none" w:sz="0" w:space="0" w:color="auto"/>
        <w:left w:val="none" w:sz="0" w:space="0" w:color="auto"/>
        <w:bottom w:val="none" w:sz="0" w:space="0" w:color="auto"/>
        <w:right w:val="none" w:sz="0" w:space="0" w:color="auto"/>
      </w:divBdr>
    </w:div>
    <w:div w:id="407849689">
      <w:bodyDiv w:val="1"/>
      <w:marLeft w:val="0"/>
      <w:marRight w:val="0"/>
      <w:marTop w:val="0"/>
      <w:marBottom w:val="0"/>
      <w:divBdr>
        <w:top w:val="none" w:sz="0" w:space="0" w:color="auto"/>
        <w:left w:val="none" w:sz="0" w:space="0" w:color="auto"/>
        <w:bottom w:val="none" w:sz="0" w:space="0" w:color="auto"/>
        <w:right w:val="none" w:sz="0" w:space="0" w:color="auto"/>
      </w:divBdr>
    </w:div>
    <w:div w:id="424618524">
      <w:bodyDiv w:val="1"/>
      <w:marLeft w:val="0"/>
      <w:marRight w:val="0"/>
      <w:marTop w:val="0"/>
      <w:marBottom w:val="0"/>
      <w:divBdr>
        <w:top w:val="none" w:sz="0" w:space="0" w:color="auto"/>
        <w:left w:val="none" w:sz="0" w:space="0" w:color="auto"/>
        <w:bottom w:val="none" w:sz="0" w:space="0" w:color="auto"/>
        <w:right w:val="none" w:sz="0" w:space="0" w:color="auto"/>
      </w:divBdr>
    </w:div>
    <w:div w:id="446974889">
      <w:bodyDiv w:val="1"/>
      <w:marLeft w:val="0"/>
      <w:marRight w:val="0"/>
      <w:marTop w:val="0"/>
      <w:marBottom w:val="0"/>
      <w:divBdr>
        <w:top w:val="none" w:sz="0" w:space="0" w:color="auto"/>
        <w:left w:val="none" w:sz="0" w:space="0" w:color="auto"/>
        <w:bottom w:val="none" w:sz="0" w:space="0" w:color="auto"/>
        <w:right w:val="none" w:sz="0" w:space="0" w:color="auto"/>
      </w:divBdr>
      <w:divsChild>
        <w:div w:id="21786761">
          <w:marLeft w:val="1411"/>
          <w:marRight w:val="0"/>
          <w:marTop w:val="110"/>
          <w:marBottom w:val="0"/>
          <w:divBdr>
            <w:top w:val="none" w:sz="0" w:space="0" w:color="auto"/>
            <w:left w:val="none" w:sz="0" w:space="0" w:color="auto"/>
            <w:bottom w:val="none" w:sz="0" w:space="0" w:color="auto"/>
            <w:right w:val="none" w:sz="0" w:space="0" w:color="auto"/>
          </w:divBdr>
        </w:div>
        <w:div w:id="324355639">
          <w:marLeft w:val="878"/>
          <w:marRight w:val="0"/>
          <w:marTop w:val="110"/>
          <w:marBottom w:val="0"/>
          <w:divBdr>
            <w:top w:val="none" w:sz="0" w:space="0" w:color="auto"/>
            <w:left w:val="none" w:sz="0" w:space="0" w:color="auto"/>
            <w:bottom w:val="none" w:sz="0" w:space="0" w:color="auto"/>
            <w:right w:val="none" w:sz="0" w:space="0" w:color="auto"/>
          </w:divBdr>
        </w:div>
        <w:div w:id="338389618">
          <w:marLeft w:val="1411"/>
          <w:marRight w:val="0"/>
          <w:marTop w:val="110"/>
          <w:marBottom w:val="0"/>
          <w:divBdr>
            <w:top w:val="none" w:sz="0" w:space="0" w:color="auto"/>
            <w:left w:val="none" w:sz="0" w:space="0" w:color="auto"/>
            <w:bottom w:val="none" w:sz="0" w:space="0" w:color="auto"/>
            <w:right w:val="none" w:sz="0" w:space="0" w:color="auto"/>
          </w:divBdr>
        </w:div>
        <w:div w:id="1977447843">
          <w:marLeft w:val="1411"/>
          <w:marRight w:val="0"/>
          <w:marTop w:val="110"/>
          <w:marBottom w:val="0"/>
          <w:divBdr>
            <w:top w:val="none" w:sz="0" w:space="0" w:color="auto"/>
            <w:left w:val="none" w:sz="0" w:space="0" w:color="auto"/>
            <w:bottom w:val="none" w:sz="0" w:space="0" w:color="auto"/>
            <w:right w:val="none" w:sz="0" w:space="0" w:color="auto"/>
          </w:divBdr>
        </w:div>
      </w:divsChild>
    </w:div>
    <w:div w:id="449520923">
      <w:bodyDiv w:val="1"/>
      <w:marLeft w:val="0"/>
      <w:marRight w:val="0"/>
      <w:marTop w:val="0"/>
      <w:marBottom w:val="0"/>
      <w:divBdr>
        <w:top w:val="none" w:sz="0" w:space="0" w:color="auto"/>
        <w:left w:val="none" w:sz="0" w:space="0" w:color="auto"/>
        <w:bottom w:val="none" w:sz="0" w:space="0" w:color="auto"/>
        <w:right w:val="none" w:sz="0" w:space="0" w:color="auto"/>
      </w:divBdr>
    </w:div>
    <w:div w:id="502210783">
      <w:bodyDiv w:val="1"/>
      <w:marLeft w:val="0"/>
      <w:marRight w:val="0"/>
      <w:marTop w:val="0"/>
      <w:marBottom w:val="0"/>
      <w:divBdr>
        <w:top w:val="none" w:sz="0" w:space="0" w:color="auto"/>
        <w:left w:val="none" w:sz="0" w:space="0" w:color="auto"/>
        <w:bottom w:val="none" w:sz="0" w:space="0" w:color="auto"/>
        <w:right w:val="none" w:sz="0" w:space="0" w:color="auto"/>
      </w:divBdr>
    </w:div>
    <w:div w:id="546528780">
      <w:bodyDiv w:val="1"/>
      <w:marLeft w:val="0"/>
      <w:marRight w:val="0"/>
      <w:marTop w:val="0"/>
      <w:marBottom w:val="0"/>
      <w:divBdr>
        <w:top w:val="none" w:sz="0" w:space="0" w:color="auto"/>
        <w:left w:val="none" w:sz="0" w:space="0" w:color="auto"/>
        <w:bottom w:val="none" w:sz="0" w:space="0" w:color="auto"/>
        <w:right w:val="none" w:sz="0" w:space="0" w:color="auto"/>
      </w:divBdr>
      <w:divsChild>
        <w:div w:id="490491739">
          <w:marLeft w:val="1008"/>
          <w:marRight w:val="0"/>
          <w:marTop w:val="82"/>
          <w:marBottom w:val="0"/>
          <w:divBdr>
            <w:top w:val="none" w:sz="0" w:space="0" w:color="auto"/>
            <w:left w:val="none" w:sz="0" w:space="0" w:color="auto"/>
            <w:bottom w:val="none" w:sz="0" w:space="0" w:color="auto"/>
            <w:right w:val="none" w:sz="0" w:space="0" w:color="auto"/>
          </w:divBdr>
        </w:div>
        <w:div w:id="1419517382">
          <w:marLeft w:val="475"/>
          <w:marRight w:val="0"/>
          <w:marTop w:val="106"/>
          <w:marBottom w:val="0"/>
          <w:divBdr>
            <w:top w:val="none" w:sz="0" w:space="0" w:color="auto"/>
            <w:left w:val="none" w:sz="0" w:space="0" w:color="auto"/>
            <w:bottom w:val="none" w:sz="0" w:space="0" w:color="auto"/>
            <w:right w:val="none" w:sz="0" w:space="0" w:color="auto"/>
          </w:divBdr>
        </w:div>
        <w:div w:id="1481459728">
          <w:marLeft w:val="1008"/>
          <w:marRight w:val="0"/>
          <w:marTop w:val="77"/>
          <w:marBottom w:val="0"/>
          <w:divBdr>
            <w:top w:val="none" w:sz="0" w:space="0" w:color="auto"/>
            <w:left w:val="none" w:sz="0" w:space="0" w:color="auto"/>
            <w:bottom w:val="none" w:sz="0" w:space="0" w:color="auto"/>
            <w:right w:val="none" w:sz="0" w:space="0" w:color="auto"/>
          </w:divBdr>
        </w:div>
        <w:div w:id="1743529305">
          <w:marLeft w:val="1008"/>
          <w:marRight w:val="0"/>
          <w:marTop w:val="82"/>
          <w:marBottom w:val="0"/>
          <w:divBdr>
            <w:top w:val="none" w:sz="0" w:space="0" w:color="auto"/>
            <w:left w:val="none" w:sz="0" w:space="0" w:color="auto"/>
            <w:bottom w:val="none" w:sz="0" w:space="0" w:color="auto"/>
            <w:right w:val="none" w:sz="0" w:space="0" w:color="auto"/>
          </w:divBdr>
        </w:div>
        <w:div w:id="2057311195">
          <w:marLeft w:val="1008"/>
          <w:marRight w:val="0"/>
          <w:marTop w:val="82"/>
          <w:marBottom w:val="0"/>
          <w:divBdr>
            <w:top w:val="none" w:sz="0" w:space="0" w:color="auto"/>
            <w:left w:val="none" w:sz="0" w:space="0" w:color="auto"/>
            <w:bottom w:val="none" w:sz="0" w:space="0" w:color="auto"/>
            <w:right w:val="none" w:sz="0" w:space="0" w:color="auto"/>
          </w:divBdr>
        </w:div>
      </w:divsChild>
    </w:div>
    <w:div w:id="571889740">
      <w:bodyDiv w:val="1"/>
      <w:marLeft w:val="0"/>
      <w:marRight w:val="0"/>
      <w:marTop w:val="0"/>
      <w:marBottom w:val="0"/>
      <w:divBdr>
        <w:top w:val="none" w:sz="0" w:space="0" w:color="auto"/>
        <w:left w:val="none" w:sz="0" w:space="0" w:color="auto"/>
        <w:bottom w:val="none" w:sz="0" w:space="0" w:color="auto"/>
        <w:right w:val="none" w:sz="0" w:space="0" w:color="auto"/>
      </w:divBdr>
    </w:div>
    <w:div w:id="640768327">
      <w:bodyDiv w:val="1"/>
      <w:marLeft w:val="0"/>
      <w:marRight w:val="0"/>
      <w:marTop w:val="0"/>
      <w:marBottom w:val="0"/>
      <w:divBdr>
        <w:top w:val="none" w:sz="0" w:space="0" w:color="auto"/>
        <w:left w:val="none" w:sz="0" w:space="0" w:color="auto"/>
        <w:bottom w:val="none" w:sz="0" w:space="0" w:color="auto"/>
        <w:right w:val="none" w:sz="0" w:space="0" w:color="auto"/>
      </w:divBdr>
    </w:div>
    <w:div w:id="716902123">
      <w:bodyDiv w:val="1"/>
      <w:marLeft w:val="0"/>
      <w:marRight w:val="0"/>
      <w:marTop w:val="0"/>
      <w:marBottom w:val="0"/>
      <w:divBdr>
        <w:top w:val="none" w:sz="0" w:space="0" w:color="auto"/>
        <w:left w:val="none" w:sz="0" w:space="0" w:color="auto"/>
        <w:bottom w:val="none" w:sz="0" w:space="0" w:color="auto"/>
        <w:right w:val="none" w:sz="0" w:space="0" w:color="auto"/>
      </w:divBdr>
    </w:div>
    <w:div w:id="816652448">
      <w:bodyDiv w:val="1"/>
      <w:marLeft w:val="0"/>
      <w:marRight w:val="0"/>
      <w:marTop w:val="0"/>
      <w:marBottom w:val="0"/>
      <w:divBdr>
        <w:top w:val="none" w:sz="0" w:space="0" w:color="auto"/>
        <w:left w:val="none" w:sz="0" w:space="0" w:color="auto"/>
        <w:bottom w:val="none" w:sz="0" w:space="0" w:color="auto"/>
        <w:right w:val="none" w:sz="0" w:space="0" w:color="auto"/>
      </w:divBdr>
    </w:div>
    <w:div w:id="825054492">
      <w:bodyDiv w:val="1"/>
      <w:marLeft w:val="0"/>
      <w:marRight w:val="0"/>
      <w:marTop w:val="0"/>
      <w:marBottom w:val="0"/>
      <w:divBdr>
        <w:top w:val="none" w:sz="0" w:space="0" w:color="auto"/>
        <w:left w:val="none" w:sz="0" w:space="0" w:color="auto"/>
        <w:bottom w:val="none" w:sz="0" w:space="0" w:color="auto"/>
        <w:right w:val="none" w:sz="0" w:space="0" w:color="auto"/>
      </w:divBdr>
    </w:div>
    <w:div w:id="851839018">
      <w:bodyDiv w:val="1"/>
      <w:marLeft w:val="0"/>
      <w:marRight w:val="0"/>
      <w:marTop w:val="0"/>
      <w:marBottom w:val="0"/>
      <w:divBdr>
        <w:top w:val="none" w:sz="0" w:space="0" w:color="auto"/>
        <w:left w:val="none" w:sz="0" w:space="0" w:color="auto"/>
        <w:bottom w:val="none" w:sz="0" w:space="0" w:color="auto"/>
        <w:right w:val="none" w:sz="0" w:space="0" w:color="auto"/>
      </w:divBdr>
      <w:divsChild>
        <w:div w:id="118688837">
          <w:marLeft w:val="1008"/>
          <w:marRight w:val="0"/>
          <w:marTop w:val="77"/>
          <w:marBottom w:val="0"/>
          <w:divBdr>
            <w:top w:val="none" w:sz="0" w:space="0" w:color="auto"/>
            <w:left w:val="none" w:sz="0" w:space="0" w:color="auto"/>
            <w:bottom w:val="none" w:sz="0" w:space="0" w:color="auto"/>
            <w:right w:val="none" w:sz="0" w:space="0" w:color="auto"/>
          </w:divBdr>
        </w:div>
        <w:div w:id="419763288">
          <w:marLeft w:val="1008"/>
          <w:marRight w:val="0"/>
          <w:marTop w:val="77"/>
          <w:marBottom w:val="0"/>
          <w:divBdr>
            <w:top w:val="none" w:sz="0" w:space="0" w:color="auto"/>
            <w:left w:val="none" w:sz="0" w:space="0" w:color="auto"/>
            <w:bottom w:val="none" w:sz="0" w:space="0" w:color="auto"/>
            <w:right w:val="none" w:sz="0" w:space="0" w:color="auto"/>
          </w:divBdr>
        </w:div>
        <w:div w:id="594557099">
          <w:marLeft w:val="475"/>
          <w:marRight w:val="0"/>
          <w:marTop w:val="77"/>
          <w:marBottom w:val="0"/>
          <w:divBdr>
            <w:top w:val="none" w:sz="0" w:space="0" w:color="auto"/>
            <w:left w:val="none" w:sz="0" w:space="0" w:color="auto"/>
            <w:bottom w:val="none" w:sz="0" w:space="0" w:color="auto"/>
            <w:right w:val="none" w:sz="0" w:space="0" w:color="auto"/>
          </w:divBdr>
        </w:div>
        <w:div w:id="620697136">
          <w:marLeft w:val="1008"/>
          <w:marRight w:val="0"/>
          <w:marTop w:val="77"/>
          <w:marBottom w:val="0"/>
          <w:divBdr>
            <w:top w:val="none" w:sz="0" w:space="0" w:color="auto"/>
            <w:left w:val="none" w:sz="0" w:space="0" w:color="auto"/>
            <w:bottom w:val="none" w:sz="0" w:space="0" w:color="auto"/>
            <w:right w:val="none" w:sz="0" w:space="0" w:color="auto"/>
          </w:divBdr>
        </w:div>
        <w:div w:id="1046369397">
          <w:marLeft w:val="1008"/>
          <w:marRight w:val="0"/>
          <w:marTop w:val="77"/>
          <w:marBottom w:val="0"/>
          <w:divBdr>
            <w:top w:val="none" w:sz="0" w:space="0" w:color="auto"/>
            <w:left w:val="none" w:sz="0" w:space="0" w:color="auto"/>
            <w:bottom w:val="none" w:sz="0" w:space="0" w:color="auto"/>
            <w:right w:val="none" w:sz="0" w:space="0" w:color="auto"/>
          </w:divBdr>
        </w:div>
        <w:div w:id="1162311904">
          <w:marLeft w:val="475"/>
          <w:marRight w:val="0"/>
          <w:marTop w:val="77"/>
          <w:marBottom w:val="0"/>
          <w:divBdr>
            <w:top w:val="none" w:sz="0" w:space="0" w:color="auto"/>
            <w:left w:val="none" w:sz="0" w:space="0" w:color="auto"/>
            <w:bottom w:val="none" w:sz="0" w:space="0" w:color="auto"/>
            <w:right w:val="none" w:sz="0" w:space="0" w:color="auto"/>
          </w:divBdr>
        </w:div>
        <w:div w:id="1216165373">
          <w:marLeft w:val="1022"/>
          <w:marRight w:val="0"/>
          <w:marTop w:val="77"/>
          <w:marBottom w:val="0"/>
          <w:divBdr>
            <w:top w:val="none" w:sz="0" w:space="0" w:color="auto"/>
            <w:left w:val="none" w:sz="0" w:space="0" w:color="auto"/>
            <w:bottom w:val="none" w:sz="0" w:space="0" w:color="auto"/>
            <w:right w:val="none" w:sz="0" w:space="0" w:color="auto"/>
          </w:divBdr>
        </w:div>
        <w:div w:id="1281379154">
          <w:marLeft w:val="1008"/>
          <w:marRight w:val="0"/>
          <w:marTop w:val="77"/>
          <w:marBottom w:val="0"/>
          <w:divBdr>
            <w:top w:val="none" w:sz="0" w:space="0" w:color="auto"/>
            <w:left w:val="none" w:sz="0" w:space="0" w:color="auto"/>
            <w:bottom w:val="none" w:sz="0" w:space="0" w:color="auto"/>
            <w:right w:val="none" w:sz="0" w:space="0" w:color="auto"/>
          </w:divBdr>
        </w:div>
        <w:div w:id="1383754045">
          <w:marLeft w:val="475"/>
          <w:marRight w:val="0"/>
          <w:marTop w:val="77"/>
          <w:marBottom w:val="0"/>
          <w:divBdr>
            <w:top w:val="none" w:sz="0" w:space="0" w:color="auto"/>
            <w:left w:val="none" w:sz="0" w:space="0" w:color="auto"/>
            <w:bottom w:val="none" w:sz="0" w:space="0" w:color="auto"/>
            <w:right w:val="none" w:sz="0" w:space="0" w:color="auto"/>
          </w:divBdr>
        </w:div>
        <w:div w:id="1385643016">
          <w:marLeft w:val="475"/>
          <w:marRight w:val="0"/>
          <w:marTop w:val="77"/>
          <w:marBottom w:val="0"/>
          <w:divBdr>
            <w:top w:val="none" w:sz="0" w:space="0" w:color="auto"/>
            <w:left w:val="none" w:sz="0" w:space="0" w:color="auto"/>
            <w:bottom w:val="none" w:sz="0" w:space="0" w:color="auto"/>
            <w:right w:val="none" w:sz="0" w:space="0" w:color="auto"/>
          </w:divBdr>
        </w:div>
        <w:div w:id="1388989249">
          <w:marLeft w:val="475"/>
          <w:marRight w:val="0"/>
          <w:marTop w:val="77"/>
          <w:marBottom w:val="0"/>
          <w:divBdr>
            <w:top w:val="none" w:sz="0" w:space="0" w:color="auto"/>
            <w:left w:val="none" w:sz="0" w:space="0" w:color="auto"/>
            <w:bottom w:val="none" w:sz="0" w:space="0" w:color="auto"/>
            <w:right w:val="none" w:sz="0" w:space="0" w:color="auto"/>
          </w:divBdr>
        </w:div>
        <w:div w:id="1611858240">
          <w:marLeft w:val="1008"/>
          <w:marRight w:val="0"/>
          <w:marTop w:val="77"/>
          <w:marBottom w:val="0"/>
          <w:divBdr>
            <w:top w:val="none" w:sz="0" w:space="0" w:color="auto"/>
            <w:left w:val="none" w:sz="0" w:space="0" w:color="auto"/>
            <w:bottom w:val="none" w:sz="0" w:space="0" w:color="auto"/>
            <w:right w:val="none" w:sz="0" w:space="0" w:color="auto"/>
          </w:divBdr>
        </w:div>
        <w:div w:id="1788770250">
          <w:marLeft w:val="1008"/>
          <w:marRight w:val="0"/>
          <w:marTop w:val="77"/>
          <w:marBottom w:val="0"/>
          <w:divBdr>
            <w:top w:val="none" w:sz="0" w:space="0" w:color="auto"/>
            <w:left w:val="none" w:sz="0" w:space="0" w:color="auto"/>
            <w:bottom w:val="none" w:sz="0" w:space="0" w:color="auto"/>
            <w:right w:val="none" w:sz="0" w:space="0" w:color="auto"/>
          </w:divBdr>
        </w:div>
        <w:div w:id="1967346814">
          <w:marLeft w:val="475"/>
          <w:marRight w:val="0"/>
          <w:marTop w:val="77"/>
          <w:marBottom w:val="0"/>
          <w:divBdr>
            <w:top w:val="none" w:sz="0" w:space="0" w:color="auto"/>
            <w:left w:val="none" w:sz="0" w:space="0" w:color="auto"/>
            <w:bottom w:val="none" w:sz="0" w:space="0" w:color="auto"/>
            <w:right w:val="none" w:sz="0" w:space="0" w:color="auto"/>
          </w:divBdr>
        </w:div>
        <w:div w:id="1987466655">
          <w:marLeft w:val="475"/>
          <w:marRight w:val="0"/>
          <w:marTop w:val="77"/>
          <w:marBottom w:val="0"/>
          <w:divBdr>
            <w:top w:val="none" w:sz="0" w:space="0" w:color="auto"/>
            <w:left w:val="none" w:sz="0" w:space="0" w:color="auto"/>
            <w:bottom w:val="none" w:sz="0" w:space="0" w:color="auto"/>
            <w:right w:val="none" w:sz="0" w:space="0" w:color="auto"/>
          </w:divBdr>
        </w:div>
        <w:div w:id="1994944167">
          <w:marLeft w:val="1008"/>
          <w:marRight w:val="0"/>
          <w:marTop w:val="77"/>
          <w:marBottom w:val="0"/>
          <w:divBdr>
            <w:top w:val="none" w:sz="0" w:space="0" w:color="auto"/>
            <w:left w:val="none" w:sz="0" w:space="0" w:color="auto"/>
            <w:bottom w:val="none" w:sz="0" w:space="0" w:color="auto"/>
            <w:right w:val="none" w:sz="0" w:space="0" w:color="auto"/>
          </w:divBdr>
        </w:div>
        <w:div w:id="2017073498">
          <w:marLeft w:val="1008"/>
          <w:marRight w:val="0"/>
          <w:marTop w:val="77"/>
          <w:marBottom w:val="0"/>
          <w:divBdr>
            <w:top w:val="none" w:sz="0" w:space="0" w:color="auto"/>
            <w:left w:val="none" w:sz="0" w:space="0" w:color="auto"/>
            <w:bottom w:val="none" w:sz="0" w:space="0" w:color="auto"/>
            <w:right w:val="none" w:sz="0" w:space="0" w:color="auto"/>
          </w:divBdr>
        </w:div>
      </w:divsChild>
    </w:div>
    <w:div w:id="852106508">
      <w:bodyDiv w:val="1"/>
      <w:marLeft w:val="0"/>
      <w:marRight w:val="0"/>
      <w:marTop w:val="0"/>
      <w:marBottom w:val="0"/>
      <w:divBdr>
        <w:top w:val="none" w:sz="0" w:space="0" w:color="auto"/>
        <w:left w:val="none" w:sz="0" w:space="0" w:color="auto"/>
        <w:bottom w:val="none" w:sz="0" w:space="0" w:color="auto"/>
        <w:right w:val="none" w:sz="0" w:space="0" w:color="auto"/>
      </w:divBdr>
    </w:div>
    <w:div w:id="955984657">
      <w:bodyDiv w:val="1"/>
      <w:marLeft w:val="0"/>
      <w:marRight w:val="0"/>
      <w:marTop w:val="0"/>
      <w:marBottom w:val="0"/>
      <w:divBdr>
        <w:top w:val="none" w:sz="0" w:space="0" w:color="auto"/>
        <w:left w:val="none" w:sz="0" w:space="0" w:color="auto"/>
        <w:bottom w:val="none" w:sz="0" w:space="0" w:color="auto"/>
        <w:right w:val="none" w:sz="0" w:space="0" w:color="auto"/>
      </w:divBdr>
    </w:div>
    <w:div w:id="969017618">
      <w:bodyDiv w:val="1"/>
      <w:marLeft w:val="0"/>
      <w:marRight w:val="0"/>
      <w:marTop w:val="0"/>
      <w:marBottom w:val="0"/>
      <w:divBdr>
        <w:top w:val="none" w:sz="0" w:space="0" w:color="auto"/>
        <w:left w:val="none" w:sz="0" w:space="0" w:color="auto"/>
        <w:bottom w:val="none" w:sz="0" w:space="0" w:color="auto"/>
        <w:right w:val="none" w:sz="0" w:space="0" w:color="auto"/>
      </w:divBdr>
    </w:div>
    <w:div w:id="984160350">
      <w:bodyDiv w:val="1"/>
      <w:marLeft w:val="0"/>
      <w:marRight w:val="0"/>
      <w:marTop w:val="0"/>
      <w:marBottom w:val="0"/>
      <w:divBdr>
        <w:top w:val="none" w:sz="0" w:space="0" w:color="auto"/>
        <w:left w:val="none" w:sz="0" w:space="0" w:color="auto"/>
        <w:bottom w:val="none" w:sz="0" w:space="0" w:color="auto"/>
        <w:right w:val="none" w:sz="0" w:space="0" w:color="auto"/>
      </w:divBdr>
    </w:div>
    <w:div w:id="992679774">
      <w:bodyDiv w:val="1"/>
      <w:marLeft w:val="0"/>
      <w:marRight w:val="0"/>
      <w:marTop w:val="0"/>
      <w:marBottom w:val="0"/>
      <w:divBdr>
        <w:top w:val="none" w:sz="0" w:space="0" w:color="auto"/>
        <w:left w:val="none" w:sz="0" w:space="0" w:color="auto"/>
        <w:bottom w:val="none" w:sz="0" w:space="0" w:color="auto"/>
        <w:right w:val="none" w:sz="0" w:space="0" w:color="auto"/>
      </w:divBdr>
    </w:div>
    <w:div w:id="1032539804">
      <w:bodyDiv w:val="1"/>
      <w:marLeft w:val="0"/>
      <w:marRight w:val="0"/>
      <w:marTop w:val="0"/>
      <w:marBottom w:val="0"/>
      <w:divBdr>
        <w:top w:val="none" w:sz="0" w:space="0" w:color="auto"/>
        <w:left w:val="none" w:sz="0" w:space="0" w:color="auto"/>
        <w:bottom w:val="none" w:sz="0" w:space="0" w:color="auto"/>
        <w:right w:val="none" w:sz="0" w:space="0" w:color="auto"/>
      </w:divBdr>
    </w:div>
    <w:div w:id="1061756849">
      <w:bodyDiv w:val="1"/>
      <w:marLeft w:val="0"/>
      <w:marRight w:val="0"/>
      <w:marTop w:val="0"/>
      <w:marBottom w:val="0"/>
      <w:divBdr>
        <w:top w:val="none" w:sz="0" w:space="0" w:color="auto"/>
        <w:left w:val="none" w:sz="0" w:space="0" w:color="auto"/>
        <w:bottom w:val="none" w:sz="0" w:space="0" w:color="auto"/>
        <w:right w:val="none" w:sz="0" w:space="0" w:color="auto"/>
      </w:divBdr>
    </w:div>
    <w:div w:id="1080831051">
      <w:bodyDiv w:val="1"/>
      <w:marLeft w:val="0"/>
      <w:marRight w:val="0"/>
      <w:marTop w:val="0"/>
      <w:marBottom w:val="0"/>
      <w:divBdr>
        <w:top w:val="none" w:sz="0" w:space="0" w:color="auto"/>
        <w:left w:val="none" w:sz="0" w:space="0" w:color="auto"/>
        <w:bottom w:val="none" w:sz="0" w:space="0" w:color="auto"/>
        <w:right w:val="none" w:sz="0" w:space="0" w:color="auto"/>
      </w:divBdr>
    </w:div>
    <w:div w:id="1103961407">
      <w:bodyDiv w:val="1"/>
      <w:marLeft w:val="0"/>
      <w:marRight w:val="0"/>
      <w:marTop w:val="0"/>
      <w:marBottom w:val="0"/>
      <w:divBdr>
        <w:top w:val="none" w:sz="0" w:space="0" w:color="auto"/>
        <w:left w:val="none" w:sz="0" w:space="0" w:color="auto"/>
        <w:bottom w:val="none" w:sz="0" w:space="0" w:color="auto"/>
        <w:right w:val="none" w:sz="0" w:space="0" w:color="auto"/>
      </w:divBdr>
    </w:div>
    <w:div w:id="1164541633">
      <w:bodyDiv w:val="1"/>
      <w:marLeft w:val="0"/>
      <w:marRight w:val="0"/>
      <w:marTop w:val="0"/>
      <w:marBottom w:val="0"/>
      <w:divBdr>
        <w:top w:val="none" w:sz="0" w:space="0" w:color="auto"/>
        <w:left w:val="none" w:sz="0" w:space="0" w:color="auto"/>
        <w:bottom w:val="none" w:sz="0" w:space="0" w:color="auto"/>
        <w:right w:val="none" w:sz="0" w:space="0" w:color="auto"/>
      </w:divBdr>
    </w:div>
    <w:div w:id="1186746123">
      <w:bodyDiv w:val="1"/>
      <w:marLeft w:val="0"/>
      <w:marRight w:val="0"/>
      <w:marTop w:val="0"/>
      <w:marBottom w:val="0"/>
      <w:divBdr>
        <w:top w:val="none" w:sz="0" w:space="0" w:color="auto"/>
        <w:left w:val="none" w:sz="0" w:space="0" w:color="auto"/>
        <w:bottom w:val="none" w:sz="0" w:space="0" w:color="auto"/>
        <w:right w:val="none" w:sz="0" w:space="0" w:color="auto"/>
      </w:divBdr>
    </w:div>
    <w:div w:id="1191607200">
      <w:bodyDiv w:val="1"/>
      <w:marLeft w:val="0"/>
      <w:marRight w:val="0"/>
      <w:marTop w:val="0"/>
      <w:marBottom w:val="0"/>
      <w:divBdr>
        <w:top w:val="none" w:sz="0" w:space="0" w:color="auto"/>
        <w:left w:val="none" w:sz="0" w:space="0" w:color="auto"/>
        <w:bottom w:val="none" w:sz="0" w:space="0" w:color="auto"/>
        <w:right w:val="none" w:sz="0" w:space="0" w:color="auto"/>
      </w:divBdr>
    </w:div>
    <w:div w:id="1204296111">
      <w:bodyDiv w:val="1"/>
      <w:marLeft w:val="0"/>
      <w:marRight w:val="0"/>
      <w:marTop w:val="0"/>
      <w:marBottom w:val="0"/>
      <w:divBdr>
        <w:top w:val="none" w:sz="0" w:space="0" w:color="auto"/>
        <w:left w:val="none" w:sz="0" w:space="0" w:color="auto"/>
        <w:bottom w:val="none" w:sz="0" w:space="0" w:color="auto"/>
        <w:right w:val="none" w:sz="0" w:space="0" w:color="auto"/>
      </w:divBdr>
    </w:div>
    <w:div w:id="1217082844">
      <w:bodyDiv w:val="1"/>
      <w:marLeft w:val="0"/>
      <w:marRight w:val="0"/>
      <w:marTop w:val="0"/>
      <w:marBottom w:val="0"/>
      <w:divBdr>
        <w:top w:val="none" w:sz="0" w:space="0" w:color="auto"/>
        <w:left w:val="none" w:sz="0" w:space="0" w:color="auto"/>
        <w:bottom w:val="none" w:sz="0" w:space="0" w:color="auto"/>
        <w:right w:val="none" w:sz="0" w:space="0" w:color="auto"/>
      </w:divBdr>
    </w:div>
    <w:div w:id="1389107409">
      <w:bodyDiv w:val="1"/>
      <w:marLeft w:val="0"/>
      <w:marRight w:val="0"/>
      <w:marTop w:val="0"/>
      <w:marBottom w:val="0"/>
      <w:divBdr>
        <w:top w:val="none" w:sz="0" w:space="0" w:color="auto"/>
        <w:left w:val="none" w:sz="0" w:space="0" w:color="auto"/>
        <w:bottom w:val="none" w:sz="0" w:space="0" w:color="auto"/>
        <w:right w:val="none" w:sz="0" w:space="0" w:color="auto"/>
      </w:divBdr>
    </w:div>
    <w:div w:id="1480462481">
      <w:bodyDiv w:val="1"/>
      <w:marLeft w:val="0"/>
      <w:marRight w:val="0"/>
      <w:marTop w:val="0"/>
      <w:marBottom w:val="0"/>
      <w:divBdr>
        <w:top w:val="none" w:sz="0" w:space="0" w:color="auto"/>
        <w:left w:val="none" w:sz="0" w:space="0" w:color="auto"/>
        <w:bottom w:val="none" w:sz="0" w:space="0" w:color="auto"/>
        <w:right w:val="none" w:sz="0" w:space="0" w:color="auto"/>
      </w:divBdr>
    </w:div>
    <w:div w:id="1494493857">
      <w:bodyDiv w:val="1"/>
      <w:marLeft w:val="0"/>
      <w:marRight w:val="0"/>
      <w:marTop w:val="0"/>
      <w:marBottom w:val="0"/>
      <w:divBdr>
        <w:top w:val="none" w:sz="0" w:space="0" w:color="auto"/>
        <w:left w:val="none" w:sz="0" w:space="0" w:color="auto"/>
        <w:bottom w:val="none" w:sz="0" w:space="0" w:color="auto"/>
        <w:right w:val="none" w:sz="0" w:space="0" w:color="auto"/>
      </w:divBdr>
    </w:div>
    <w:div w:id="1589969217">
      <w:bodyDiv w:val="1"/>
      <w:marLeft w:val="0"/>
      <w:marRight w:val="0"/>
      <w:marTop w:val="0"/>
      <w:marBottom w:val="0"/>
      <w:divBdr>
        <w:top w:val="none" w:sz="0" w:space="0" w:color="auto"/>
        <w:left w:val="none" w:sz="0" w:space="0" w:color="auto"/>
        <w:bottom w:val="none" w:sz="0" w:space="0" w:color="auto"/>
        <w:right w:val="none" w:sz="0" w:space="0" w:color="auto"/>
      </w:divBdr>
    </w:div>
    <w:div w:id="1635719594">
      <w:bodyDiv w:val="1"/>
      <w:marLeft w:val="0"/>
      <w:marRight w:val="0"/>
      <w:marTop w:val="0"/>
      <w:marBottom w:val="0"/>
      <w:divBdr>
        <w:top w:val="none" w:sz="0" w:space="0" w:color="auto"/>
        <w:left w:val="none" w:sz="0" w:space="0" w:color="auto"/>
        <w:bottom w:val="none" w:sz="0" w:space="0" w:color="auto"/>
        <w:right w:val="none" w:sz="0" w:space="0" w:color="auto"/>
      </w:divBdr>
    </w:div>
    <w:div w:id="1656298483">
      <w:bodyDiv w:val="1"/>
      <w:marLeft w:val="0"/>
      <w:marRight w:val="0"/>
      <w:marTop w:val="0"/>
      <w:marBottom w:val="0"/>
      <w:divBdr>
        <w:top w:val="none" w:sz="0" w:space="0" w:color="auto"/>
        <w:left w:val="none" w:sz="0" w:space="0" w:color="auto"/>
        <w:bottom w:val="none" w:sz="0" w:space="0" w:color="auto"/>
        <w:right w:val="none" w:sz="0" w:space="0" w:color="auto"/>
      </w:divBdr>
    </w:div>
    <w:div w:id="1660888102">
      <w:bodyDiv w:val="1"/>
      <w:marLeft w:val="0"/>
      <w:marRight w:val="0"/>
      <w:marTop w:val="0"/>
      <w:marBottom w:val="0"/>
      <w:divBdr>
        <w:top w:val="none" w:sz="0" w:space="0" w:color="auto"/>
        <w:left w:val="none" w:sz="0" w:space="0" w:color="auto"/>
        <w:bottom w:val="none" w:sz="0" w:space="0" w:color="auto"/>
        <w:right w:val="none" w:sz="0" w:space="0" w:color="auto"/>
      </w:divBdr>
    </w:div>
    <w:div w:id="1689326874">
      <w:bodyDiv w:val="1"/>
      <w:marLeft w:val="0"/>
      <w:marRight w:val="0"/>
      <w:marTop w:val="0"/>
      <w:marBottom w:val="0"/>
      <w:divBdr>
        <w:top w:val="none" w:sz="0" w:space="0" w:color="auto"/>
        <w:left w:val="none" w:sz="0" w:space="0" w:color="auto"/>
        <w:bottom w:val="none" w:sz="0" w:space="0" w:color="auto"/>
        <w:right w:val="none" w:sz="0" w:space="0" w:color="auto"/>
      </w:divBdr>
    </w:div>
    <w:div w:id="1722168831">
      <w:bodyDiv w:val="1"/>
      <w:marLeft w:val="0"/>
      <w:marRight w:val="0"/>
      <w:marTop w:val="0"/>
      <w:marBottom w:val="0"/>
      <w:divBdr>
        <w:top w:val="none" w:sz="0" w:space="0" w:color="auto"/>
        <w:left w:val="none" w:sz="0" w:space="0" w:color="auto"/>
        <w:bottom w:val="none" w:sz="0" w:space="0" w:color="auto"/>
        <w:right w:val="none" w:sz="0" w:space="0" w:color="auto"/>
      </w:divBdr>
    </w:div>
    <w:div w:id="1842430568">
      <w:bodyDiv w:val="1"/>
      <w:marLeft w:val="0"/>
      <w:marRight w:val="0"/>
      <w:marTop w:val="0"/>
      <w:marBottom w:val="0"/>
      <w:divBdr>
        <w:top w:val="none" w:sz="0" w:space="0" w:color="auto"/>
        <w:left w:val="none" w:sz="0" w:space="0" w:color="auto"/>
        <w:bottom w:val="none" w:sz="0" w:space="0" w:color="auto"/>
        <w:right w:val="none" w:sz="0" w:space="0" w:color="auto"/>
      </w:divBdr>
    </w:div>
    <w:div w:id="1978413420">
      <w:bodyDiv w:val="1"/>
      <w:marLeft w:val="0"/>
      <w:marRight w:val="0"/>
      <w:marTop w:val="0"/>
      <w:marBottom w:val="0"/>
      <w:divBdr>
        <w:top w:val="none" w:sz="0" w:space="0" w:color="auto"/>
        <w:left w:val="none" w:sz="0" w:space="0" w:color="auto"/>
        <w:bottom w:val="none" w:sz="0" w:space="0" w:color="auto"/>
        <w:right w:val="none" w:sz="0" w:space="0" w:color="auto"/>
      </w:divBdr>
    </w:div>
    <w:div w:id="2039307885">
      <w:bodyDiv w:val="1"/>
      <w:marLeft w:val="0"/>
      <w:marRight w:val="0"/>
      <w:marTop w:val="0"/>
      <w:marBottom w:val="0"/>
      <w:divBdr>
        <w:top w:val="none" w:sz="0" w:space="0" w:color="auto"/>
        <w:left w:val="none" w:sz="0" w:space="0" w:color="auto"/>
        <w:bottom w:val="none" w:sz="0" w:space="0" w:color="auto"/>
        <w:right w:val="none" w:sz="0" w:space="0" w:color="auto"/>
      </w:divBdr>
    </w:div>
    <w:div w:id="2043700452">
      <w:bodyDiv w:val="1"/>
      <w:marLeft w:val="0"/>
      <w:marRight w:val="0"/>
      <w:marTop w:val="0"/>
      <w:marBottom w:val="0"/>
      <w:divBdr>
        <w:top w:val="none" w:sz="0" w:space="0" w:color="auto"/>
        <w:left w:val="none" w:sz="0" w:space="0" w:color="auto"/>
        <w:bottom w:val="none" w:sz="0" w:space="0" w:color="auto"/>
        <w:right w:val="none" w:sz="0" w:space="0" w:color="auto"/>
      </w:divBdr>
    </w:div>
    <w:div w:id="2093504007">
      <w:bodyDiv w:val="1"/>
      <w:marLeft w:val="0"/>
      <w:marRight w:val="0"/>
      <w:marTop w:val="0"/>
      <w:marBottom w:val="0"/>
      <w:divBdr>
        <w:top w:val="none" w:sz="0" w:space="0" w:color="auto"/>
        <w:left w:val="none" w:sz="0" w:space="0" w:color="auto"/>
        <w:bottom w:val="none" w:sz="0" w:space="0" w:color="auto"/>
        <w:right w:val="none" w:sz="0" w:space="0" w:color="auto"/>
      </w:divBdr>
    </w:div>
    <w:div w:id="2106464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10.xml"/><Relationship Id="rId39" Type="http://schemas.openxmlformats.org/officeDocument/2006/relationships/image" Target="media/image3.png"/><Relationship Id="rId21" Type="http://schemas.openxmlformats.org/officeDocument/2006/relationships/hyperlink" Target="http://www.worldbank.org/procurement/standarddocuments" TargetMode="External"/><Relationship Id="rId34" Type="http://schemas.openxmlformats.org/officeDocument/2006/relationships/header" Target="header17.xml"/><Relationship Id="rId42" Type="http://schemas.openxmlformats.org/officeDocument/2006/relationships/image" Target="media/image4.png"/><Relationship Id="rId47" Type="http://schemas.openxmlformats.org/officeDocument/2006/relationships/image" Target="media/image9.png"/><Relationship Id="rId50" Type="http://schemas.openxmlformats.org/officeDocument/2006/relationships/header" Target="header23.xml"/><Relationship Id="rId55" Type="http://schemas.openxmlformats.org/officeDocument/2006/relationships/image" Target="media/image1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13.xml"/><Relationship Id="rId11" Type="http://schemas.openxmlformats.org/officeDocument/2006/relationships/image" Target="media/image1.png"/><Relationship Id="rId24" Type="http://schemas.openxmlformats.org/officeDocument/2006/relationships/header" Target="header8.xml"/><Relationship Id="rId32" Type="http://schemas.openxmlformats.org/officeDocument/2006/relationships/header" Target="header15.xml"/><Relationship Id="rId37" Type="http://schemas.openxmlformats.org/officeDocument/2006/relationships/hyperlink" Target="https://thedocs.worldbank.org/en/doc/b65b445fd86e22ff1223b2451de561c6-0290012023/original/Evaluating-Bids-and-Proposals-French.pdf" TargetMode="External"/><Relationship Id="rId40" Type="http://schemas.openxmlformats.org/officeDocument/2006/relationships/header" Target="header20.xml"/><Relationship Id="rId45" Type="http://schemas.openxmlformats.org/officeDocument/2006/relationships/image" Target="media/image7.png"/><Relationship Id="rId53" Type="http://schemas.openxmlformats.org/officeDocument/2006/relationships/header" Target="header25.xml"/><Relationship Id="rId58" Type="http://schemas.openxmlformats.org/officeDocument/2006/relationships/footer" Target="footer3.xml"/><Relationship Id="rId5" Type="http://schemas.openxmlformats.org/officeDocument/2006/relationships/numbering" Target="numbering.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context.reverso.net/traduction/francais-anglais/des+b%C3%A9n%C3%A9ficiaires+effectifs" TargetMode="External"/><Relationship Id="rId27" Type="http://schemas.openxmlformats.org/officeDocument/2006/relationships/header" Target="header11.xml"/><Relationship Id="rId30" Type="http://schemas.openxmlformats.org/officeDocument/2006/relationships/hyperlink" Target="https://thedocs.worldbank.org/en/doc/c3f7190450f73c0780a33be39a33cfd3-0290012025/original/Early-Market-Engagement-Fact-Sheet-Feb-5th-For-Publication.pdf" TargetMode="External"/><Relationship Id="rId35" Type="http://schemas.openxmlformats.org/officeDocument/2006/relationships/header" Target="header18.xml"/><Relationship Id="rId43" Type="http://schemas.openxmlformats.org/officeDocument/2006/relationships/image" Target="media/image5.png"/><Relationship Id="rId48" Type="http://schemas.openxmlformats.org/officeDocument/2006/relationships/image" Target="media/image10.png"/><Relationship Id="rId56" Type="http://schemas.openxmlformats.org/officeDocument/2006/relationships/hyperlink" Target="http://www.worldbank.org/procurement" TargetMode="External"/><Relationship Id="rId8" Type="http://schemas.openxmlformats.org/officeDocument/2006/relationships/webSettings" Target="webSettings.xml"/><Relationship Id="rId51" Type="http://schemas.openxmlformats.org/officeDocument/2006/relationships/image" Target="media/image1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eader" Target="header9.xml"/><Relationship Id="rId33" Type="http://schemas.openxmlformats.org/officeDocument/2006/relationships/header" Target="header16.xml"/><Relationship Id="rId38" Type="http://schemas.openxmlformats.org/officeDocument/2006/relationships/hyperlink" Target="https://thedocs.worldbank.org/en/doc/9dcb7971706bf29b2732779c39922b77-0290012025/original/Evaluating-Bids-and-Proposals-with-Rated-Criteria-Feb-4-2025.pdf" TargetMode="External"/><Relationship Id="rId46" Type="http://schemas.openxmlformats.org/officeDocument/2006/relationships/image" Target="media/image8.png"/><Relationship Id="rId59"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header" Target="header21.xml"/><Relationship Id="rId54" Type="http://schemas.openxmlformats.org/officeDocument/2006/relationships/header" Target="header2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header" Target="header19.xml"/><Relationship Id="rId49" Type="http://schemas.openxmlformats.org/officeDocument/2006/relationships/header" Target="header22.xml"/><Relationship Id="rId57" Type="http://schemas.openxmlformats.org/officeDocument/2006/relationships/header" Target="header27.xml"/><Relationship Id="rId10" Type="http://schemas.openxmlformats.org/officeDocument/2006/relationships/endnotes" Target="endnotes.xml"/><Relationship Id="rId31" Type="http://schemas.openxmlformats.org/officeDocument/2006/relationships/header" Target="header14.xml"/><Relationship Id="rId44" Type="http://schemas.openxmlformats.org/officeDocument/2006/relationships/image" Target="media/image6.png"/><Relationship Id="rId52" Type="http://schemas.openxmlformats.org/officeDocument/2006/relationships/header" Target="header24.xm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527C973-B5FE-4B8B-83D8-A5575B4B5DCE}">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PFAuthoringDocument" ma:contentTypeID="0x010100C006E0283289B749B0B14DEDA385EED100A7FE21D02744664996D284018AE90447" ma:contentTypeVersion="19" ma:contentTypeDescription="" ma:contentTypeScope="" ma:versionID="88fcf4b6c51b47ab917eee35c4a9d786">
  <xsd:schema xmlns:xsd="http://www.w3.org/2001/XMLSchema" xmlns:xs="http://www.w3.org/2001/XMLSchema" xmlns:p="http://schemas.microsoft.com/office/2006/metadata/properties" xmlns:ns2="938bcad9-6bc6-4b76-ae38-24e7d3e89098" xmlns:ns3="b99a068c-3844-4a16-badd-77233eea0529" xmlns:ns4="b6511216-b7c5-4d62-8a2f-b853b2ba438e" targetNamespace="http://schemas.microsoft.com/office/2006/metadata/properties" ma:root="true" ma:fieldsID="66c8a08063548137ed4ac4c829f060e3" ns2:_="" ns3:_="" ns4:_="">
    <xsd:import namespace="938bcad9-6bc6-4b76-ae38-24e7d3e89098"/>
    <xsd:import namespace="b99a068c-3844-4a16-badd-77233eea0529"/>
    <xsd:import namespace="b6511216-b7c5-4d62-8a2f-b853b2ba438e"/>
    <xsd:element name="properties">
      <xsd:complexType>
        <xsd:sequence>
          <xsd:element name="documentManagement">
            <xsd:complexType>
              <xsd:all>
                <xsd:element ref="ns2:f61e8dd902c148c5966722da53e0848f" minOccurs="0"/>
                <xsd:element ref="ns3:TaxCatchAll" minOccurs="0"/>
                <xsd:element ref="ns3:TaxCatchAllLabel" minOccurs="0"/>
                <xsd:element ref="ns2:BankAccessToIPD" minOccurs="0"/>
                <xsd:element ref="ns2:CatalogIntNumber" minOccurs="0"/>
                <xsd:element ref="ns2:CatalogNumber" minOccurs="0"/>
                <xsd:element ref="ns2:ClearedDate" minOccurs="0"/>
                <xsd:element ref="ns2:ClearerComments" minOccurs="0"/>
                <xsd:element ref="ns2:ClearerName" minOccurs="0"/>
                <xsd:element ref="ns2:Content1" minOccurs="0"/>
                <xsd:element ref="ns2:DelegatedIssuer1" minOccurs="0"/>
                <xsd:element ref="ns2:DelegatedIssuer1Comments" minOccurs="0"/>
                <xsd:element ref="ns2:DelegatedIssuer1Status" minOccurs="0"/>
                <xsd:element ref="ns2:DelegatedIssuer2" minOccurs="0"/>
                <xsd:element ref="ns2:DelegatedIssuer2Comments" minOccurs="0"/>
                <xsd:element ref="ns2:DelegatedIssuer3" minOccurs="0"/>
                <xsd:element ref="ns2:DelegatedIssuer3Comments" minOccurs="0"/>
                <xsd:element ref="ns2:DelegatedIssuer3Status" minOccurs="0"/>
                <xsd:element ref="ns2:DocID" minOccurs="0"/>
                <xsd:element ref="ns2:e894ea25441e446f8ea3f1194fb42f67" minOccurs="0"/>
                <xsd:element ref="ns2:DocumentComments" minOccurs="0"/>
                <xsd:element ref="ns2:DocumentStatus" minOccurs="0"/>
                <xsd:element ref="ns2:g2e8f4a2e8fb4b1da384cf447912419f" minOccurs="0"/>
                <xsd:element ref="ns2:DocumentTitle" minOccurs="0"/>
                <xsd:element ref="ns2:EditAccessDuringWorkFlow" minOccurs="0"/>
                <xsd:element ref="ns2:EffectiveDate" minOccurs="0"/>
                <xsd:element ref="ns2:FeedbackUsers" minOccurs="0"/>
                <xsd:element ref="ns2:InformationExceptionAccess" minOccurs="0"/>
                <xsd:element ref="ns2:IsPP" minOccurs="0"/>
                <xsd:element ref="ns2:IssuedDate" minOccurs="0"/>
                <xsd:element ref="ns2:LastRevisedOn" minOccurs="0"/>
                <xsd:element ref="ns2:LawyersConsulted" minOccurs="0"/>
                <xsd:element ref="ns2:NotificationDate" minOccurs="0"/>
                <xsd:element ref="ns2:ReadAccessDuringWorkFlow" minOccurs="0"/>
                <xsd:element ref="ns2:ReadAccessAfterPublish" minOccurs="0"/>
                <xsd:element ref="ns2:RecommendedDate" minOccurs="0"/>
                <xsd:element ref="ns2:ReminderToPostOnKiosk" minOccurs="0"/>
                <xsd:element ref="ns2:ReportToBoard" minOccurs="0"/>
                <xsd:element ref="ns2:Retrofitted" minOccurs="0"/>
                <xsd:element ref="ns2:RevisionType" minOccurs="0"/>
                <xsd:element ref="ns2:SourceID" minOccurs="0"/>
                <xsd:element ref="ns2:SponsorComments" minOccurs="0"/>
                <xsd:element ref="ns2:f971de64cfbf4e95891f3c2cb0a638b9" minOccurs="0"/>
                <xsd:element ref="ns2:EditAccessAfterPublish" minOccurs="0"/>
                <xsd:element ref="ns2:f1f66c6e1c734e48b64fd1d2a1eff0ae" minOccurs="0"/>
                <xsd:element ref="ns2:pf681ec1f0744b7e820f7d7d7dc42ab6" minOccurs="0"/>
                <xsd:element ref="ns2:LinkToSourceDocument" minOccurs="0"/>
                <xsd:element ref="ns2:UnitsConsulted" minOccurs="0"/>
                <xsd:element ref="ns2:DelegatedIssuer2Status" minOccurs="0"/>
                <xsd:element ref="ns2:RetiredDate" minOccurs="0"/>
                <xsd:element ref="ns2:ExpiryDate" minOccurs="0"/>
                <xsd:element ref="ns2:DocumentKeywords" minOccurs="0"/>
                <xsd:element ref="ns2:DocumentVersions" minOccurs="0"/>
                <xsd:element ref="ns2:ActionTakenOn" minOccurs="0"/>
                <xsd:element ref="ns2:ActionBy" minOccurs="0"/>
                <xsd:element ref="ns4:EditAccessAfterPublishBkp" minOccurs="0"/>
                <xsd:element ref="ns2:OverrideDocu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8bcad9-6bc6-4b76-ae38-24e7d3e89098" elementFormDefault="qualified">
    <xsd:import namespace="http://schemas.microsoft.com/office/2006/documentManagement/types"/>
    <xsd:import namespace="http://schemas.microsoft.com/office/infopath/2007/PartnerControls"/>
    <xsd:element name="f61e8dd902c148c5966722da53e0848f" ma:index="8" nillable="true" ma:taxonomy="true" ma:internalName="f61e8dd902c148c5966722da53e0848f" ma:taxonomyFieldName="AplicableTo" ma:displayName="AplicableTo" ma:default="" ma:fieldId="{f61e8dd9-02c1-48c5-9667-22da53e0848f}" ma:taxonomyMulti="true" ma:sspId="dc770d97-f5f5-4a76-b595-8bb7d7a0df90" ma:termSetId="555a1276-4749-4b8a-becc-f0a4737c9f9f" ma:anchorId="00000000-0000-0000-0000-000000000000" ma:open="false" ma:isKeyword="false">
      <xsd:complexType>
        <xsd:sequence>
          <xsd:element ref="pc:Terms" minOccurs="0" maxOccurs="1"/>
        </xsd:sequence>
      </xsd:complexType>
    </xsd:element>
    <xsd:element name="BankAccessToIPD" ma:index="12" nillable="true" ma:displayName="BankAccessToIPD" ma:internalName="BankAccessToIPD">
      <xsd:simpleType>
        <xsd:restriction base="dms:Text">
          <xsd:maxLength value="255"/>
        </xsd:restriction>
      </xsd:simpleType>
    </xsd:element>
    <xsd:element name="CatalogIntNumber" ma:index="13" nillable="true" ma:displayName="CatalogIntNumber" ma:internalName="CatalogIntNumber">
      <xsd:simpleType>
        <xsd:restriction base="dms:Text">
          <xsd:maxLength value="255"/>
        </xsd:restriction>
      </xsd:simpleType>
    </xsd:element>
    <xsd:element name="CatalogNumber" ma:index="14" nillable="true" ma:displayName="CatalogNumber" ma:internalName="CatalogNumber">
      <xsd:simpleType>
        <xsd:restriction base="dms:Text">
          <xsd:maxLength value="255"/>
        </xsd:restriction>
      </xsd:simpleType>
    </xsd:element>
    <xsd:element name="ClearedDate" ma:index="15" nillable="true" ma:displayName="ClearedDate" ma:format="DateOnly" ma:internalName="ClearedDate">
      <xsd:simpleType>
        <xsd:restriction base="dms:DateTime"/>
      </xsd:simpleType>
    </xsd:element>
    <xsd:element name="ClearerComments" ma:index="16" nillable="true" ma:displayName="ClearerComments" ma:internalName="ClearerComments">
      <xsd:simpleType>
        <xsd:restriction base="dms:Note"/>
      </xsd:simpleType>
    </xsd:element>
    <xsd:element name="ClearerName" ma:index="17" nillable="true" ma:displayName="ClearerName" ma:list="UserInfo" ma:SharePointGroup="0" ma:internalName="ClearerNam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1" ma:index="18" nillable="true" ma:displayName="Content" ma:internalName="Content1" ma:readOnly="false">
      <xsd:simpleType>
        <xsd:restriction base="dms:Note"/>
      </xsd:simpleType>
    </xsd:element>
    <xsd:element name="DelegatedIssuer1" ma:index="19" nillable="true" ma:displayName="DelegatedIssuer1" ma:list="UserInfo" ma:SharePointGroup="0" ma:internalName="DelegatedIssuer1"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legatedIssuer1Comments" ma:index="20" nillable="true" ma:displayName="DelegatedIssuer1Comments" ma:internalName="DelegatedIssuer1Comments">
      <xsd:simpleType>
        <xsd:restriction base="dms:Note">
          <xsd:maxLength value="255"/>
        </xsd:restriction>
      </xsd:simpleType>
    </xsd:element>
    <xsd:element name="DelegatedIssuer1Status" ma:index="21" nillable="true" ma:displayName="DelegatedIssuer1Status" ma:internalName="DelegatedIssuer1Status">
      <xsd:simpleType>
        <xsd:restriction base="dms:Text">
          <xsd:maxLength value="255"/>
        </xsd:restriction>
      </xsd:simpleType>
    </xsd:element>
    <xsd:element name="DelegatedIssuer2" ma:index="22" nillable="true" ma:displayName="DelegatedIssuer2" ma:list="UserInfo" ma:SharePointGroup="0" ma:internalName="DelegatedIssuer2"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legatedIssuer2Comments" ma:index="23" nillable="true" ma:displayName="DelegatedIssuer2Comments" ma:internalName="DelegatedIssuer2Comments">
      <xsd:simpleType>
        <xsd:restriction base="dms:Note">
          <xsd:maxLength value="255"/>
        </xsd:restriction>
      </xsd:simpleType>
    </xsd:element>
    <xsd:element name="DelegatedIssuer3" ma:index="24" nillable="true" ma:displayName="DelegatedIssuer3" ma:internalName="DelegatedIssuer3">
      <xsd:simpleType>
        <xsd:restriction base="dms:Text">
          <xsd:maxLength value="255"/>
        </xsd:restriction>
      </xsd:simpleType>
    </xsd:element>
    <xsd:element name="DelegatedIssuer3Comments" ma:index="25" nillable="true" ma:displayName="DelegatedIssuer3Comments" ma:internalName="DelegatedIssuer3Comments">
      <xsd:simpleType>
        <xsd:restriction base="dms:Text">
          <xsd:maxLength value="255"/>
        </xsd:restriction>
      </xsd:simpleType>
    </xsd:element>
    <xsd:element name="DelegatedIssuer3Status" ma:index="26" nillable="true" ma:displayName="DelegatedIssuer3Status" ma:internalName="DelegatedIssuer3Status">
      <xsd:simpleType>
        <xsd:restriction base="dms:Text">
          <xsd:maxLength value="255"/>
        </xsd:restriction>
      </xsd:simpleType>
    </xsd:element>
    <xsd:element name="DocID" ma:index="27" nillable="true" ma:displayName="DocID" ma:internalName="DocID">
      <xsd:simpleType>
        <xsd:restriction base="dms:Text">
          <xsd:maxLength value="255"/>
        </xsd:restriction>
      </xsd:simpleType>
    </xsd:element>
    <xsd:element name="e894ea25441e446f8ea3f1194fb42f67" ma:index="28" nillable="true" ma:taxonomy="true" ma:internalName="e894ea25441e446f8ea3f1194fb42f67" ma:taxonomyFieldName="DocumentCategory" ma:displayName="DocumentCategory" ma:default="" ma:fieldId="{e894ea25-441e-446f-8ea3-f1194fb42f67}" ma:taxonomyMulti="true" ma:sspId="dc770d97-f5f5-4a76-b595-8bb7d7a0df90" ma:termSetId="e9862534-4963-49e3-8132-84119d250b1f" ma:anchorId="00000000-0000-0000-0000-000000000000" ma:open="false" ma:isKeyword="false">
      <xsd:complexType>
        <xsd:sequence>
          <xsd:element ref="pc:Terms" minOccurs="0" maxOccurs="1"/>
        </xsd:sequence>
      </xsd:complexType>
    </xsd:element>
    <xsd:element name="DocumentComments" ma:index="30" nillable="true" ma:displayName="DocumentComments" ma:internalName="DocumentComments">
      <xsd:simpleType>
        <xsd:restriction base="dms:Note"/>
      </xsd:simpleType>
    </xsd:element>
    <xsd:element name="DocumentStatus" ma:index="31" nillable="true" ma:displayName="DocumentStatus" ma:internalName="DocumentStatus">
      <xsd:simpleType>
        <xsd:restriction base="dms:Text">
          <xsd:maxLength value="255"/>
        </xsd:restriction>
      </xsd:simpleType>
    </xsd:element>
    <xsd:element name="g2e8f4a2e8fb4b1da384cf447912419f" ma:index="32" nillable="true" ma:taxonomy="true" ma:internalName="g2e8f4a2e8fb4b1da384cf447912419f" ma:taxonomyFieldName="DocumentSubCategory" ma:displayName="DocumentSubCategory" ma:default="" ma:fieldId="{02e8f4a2-e8fb-4b1d-a384-cf447912419f}" ma:taxonomyMulti="true" ma:sspId="dc770d97-f5f5-4a76-b595-8bb7d7a0df90" ma:termSetId="e9862534-4963-49e3-8132-84119d250b1f" ma:anchorId="00000000-0000-0000-0000-000000000000" ma:open="false" ma:isKeyword="false">
      <xsd:complexType>
        <xsd:sequence>
          <xsd:element ref="pc:Terms" minOccurs="0" maxOccurs="1"/>
        </xsd:sequence>
      </xsd:complexType>
    </xsd:element>
    <xsd:element name="DocumentTitle" ma:index="34" nillable="true" ma:displayName="DocumentTitle" ma:internalName="DocumentTitle">
      <xsd:simpleType>
        <xsd:restriction base="dms:Text">
          <xsd:maxLength value="255"/>
        </xsd:restriction>
      </xsd:simpleType>
    </xsd:element>
    <xsd:element name="EditAccessDuringWorkFlow" ma:index="35" nillable="true" ma:displayName="EditAccessDuringWorkFlow" ma:list="UserInfo" ma:SearchPeopleOnly="false" ma:SharePointGroup="0" ma:internalName="EditAccessDuringWorkFlow"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ffectiveDate" ma:index="36" nillable="true" ma:displayName="EffectiveDate" ma:format="DateOnly" ma:internalName="EffectiveDate">
      <xsd:simpleType>
        <xsd:restriction base="dms:DateTime"/>
      </xsd:simpleType>
    </xsd:element>
    <xsd:element name="FeedbackUsers" ma:index="37" nillable="true" ma:displayName="FeedbackUsers" ma:list="UserInfo" ma:SharePointGroup="0" ma:internalName="FeedbackUsers"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ationExceptionAccess" ma:index="38" nillable="true" ma:displayName="InformationExceptionAccess" ma:internalName="InformationExceptionAccess">
      <xsd:simpleType>
        <xsd:restriction base="dms:Text">
          <xsd:maxLength value="255"/>
        </xsd:restriction>
      </xsd:simpleType>
    </xsd:element>
    <xsd:element name="IsPP" ma:index="39" nillable="true" ma:displayName="IsPP" ma:default="1" ma:internalName="IsPP">
      <xsd:simpleType>
        <xsd:restriction base="dms:Boolean"/>
      </xsd:simpleType>
    </xsd:element>
    <xsd:element name="IssuedDate" ma:index="40" nillable="true" ma:displayName="IssuedDate" ma:format="DateOnly" ma:internalName="IssuedDate">
      <xsd:simpleType>
        <xsd:restriction base="dms:DateTime"/>
      </xsd:simpleType>
    </xsd:element>
    <xsd:element name="LastRevisedOn" ma:index="41" nillable="true" ma:displayName="LastRevisedOn" ma:format="DateOnly" ma:internalName="LastRevisedOn">
      <xsd:simpleType>
        <xsd:restriction base="dms:DateTime"/>
      </xsd:simpleType>
    </xsd:element>
    <xsd:element name="LawyersConsulted" ma:index="42" nillable="true" ma:displayName="LawyersConsulted" ma:internalName="LawyersConsulted">
      <xsd:simpleType>
        <xsd:restriction base="dms:Text">
          <xsd:maxLength value="255"/>
        </xsd:restriction>
      </xsd:simpleType>
    </xsd:element>
    <xsd:element name="NotificationDate" ma:index="43" nillable="true" ma:displayName="NotificationDate" ma:format="DateTime" ma:internalName="NotificationDate">
      <xsd:simpleType>
        <xsd:restriction base="dms:DateTime"/>
      </xsd:simpleType>
    </xsd:element>
    <xsd:element name="ReadAccessDuringWorkFlow" ma:index="44" nillable="true" ma:displayName="ReadAccessDuringWorkFlow" ma:list="UserInfo" ma:SearchPeopleOnly="false" ma:SharePointGroup="0" ma:internalName="ReadAccessDuringWorkFlow"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adAccessAfterPublish" ma:index="45" nillable="true" ma:displayName="ReadAccessAfterPublish" ma:list="UserInfo" ma:SearchPeopleOnly="false" ma:SharePointGroup="0" ma:internalName="ReadAccessAfterPublish"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commendedDate" ma:index="46" nillable="true" ma:displayName="RecommendedDate" ma:format="DateTime" ma:internalName="RecommendedDate">
      <xsd:simpleType>
        <xsd:restriction base="dms:DateTime"/>
      </xsd:simpleType>
    </xsd:element>
    <xsd:element name="ReminderToPostOnKiosk" ma:index="47" nillable="true" ma:displayName="ReminderToPostOnKiosk" ma:default="0" ma:internalName="ReminderToPostOnKiosk">
      <xsd:simpleType>
        <xsd:restriction base="dms:Boolean"/>
      </xsd:simpleType>
    </xsd:element>
    <xsd:element name="ReportToBoard" ma:index="48" nillable="true" ma:displayName="ReportToBoard" ma:default="0" ma:internalName="ReportToBoard">
      <xsd:simpleType>
        <xsd:restriction base="dms:Boolean"/>
      </xsd:simpleType>
    </xsd:element>
    <xsd:element name="Retrofitted" ma:index="49" nillable="true" ma:displayName="Retrofitted" ma:default="0" ma:internalName="Retrofitted">
      <xsd:simpleType>
        <xsd:restriction base="dms:Boolean"/>
      </xsd:simpleType>
    </xsd:element>
    <xsd:element name="RevisionType" ma:index="50" nillable="true" ma:displayName="RevisionType" ma:internalName="RevisionType">
      <xsd:simpleType>
        <xsd:restriction base="dms:Text">
          <xsd:maxLength value="255"/>
        </xsd:restriction>
      </xsd:simpleType>
    </xsd:element>
    <xsd:element name="SourceID" ma:index="51" nillable="true" ma:displayName="SourceID" ma:internalName="SourceID">
      <xsd:simpleType>
        <xsd:restriction base="dms:Text">
          <xsd:maxLength value="255"/>
        </xsd:restriction>
      </xsd:simpleType>
    </xsd:element>
    <xsd:element name="SponsorComments" ma:index="52" nillable="true" ma:displayName="SponsorComments" ma:internalName="SponsorComments" ma:readOnly="false">
      <xsd:simpleType>
        <xsd:restriction base="dms:Note"/>
      </xsd:simpleType>
    </xsd:element>
    <xsd:element name="f971de64cfbf4e95891f3c2cb0a638b9" ma:index="53" nillable="true" ma:taxonomy="true" ma:internalName="f971de64cfbf4e95891f3c2cb0a638b9" ma:taxonomyFieldName="DocumentType1" ma:displayName="DocumentType" ma:fieldId="{f971de64-cfbf-4e95-891f-3c2cb0a638b9}" ma:taxonomyMulti="true" ma:sspId="dc770d97-f5f5-4a76-b595-8bb7d7a0df90" ma:termSetId="a2f550a8-9c5e-44ad-9cf9-25d19f39c8c4" ma:anchorId="00000000-0000-0000-0000-000000000000" ma:open="false" ma:isKeyword="false">
      <xsd:complexType>
        <xsd:sequence>
          <xsd:element ref="pc:Terms" minOccurs="0" maxOccurs="1"/>
        </xsd:sequence>
      </xsd:complexType>
    </xsd:element>
    <xsd:element name="EditAccessAfterPublish" ma:index="55" nillable="true" ma:displayName="EditAccessAfterPublish" ma:list="UserInfo" ma:SearchPeopleOnly="false" ma:SharePointGroup="0" ma:internalName="EditAccessAfterPublish"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1f66c6e1c734e48b64fd1d2a1eff0ae" ma:index="56" nillable="true" ma:taxonomy="true" ma:internalName="f1f66c6e1c734e48b64fd1d2a1eff0ae" ma:taxonomyFieldName="IssuerVPU" ma:displayName="IssuerVPU" ma:default="" ma:fieldId="{f1f66c6e-1c73-4e48-b64f-d1d2a1eff0ae}" ma:taxonomyMulti="true" ma:sspId="dc770d97-f5f5-4a76-b595-8bb7d7a0df90" ma:termSetId="215cb692-d19c-428d-81f5-27fbe579d111" ma:anchorId="00000000-0000-0000-0000-000000000000" ma:open="false" ma:isKeyword="false">
      <xsd:complexType>
        <xsd:sequence>
          <xsd:element ref="pc:Terms" minOccurs="0" maxOccurs="1"/>
        </xsd:sequence>
      </xsd:complexType>
    </xsd:element>
    <xsd:element name="pf681ec1f0744b7e820f7d7d7dc42ab6" ma:index="58" nillable="true" ma:taxonomy="true" ma:internalName="pf681ec1f0744b7e820f7d7d7dc42ab6" ma:taxonomyFieldName="SponsorVPU" ma:displayName="SponsorVPU" ma:default="" ma:fieldId="{9f681ec1-f074-4b7e-820f-7d7d7dc42ab6}" ma:taxonomyMulti="true" ma:sspId="dc770d97-f5f5-4a76-b595-8bb7d7a0df90" ma:termSetId="215cb692-d19c-428d-81f5-27fbe579d111" ma:anchorId="00000000-0000-0000-0000-000000000000" ma:open="false" ma:isKeyword="false">
      <xsd:complexType>
        <xsd:sequence>
          <xsd:element ref="pc:Terms" minOccurs="0" maxOccurs="1"/>
        </xsd:sequence>
      </xsd:complexType>
    </xsd:element>
    <xsd:element name="LinkToSourceDocument" ma:index="60" nillable="true" ma:displayName="LinkToSourceDocument" ma:internalName="LinkToSourceDocument">
      <xsd:simpleType>
        <xsd:restriction base="dms:Note">
          <xsd:maxLength value="255"/>
        </xsd:restriction>
      </xsd:simpleType>
    </xsd:element>
    <xsd:element name="UnitsConsulted" ma:index="61" nillable="true" ma:displayName="UnitsConsulted" ma:internalName="UnitsConsulted">
      <xsd:simpleType>
        <xsd:restriction base="dms:Text">
          <xsd:maxLength value="255"/>
        </xsd:restriction>
      </xsd:simpleType>
    </xsd:element>
    <xsd:element name="DelegatedIssuer2Status" ma:index="62" nillable="true" ma:displayName="DelegatedIssuer2Status" ma:internalName="DelegatedIssuer2Status">
      <xsd:simpleType>
        <xsd:restriction base="dms:Text">
          <xsd:maxLength value="255"/>
        </xsd:restriction>
      </xsd:simpleType>
    </xsd:element>
    <xsd:element name="RetiredDate" ma:index="63" nillable="true" ma:displayName="RetiredDate" ma:format="DateOnly" ma:internalName="RetiredDate">
      <xsd:simpleType>
        <xsd:restriction base="dms:DateTime"/>
      </xsd:simpleType>
    </xsd:element>
    <xsd:element name="ExpiryDate" ma:index="64" nillable="true" ma:displayName="ExpiryDate" ma:format="DateOnly" ma:internalName="ExpiryDate">
      <xsd:simpleType>
        <xsd:restriction base="dms:DateTime"/>
      </xsd:simpleType>
    </xsd:element>
    <xsd:element name="DocumentKeywords" ma:index="65" nillable="true" ma:displayName="DocumentKeywords" ma:internalName="DocumentKeywords">
      <xsd:simpleType>
        <xsd:restriction base="dms:Note"/>
      </xsd:simpleType>
    </xsd:element>
    <xsd:element name="DocumentVersions" ma:index="66" nillable="true" ma:displayName="DocumentVersions" ma:internalName="DocumentVersions">
      <xsd:simpleType>
        <xsd:restriction base="dms:Note"/>
      </xsd:simpleType>
    </xsd:element>
    <xsd:element name="ActionTakenOn" ma:index="67" nillable="true" ma:displayName="ActionTakenOn" ma:format="DateOnly" ma:internalName="ActionTakenOn">
      <xsd:simpleType>
        <xsd:restriction base="dms:DateTime"/>
      </xsd:simpleType>
    </xsd:element>
    <xsd:element name="ActionBy" ma:index="68" nillable="true" ma:displayName="ActionBy" ma:list="UserInfo" ma:SharePointGroup="0" ma:internalName="Action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verrideDocument" ma:index="70" nillable="true" ma:displayName="OverrideDocument" ma:internalName="OverrideDocume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d6e5013e-1853-4d6f-b621-1673d2ad96b6}" ma:internalName="TaxCatchAll" ma:showField="CatchAllData" ma:web="938bcad9-6bc6-4b76-ae38-24e7d3e8909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6e5013e-1853-4d6f-b621-1673d2ad96b6}" ma:internalName="TaxCatchAllLabel" ma:readOnly="true" ma:showField="CatchAllDataLabel" ma:web="938bcad9-6bc6-4b76-ae38-24e7d3e890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6511216-b7c5-4d62-8a2f-b853b2ba438e" elementFormDefault="qualified">
    <xsd:import namespace="http://schemas.microsoft.com/office/2006/documentManagement/types"/>
    <xsd:import namespace="http://schemas.microsoft.com/office/infopath/2007/PartnerControls"/>
    <xsd:element name="EditAccessAfterPublishBkp" ma:index="69" nillable="true" ma:displayName="EditAccessAfterPublishBkp" ma:list="UserInfo" ma:SearchPeopleOnly="false" ma:SharePointGroup="0" ma:internalName="EditAccessAfterPublishBkp"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ReadAccessDuringWorkFlow xmlns="938bcad9-6bc6-4b76-ae38-24e7d3e89098">
      <UserInfo>
        <DisplayName/>
        <AccountId>64</AccountId>
        <AccountType/>
      </UserInfo>
    </ReadAccessDuringWorkFlow>
    <UnitsConsulted xmlns="938bcad9-6bc6-4b76-ae38-24e7d3e89098">GGP</UnitsConsulted>
    <DelegatedIssuer3 xmlns="938bcad9-6bc6-4b76-ae38-24e7d3e89098" xsi:nil="true"/>
    <DocumentComments xmlns="938bcad9-6bc6-4b76-ae38-24e7d3e89098" xsi:nil="true"/>
    <DocumentStatus xmlns="938bcad9-6bc6-4b76-ae38-24e7d3e89098">Published</DocumentStatus>
    <DelegatedIssuer3Status xmlns="938bcad9-6bc6-4b76-ae38-24e7d3e89098" xsi:nil="true"/>
    <e894ea25441e446f8ea3f1194fb42f67 xmlns="938bcad9-6bc6-4b76-ae38-24e7d3e89098">
      <Terms xmlns="http://schemas.microsoft.com/office/infopath/2007/PartnerControls">
        <TermInfo xmlns="http://schemas.microsoft.com/office/infopath/2007/PartnerControls">
          <TermName xmlns="http://schemas.microsoft.com/office/infopath/2007/PartnerControls">Operations</TermName>
          <TermId xmlns="http://schemas.microsoft.com/office/infopath/2007/PartnerControls">a741fdb2-6e07-4094-8b93-e095a7b2e4ff</TermId>
        </TermInfo>
      </Terms>
    </e894ea25441e446f8ea3f1194fb42f67>
    <NotificationDate xmlns="938bcad9-6bc6-4b76-ae38-24e7d3e89098">2016-12-09T17:32:07+00:00</NotificationDate>
    <RetiredDate xmlns="938bcad9-6bc6-4b76-ae38-24e7d3e89098" xsi:nil="true"/>
    <RecommendedDate xmlns="938bcad9-6bc6-4b76-ae38-24e7d3e89098">2016-12-08T13:53:10+00:00</RecommendedDate>
    <g2e8f4a2e8fb4b1da384cf447912419f xmlns="938bcad9-6bc6-4b76-ae38-24e7d3e89098">
      <Terms xmlns="http://schemas.microsoft.com/office/infopath/2007/PartnerControls">
        <TermInfo xmlns="http://schemas.microsoft.com/office/infopath/2007/PartnerControls">
          <TermName xmlns="http://schemas.microsoft.com/office/infopath/2007/PartnerControls">Fiduciary</TermName>
          <TermId xmlns="http://schemas.microsoft.com/office/infopath/2007/PartnerControls">0a352c1f-d34f-4d5b-8e92-1d77a2785514</TermId>
        </TermInfo>
      </Terms>
    </g2e8f4a2e8fb4b1da384cf447912419f>
    <LastRevisedOn xmlns="938bcad9-6bc6-4b76-ae38-24e7d3e89098" xsi:nil="true"/>
    <pf681ec1f0744b7e820f7d7d7dc42ab6 xmlns="938bcad9-6bc6-4b76-ae38-24e7d3e89098">
      <Terms xmlns="http://schemas.microsoft.com/office/infopath/2007/PartnerControls">
        <TermInfo xmlns="http://schemas.microsoft.com/office/infopath/2007/PartnerControls">
          <TermName xmlns="http://schemas.microsoft.com/office/infopath/2007/PartnerControls">OPS</TermName>
          <TermId xmlns="http://schemas.microsoft.com/office/infopath/2007/PartnerControls">922e8a9e-75e3-475c-a0b9-b0ab425fe146</TermId>
        </TermInfo>
      </Terms>
    </pf681ec1f0744b7e820f7d7d7dc42ab6>
    <f1f66c6e1c734e48b64fd1d2a1eff0ae xmlns="938bcad9-6bc6-4b76-ae38-24e7d3e89098">
      <Terms xmlns="http://schemas.microsoft.com/office/infopath/2007/PartnerControls">
        <TermInfo xmlns="http://schemas.microsoft.com/office/infopath/2007/PartnerControls">
          <TermName xmlns="http://schemas.microsoft.com/office/infopath/2007/PartnerControls">OPS</TermName>
          <TermId xmlns="http://schemas.microsoft.com/office/infopath/2007/PartnerControls">922e8a9e-75e3-475c-a0b9-b0ab425fe146</TermId>
        </TermInfo>
      </Terms>
    </f1f66c6e1c734e48b64fd1d2a1eff0ae>
    <DocumentVersions xmlns="938bcad9-6bc6-4b76-ae38-24e7d3e89098">1.0,</DocumentVersions>
    <ClearedDate xmlns="938bcad9-6bc6-4b76-ae38-24e7d3e89098">2016-12-08T15:18:33+00:00</ClearedDate>
    <DelegatedIssuer3Comments xmlns="938bcad9-6bc6-4b76-ae38-24e7d3e89098" xsi:nil="true"/>
    <Retrofitted xmlns="938bcad9-6bc6-4b76-ae38-24e7d3e89098">false</Retrofitted>
    <DelegatedIssuer2Status xmlns="938bcad9-6bc6-4b76-ae38-24e7d3e89098" xsi:nil="true"/>
    <ActionBy xmlns="938bcad9-6bc6-4b76-ae38-24e7d3e89098">
      <UserInfo>
        <DisplayName/>
        <AccountId xsi:nil="true"/>
        <AccountType/>
      </UserInfo>
    </ActionBy>
    <EditAccessDuringWorkFlow xmlns="938bcad9-6bc6-4b76-ae38-24e7d3e89098">
      <UserInfo>
        <DisplayName/>
        <AccountId>64</AccountId>
        <AccountType/>
      </UserInfo>
    </EditAccessDuringWorkFlow>
    <ActionTakenOn xmlns="938bcad9-6bc6-4b76-ae38-24e7d3e89098" xsi:nil="true"/>
    <ClearerName xmlns="938bcad9-6bc6-4b76-ae38-24e7d3e89098">
      <UserInfo>
        <DisplayName/>
        <AccountId xsi:nil="true"/>
        <AccountType/>
      </UserInfo>
    </ClearerName>
    <IssuedDate xmlns="938bcad9-6bc6-4b76-ae38-24e7d3e89098">2016-12-09T17:32:07+00:00</IssuedDate>
    <CatalogIntNumber xmlns="938bcad9-6bc6-4b76-ae38-24e7d3e89098">64bc13b5-e149-4cf6-8694-8ff3c1c7c4fa</CatalogIntNumber>
    <DelegatedIssuer1Status xmlns="938bcad9-6bc6-4b76-ae38-24e7d3e89098" xsi:nil="true"/>
    <DelegatedIssuer2Comments xmlns="938bcad9-6bc6-4b76-ae38-24e7d3e89098" xsi:nil="true"/>
    <InformationExceptionAccess xmlns="938bcad9-6bc6-4b76-ae38-24e7d3e89098" xsi:nil="true"/>
    <EditAccessAfterPublishBkp xmlns="b6511216-b7c5-4d62-8a2f-b853b2ba438e">
      <UserInfo>
        <DisplayName/>
        <AccountId xsi:nil="true"/>
        <AccountType/>
      </UserInfo>
    </EditAccessAfterPublishBkp>
    <OverrideDocument xmlns="938bcad9-6bc6-4b76-ae38-24e7d3e89098">No</OverrideDocument>
    <CatalogNumber xmlns="938bcad9-6bc6-4b76-ae38-24e7d3e89098">OPS5.05-OTH.108</CatalogNumber>
    <DocumentKeywords xmlns="938bcad9-6bc6-4b76-ae38-24e7d3e89098" xsi:nil="true"/>
    <DelegatedIssuer1 xmlns="938bcad9-6bc6-4b76-ae38-24e7d3e89098">
      <UserInfo>
        <DisplayName/>
        <AccountId xsi:nil="true"/>
        <AccountType/>
      </UserInfo>
    </DelegatedIssuer1>
    <ReportToBoard xmlns="938bcad9-6bc6-4b76-ae38-24e7d3e89098">false</ReportToBoard>
    <LinkToSourceDocument xmlns="938bcad9-6bc6-4b76-ae38-24e7d3e89098" xsi:nil="true"/>
    <DelegatedIssuer1Comments xmlns="938bcad9-6bc6-4b76-ae38-24e7d3e89098" xsi:nil="true"/>
    <EffectiveDate xmlns="938bcad9-6bc6-4b76-ae38-24e7d3e89098">2016-12-09T17:32:07+00:00</EffectiveDate>
    <LawyersConsulted xmlns="938bcad9-6bc6-4b76-ae38-24e7d3e89098">Gennady Pilch</LawyersConsulted>
    <RevisionType xmlns="938bcad9-6bc6-4b76-ae38-24e7d3e89098" xsi:nil="true"/>
    <FeedbackUsers xmlns="938bcad9-6bc6-4b76-ae38-24e7d3e89098">
      <UserInfo>
        <DisplayName/>
        <AccountId xsi:nil="true"/>
        <AccountType/>
      </UserInfo>
    </FeedbackUsers>
    <f61e8dd902c148c5966722da53e0848f xmlns="938bcad9-6bc6-4b76-ae38-24e7d3e89098">
      <Terms xmlns="http://schemas.microsoft.com/office/infopath/2007/PartnerControls">
        <TermInfo xmlns="http://schemas.microsoft.com/office/infopath/2007/PartnerControls">
          <TermName xmlns="http://schemas.microsoft.com/office/infopath/2007/PartnerControls">IBRD</TermName>
          <TermId xmlns="http://schemas.microsoft.com/office/infopath/2007/PartnerControls">49b9d27c-0902-4ac6-9d63-a6af8ec7c760</TermId>
        </TermInfo>
        <TermInfo xmlns="http://schemas.microsoft.com/office/infopath/2007/PartnerControls">
          <TermName xmlns="http://schemas.microsoft.com/office/infopath/2007/PartnerControls">IDA</TermName>
          <TermId xmlns="http://schemas.microsoft.com/office/infopath/2007/PartnerControls">3dabc02f-d59c-47c1-a18f-b90df0b14abe</TermId>
        </TermInfo>
      </Terms>
    </f61e8dd902c148c5966722da53e0848f>
    <TaxCatchAll xmlns="b99a068c-3844-4a16-badd-77233eea0529"/>
    <SponsorComments xmlns="938bcad9-6bc6-4b76-ae38-24e7d3e89098">French Translation of the World Bank Procurement Regulations. Part of the New Procurement Framework documents.</SponsorComments>
    <DelegatedIssuer2 xmlns="938bcad9-6bc6-4b76-ae38-24e7d3e89098">
      <UserInfo>
        <DisplayName/>
        <AccountId xsi:nil="true"/>
        <AccountType/>
      </UserInfo>
    </DelegatedIssuer2>
    <DocID xmlns="938bcad9-6bc6-4b76-ae38-24e7d3e89098">9c879397-b249-49bb-847d-b1b9359892cc</DocID>
    <ReadAccessAfterPublish xmlns="938bcad9-6bc6-4b76-ae38-24e7d3e89098">
      <UserInfo>
        <DisplayName/>
        <AccountId xsi:nil="true"/>
        <AccountType/>
      </UserInfo>
    </ReadAccessAfterPublish>
    <ReminderToPostOnKiosk xmlns="938bcad9-6bc6-4b76-ae38-24e7d3e89098">false</ReminderToPostOnKiosk>
    <ExpiryDate xmlns="938bcad9-6bc6-4b76-ae38-24e7d3e89098" xsi:nil="true"/>
    <BankAccessToIPD xmlns="938bcad9-6bc6-4b76-ae38-24e7d3e89098">Public</BankAccessToIPD>
    <Content1 xmlns="938bcad9-6bc6-4b76-ae38-24e7d3e89098">World Bank Procurement Regulations for IPF Borrowers, governing the procurement of Goods, Works, Non-consulting Services, and Consulting Services for IPF operations to be financed in whole. or in part, by the Bank. </Content1>
    <SourceID xmlns="938bcad9-6bc6-4b76-ae38-24e7d3e89098" xsi:nil="true"/>
    <EditAccessAfterPublish xmlns="938bcad9-6bc6-4b76-ae38-24e7d3e89098">
      <UserInfo>
        <DisplayName/>
        <AccountId xsi:nil="true"/>
        <AccountType/>
      </UserInfo>
    </EditAccessAfterPublish>
    <ClearerComments xmlns="938bcad9-6bc6-4b76-ae38-24e7d3e89098">I approve</ClearerComments>
    <DocumentTitle xmlns="938bcad9-6bc6-4b76-ae38-24e7d3e89098">The World Bank Procurement Regulations for IPF Borrowers FRENCH</DocumentTitle>
    <IsPP xmlns="938bcad9-6bc6-4b76-ae38-24e7d3e89098">true</IsPP>
    <f971de64cfbf4e95891f3c2cb0a638b9 xmlns="938bcad9-6bc6-4b76-ae38-24e7d3e89098">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0a1493bd-ee18-4fe5-bd6e-df654f04a475</TermId>
        </TermInfo>
      </Terms>
    </f971de64cfbf4e95891f3c2cb0a638b9>
  </documentManagement>
</p:properties>
</file>

<file path=customXml/itemProps1.xml><?xml version="1.0" encoding="utf-8"?>
<ds:datastoreItem xmlns:ds="http://schemas.openxmlformats.org/officeDocument/2006/customXml" ds:itemID="{5579B02F-95D3-4DEC-AD7E-99B3BC61C204}">
  <ds:schemaRefs>
    <ds:schemaRef ds:uri="http://schemas.openxmlformats.org/officeDocument/2006/bibliography"/>
  </ds:schemaRefs>
</ds:datastoreItem>
</file>

<file path=customXml/itemProps2.xml><?xml version="1.0" encoding="utf-8"?>
<ds:datastoreItem xmlns:ds="http://schemas.openxmlformats.org/officeDocument/2006/customXml" ds:itemID="{92485C13-5B2A-4BB5-B6D2-31FAFD106D31}">
  <ds:schemaRefs>
    <ds:schemaRef ds:uri="http://schemas.microsoft.com/sharepoint/v3/contenttype/forms"/>
  </ds:schemaRefs>
</ds:datastoreItem>
</file>

<file path=customXml/itemProps3.xml><?xml version="1.0" encoding="utf-8"?>
<ds:datastoreItem xmlns:ds="http://schemas.openxmlformats.org/officeDocument/2006/customXml" ds:itemID="{286E110A-8F13-420B-8049-FC2BF46342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8bcad9-6bc6-4b76-ae38-24e7d3e89098"/>
    <ds:schemaRef ds:uri="b99a068c-3844-4a16-badd-77233eea0529"/>
    <ds:schemaRef ds:uri="b6511216-b7c5-4d62-8a2f-b853b2ba43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D69E22-3946-44AD-AF81-0A9B386A3C6B}">
  <ds:schemaRefs>
    <ds:schemaRef ds:uri="http://schemas.microsoft.com/office/2006/metadata/properties"/>
    <ds:schemaRef ds:uri="http://schemas.microsoft.com/office/infopath/2007/PartnerControls"/>
    <ds:schemaRef ds:uri="938bcad9-6bc6-4b76-ae38-24e7d3e89098"/>
    <ds:schemaRef ds:uri="b6511216-b7c5-4d62-8a2f-b853b2ba438e"/>
    <ds:schemaRef ds:uri="b99a068c-3844-4a16-badd-77233eea0529"/>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151</Pages>
  <Words>49561</Words>
  <Characters>272591</Characters>
  <Application>Microsoft Office Word</Application>
  <DocSecurity>0</DocSecurity>
  <Lines>2271</Lines>
  <Paragraphs>643</Paragraphs>
  <ScaleCrop>false</ScaleCrop>
  <HeadingPairs>
    <vt:vector size="2" baseType="variant">
      <vt:variant>
        <vt:lpstr>Title</vt:lpstr>
      </vt:variant>
      <vt:variant>
        <vt:i4>1</vt:i4>
      </vt:variant>
    </vt:vector>
  </HeadingPairs>
  <TitlesOfParts>
    <vt:vector size="1" baseType="lpstr">
      <vt:lpstr>The World Bank Procurement Regulations for IPF Borrowers FRENCH</vt:lpstr>
    </vt:vector>
  </TitlesOfParts>
  <Company>The World Bank Group</Company>
  <LinksUpToDate>false</LinksUpToDate>
  <CharactersWithSpaces>321509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World Bank Procurement Regulations for IPF Borrowers FRENCH</dc:title>
  <dc:creator>Sonia Cristina Rodrigues Da Fonseca</dc:creator>
  <cp:lastModifiedBy>JEAN-JACQUES RAOUL</cp:lastModifiedBy>
  <cp:revision>4</cp:revision>
  <cp:lastPrinted>2023-08-27T09:19:00Z</cp:lastPrinted>
  <dcterms:created xsi:type="dcterms:W3CDTF">2025-02-24T23:57:00Z</dcterms:created>
  <dcterms:modified xsi:type="dcterms:W3CDTF">2025-02-25T00:08:00Z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0x010100C006E0283289B749B0B14DEDA385EED100A7FE21D02744664996D284018AE90447</vt:lpwstr>
  </property>
  <property fmtid="{D5CDD505-2E9C-101B-9397-08002B2CF9AE}" pid="3" name="IssuerVPU">
    <vt:lpwstr>116;#OPS|922e8a9e-75e3-475c-a0b9-b0ab425fe146</vt:lpwstr>
  </property>
  <property fmtid="{D5CDD505-2E9C-101B-9397-08002B2CF9AE}" pid="4" name="DocumentType1">
    <vt:lpwstr>43;#Other|0a1493bd-ee18-4fe5-bd6e-df654f04a475</vt:lpwstr>
  </property>
  <property fmtid="{D5CDD505-2E9C-101B-9397-08002B2CF9AE}" pid="5" name="DocumentSubCategory">
    <vt:lpwstr>49;#Fiduciary|0a352c1f-d34f-4d5b-8e92-1d77a2785514</vt:lpwstr>
  </property>
  <property fmtid="{D5CDD505-2E9C-101B-9397-08002B2CF9AE}" pid="6" name="AplicableTo">
    <vt:lpwstr>7;#IBRD|49b9d27c-0902-4ac6-9d63-a6af8ec7c760;#87;#IDA|3dabc02f-d59c-47c1-a18f-b90df0b14abe</vt:lpwstr>
  </property>
  <property fmtid="{D5CDD505-2E9C-101B-9397-08002B2CF9AE}" pid="7" name="DocumentCategory">
    <vt:lpwstr>35;#Operations|a741fdb2-6e07-4094-8b93-e095a7b2e4ff</vt:lpwstr>
  </property>
  <property fmtid="{D5CDD505-2E9C-101B-9397-08002B2CF9AE}" pid="8" name="SponsorVPU">
    <vt:lpwstr>116;#OPS|922e8a9e-75e3-475c-a0b9-b0ab425fe146</vt:lpwstr>
  </property>
</Properties>
</file>