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55" w:rsidRPr="006B6D45" w:rsidRDefault="00393555" w:rsidP="00393555">
      <w:pPr>
        <w:ind w:right="31"/>
        <w:jc w:val="both"/>
        <w:rPr>
          <w:b/>
          <w:sz w:val="20"/>
          <w:u w:val="single"/>
          <w:lang w:val="en-US"/>
        </w:rPr>
      </w:pPr>
      <w:r w:rsidRPr="006B6D45">
        <w:rPr>
          <w:b/>
          <w:sz w:val="20"/>
          <w:u w:val="single"/>
          <w:lang w:val="en-US"/>
        </w:rPr>
        <w:t>Attachment for Turkey Central Government GTMI Survey:</w:t>
      </w:r>
    </w:p>
    <w:p w:rsidR="00393555" w:rsidRPr="006B6D45" w:rsidRDefault="00393555" w:rsidP="00393555">
      <w:pPr>
        <w:ind w:left="1"/>
        <w:rPr>
          <w:b/>
          <w:sz w:val="20"/>
          <w:lang w:val="en-US"/>
        </w:rPr>
      </w:pPr>
      <w:r w:rsidRPr="006B6D45">
        <w:rPr>
          <w:b/>
          <w:sz w:val="20"/>
          <w:lang w:val="en-US"/>
        </w:rPr>
        <w:t xml:space="preserve">DIGITAL SKILLS (DS) STRATEGY / PROGRAM </w:t>
      </w:r>
    </w:p>
    <w:p w:rsidR="00393555" w:rsidRPr="006B6D45" w:rsidRDefault="00393555" w:rsidP="00393555">
      <w:pPr>
        <w:ind w:left="1"/>
        <w:rPr>
          <w:b/>
          <w:sz w:val="20"/>
          <w:szCs w:val="20"/>
          <w:lang w:val="en-US"/>
        </w:rPr>
      </w:pPr>
      <w:r w:rsidRPr="006B6D45">
        <w:rPr>
          <w:b/>
          <w:sz w:val="20"/>
          <w:szCs w:val="20"/>
          <w:lang w:val="en-US"/>
        </w:rPr>
        <w:t xml:space="preserve">I-45.4 </w:t>
      </w:r>
      <w:r w:rsidRPr="006B6D45">
        <w:rPr>
          <w:b/>
          <w:sz w:val="20"/>
          <w:szCs w:val="20"/>
          <w:lang w:val="en-US"/>
        </w:rPr>
        <w:tab/>
        <w:t>Focus areas of the DS strategy:</w:t>
      </w:r>
    </w:p>
    <w:p w:rsidR="00393555" w:rsidRPr="006B6D45" w:rsidRDefault="00393555" w:rsidP="00393555">
      <w:pPr>
        <w:ind w:left="1"/>
        <w:rPr>
          <w:b/>
          <w:sz w:val="20"/>
          <w:szCs w:val="20"/>
          <w:lang w:val="en-US"/>
        </w:rPr>
      </w:pPr>
    </w:p>
    <w:p w:rsidR="00393555" w:rsidRPr="006B6D45" w:rsidRDefault="00393555" w:rsidP="00393555">
      <w:pPr>
        <w:ind w:left="1"/>
        <w:rPr>
          <w:b/>
          <w:sz w:val="20"/>
          <w:szCs w:val="20"/>
          <w:lang w:val="en-US"/>
        </w:rPr>
      </w:pPr>
      <w:r w:rsidRPr="006B6D45">
        <w:rPr>
          <w:b/>
          <w:sz w:val="20"/>
          <w:szCs w:val="20"/>
          <w:lang w:val="en-US"/>
        </w:rPr>
        <w:t>“The 11th Development Plan”</w:t>
      </w:r>
    </w:p>
    <w:p w:rsidR="00393555" w:rsidRPr="006B6D45" w:rsidRDefault="00393555" w:rsidP="00393555">
      <w:pPr>
        <w:ind w:left="1"/>
        <w:rPr>
          <w:sz w:val="20"/>
          <w:szCs w:val="20"/>
          <w:lang w:val="en-US"/>
        </w:rPr>
      </w:pPr>
      <w:r w:rsidRPr="006B6D45">
        <w:rPr>
          <w:sz w:val="20"/>
          <w:szCs w:val="20"/>
          <w:lang w:val="en-US"/>
        </w:rPr>
        <w:t xml:space="preserve">Following measures related to digital skills take place in the Plan. </w:t>
      </w:r>
    </w:p>
    <w:p w:rsidR="00393555" w:rsidRPr="006B6D45" w:rsidRDefault="00393555" w:rsidP="00393555">
      <w:pPr>
        <w:pStyle w:val="ListeParagraf"/>
        <w:numPr>
          <w:ilvl w:val="0"/>
          <w:numId w:val="1"/>
        </w:numPr>
        <w:rPr>
          <w:sz w:val="20"/>
          <w:szCs w:val="20"/>
          <w:lang w:val="en-US"/>
        </w:rPr>
      </w:pPr>
      <w:r w:rsidRPr="006B6D45">
        <w:rPr>
          <w:sz w:val="20"/>
          <w:szCs w:val="20"/>
          <w:lang w:val="en-US"/>
        </w:rPr>
        <w:t>Labor force programs will be organized to improve digital skills to the level which is needed by priority sectors.</w:t>
      </w:r>
    </w:p>
    <w:p w:rsidR="00393555" w:rsidRPr="006B6D45" w:rsidRDefault="00393555" w:rsidP="00393555">
      <w:pPr>
        <w:pStyle w:val="ListeParagraf"/>
        <w:numPr>
          <w:ilvl w:val="0"/>
          <w:numId w:val="1"/>
        </w:numPr>
        <w:rPr>
          <w:sz w:val="20"/>
          <w:szCs w:val="20"/>
          <w:lang w:val="en-US"/>
        </w:rPr>
      </w:pPr>
      <w:r w:rsidRPr="006B6D45">
        <w:rPr>
          <w:sz w:val="20"/>
          <w:szCs w:val="20"/>
          <w:lang w:val="en-US"/>
        </w:rPr>
        <w:t xml:space="preserve">Public employees’ digital skills will be developed and their adaptation to digital transformation and technological developments will be ensured. </w:t>
      </w:r>
    </w:p>
    <w:p w:rsidR="00393555" w:rsidRPr="006B6D45" w:rsidRDefault="00393555" w:rsidP="00393555">
      <w:pPr>
        <w:pStyle w:val="ListeParagraf"/>
        <w:numPr>
          <w:ilvl w:val="0"/>
          <w:numId w:val="1"/>
        </w:numPr>
        <w:rPr>
          <w:sz w:val="20"/>
          <w:szCs w:val="20"/>
          <w:lang w:val="en-US"/>
        </w:rPr>
      </w:pPr>
      <w:r w:rsidRPr="006B6D45">
        <w:rPr>
          <w:sz w:val="20"/>
          <w:szCs w:val="20"/>
          <w:lang w:val="en-US"/>
        </w:rPr>
        <w:t>The digital skills of the workforce who work in the manufacturing industry will be developed.</w:t>
      </w:r>
    </w:p>
    <w:p w:rsidR="00393555" w:rsidRPr="006B6D45" w:rsidRDefault="00393555" w:rsidP="00393555">
      <w:pPr>
        <w:ind w:right="31"/>
        <w:jc w:val="center"/>
        <w:rPr>
          <w:sz w:val="20"/>
          <w:szCs w:val="20"/>
          <w:lang w:val="en-US"/>
        </w:rPr>
      </w:pPr>
    </w:p>
    <w:p w:rsidR="00393555" w:rsidRPr="006B6D45" w:rsidRDefault="00393555" w:rsidP="00393555">
      <w:pPr>
        <w:ind w:left="1"/>
        <w:rPr>
          <w:rFonts w:eastAsiaTheme="minorHAnsi"/>
          <w:b/>
          <w:bCs/>
          <w:color w:val="auto"/>
          <w:sz w:val="20"/>
          <w:szCs w:val="20"/>
          <w:lang w:val="en-US"/>
        </w:rPr>
      </w:pPr>
      <w:r w:rsidRPr="006B6D45">
        <w:rPr>
          <w:b/>
          <w:bCs/>
          <w:sz w:val="20"/>
          <w:szCs w:val="20"/>
          <w:lang w:val="en-US"/>
        </w:rPr>
        <w:t>“Presidential Annual Program for 2021”</w:t>
      </w:r>
    </w:p>
    <w:p w:rsidR="00393555" w:rsidRPr="006B6D45" w:rsidRDefault="00393555" w:rsidP="00393555">
      <w:pPr>
        <w:pStyle w:val="ListeParagraf"/>
        <w:numPr>
          <w:ilvl w:val="0"/>
          <w:numId w:val="1"/>
        </w:numPr>
        <w:spacing w:line="252" w:lineRule="auto"/>
        <w:rPr>
          <w:bCs/>
          <w:sz w:val="20"/>
          <w:szCs w:val="20"/>
          <w:lang w:val="en-US"/>
        </w:rPr>
      </w:pPr>
      <w:r w:rsidRPr="006B6D45">
        <w:rPr>
          <w:bCs/>
          <w:sz w:val="20"/>
          <w:szCs w:val="20"/>
          <w:lang w:val="en-US"/>
        </w:rPr>
        <w:t>Measure stating that “In-service training programs aimed at increasing the quality of public personnel will be established and regularly carried out, and training programs aiming to provide management skills to personnel at all levels will be developed” take place in the Program. Also in the Program, the Office is entrusted with “Vocational, technical and personal development trainings are delivered on Distance Learning Gate to improve qualification of public employees”</w:t>
      </w:r>
    </w:p>
    <w:p w:rsidR="00393555" w:rsidRPr="006B6D45" w:rsidRDefault="00393555" w:rsidP="00393555">
      <w:pPr>
        <w:pStyle w:val="ListeParagraf"/>
        <w:numPr>
          <w:ilvl w:val="0"/>
          <w:numId w:val="1"/>
        </w:numPr>
        <w:spacing w:line="252" w:lineRule="auto"/>
        <w:rPr>
          <w:bCs/>
          <w:sz w:val="20"/>
          <w:szCs w:val="20"/>
          <w:lang w:val="en-US"/>
        </w:rPr>
      </w:pPr>
      <w:r w:rsidRPr="006B6D45">
        <w:rPr>
          <w:bCs/>
          <w:sz w:val="20"/>
          <w:szCs w:val="20"/>
          <w:lang w:val="en-US"/>
        </w:rPr>
        <w:t>In this context, training programs on information technologies are carried out through Distance Learning Gate</w:t>
      </w:r>
      <w:r w:rsidRPr="006B6D45">
        <w:rPr>
          <w:bCs/>
          <w:sz w:val="18"/>
          <w:szCs w:val="20"/>
          <w:lang w:val="en-US"/>
        </w:rPr>
        <w:t xml:space="preserve"> </w:t>
      </w:r>
      <w:r w:rsidRPr="006B6D45">
        <w:rPr>
          <w:bCs/>
          <w:sz w:val="20"/>
          <w:szCs w:val="20"/>
          <w:lang w:val="en-US"/>
        </w:rPr>
        <w:t xml:space="preserve">of Human Resources Office in order to increase the digital skills of public employees, mitigate the impacts of technology-driven changes in the workplace and prepare public employees for the current and future workforce needs. In that sense, literacy training programs on different topics are offered to employees who need to develop digital skills for using digital devices. These programs such as “Consciousness in the Digital World, Information in Digital Environment, 5G and Beyond Studies, Cyber ​​security” aim to increase basic digital skills like life digital literacy, internet literacy, media literacy, and information literacy for professional. </w:t>
      </w:r>
    </w:p>
    <w:p w:rsidR="00393555" w:rsidRPr="006B6D45" w:rsidRDefault="00393555" w:rsidP="00393555">
      <w:pPr>
        <w:pStyle w:val="ListeParagraf"/>
        <w:numPr>
          <w:ilvl w:val="0"/>
          <w:numId w:val="1"/>
        </w:numPr>
        <w:spacing w:line="252" w:lineRule="auto"/>
        <w:rPr>
          <w:bCs/>
          <w:sz w:val="20"/>
          <w:szCs w:val="20"/>
          <w:lang w:val="en-US"/>
        </w:rPr>
      </w:pPr>
      <w:r w:rsidRPr="006B6D45">
        <w:rPr>
          <w:bCs/>
          <w:sz w:val="20"/>
          <w:szCs w:val="20"/>
          <w:lang w:val="en-US"/>
        </w:rPr>
        <w:t>Also, the training programs for the compute</w:t>
      </w:r>
      <w:bookmarkStart w:id="0" w:name="_GoBack"/>
      <w:bookmarkEnd w:id="0"/>
      <w:r w:rsidRPr="006B6D45">
        <w:rPr>
          <w:bCs/>
          <w:sz w:val="20"/>
          <w:szCs w:val="20"/>
          <w:lang w:val="en-US"/>
        </w:rPr>
        <w:t xml:space="preserve">r applications and systems are offered to all public employees on Distance Learning Gate such as Electronic Document Management System (EBYS), Expenditure Management System (HYS), and Service Tracking Program (HİTAP); and office applications such as Excel and Word, etc. All public employees who use these applications or want to increase their level of knowledge in these areas can access these training programs. </w:t>
      </w:r>
    </w:p>
    <w:p w:rsidR="00393555" w:rsidRPr="006B6D45" w:rsidRDefault="00393555" w:rsidP="00393555">
      <w:pPr>
        <w:pStyle w:val="ListeParagraf"/>
        <w:numPr>
          <w:ilvl w:val="0"/>
          <w:numId w:val="1"/>
        </w:numPr>
        <w:spacing w:line="252" w:lineRule="auto"/>
        <w:rPr>
          <w:bCs/>
          <w:sz w:val="20"/>
          <w:szCs w:val="20"/>
          <w:lang w:val="en-US"/>
        </w:rPr>
      </w:pPr>
      <w:r w:rsidRPr="006B6D45">
        <w:rPr>
          <w:bCs/>
          <w:sz w:val="20"/>
          <w:szCs w:val="20"/>
          <w:lang w:val="en-US"/>
        </w:rPr>
        <w:t>In Distance Learning Gate, training activities that aim to develop digital skills, constitute 18% of the online training content on the platform. More than 1 million public employees attended these training activities.</w:t>
      </w:r>
    </w:p>
    <w:p w:rsidR="00393555" w:rsidRPr="006B6D45" w:rsidRDefault="00393555" w:rsidP="00393555">
      <w:pPr>
        <w:ind w:left="1"/>
        <w:rPr>
          <w:b/>
          <w:sz w:val="20"/>
          <w:szCs w:val="20"/>
          <w:lang w:val="en-US"/>
        </w:rPr>
      </w:pPr>
      <w:r w:rsidRPr="006B6D45">
        <w:rPr>
          <w:b/>
          <w:sz w:val="20"/>
          <w:szCs w:val="20"/>
          <w:lang w:val="en-US"/>
        </w:rPr>
        <w:t>“The National Artificial Intelligence Strategy”;</w:t>
      </w:r>
    </w:p>
    <w:p w:rsidR="00393555" w:rsidRPr="006B6D45" w:rsidRDefault="00393555" w:rsidP="00393555">
      <w:pPr>
        <w:ind w:left="1"/>
        <w:rPr>
          <w:sz w:val="20"/>
          <w:szCs w:val="20"/>
          <w:lang w:val="en-US"/>
        </w:rPr>
      </w:pPr>
      <w:r w:rsidRPr="006B6D45">
        <w:rPr>
          <w:sz w:val="20"/>
          <w:szCs w:val="20"/>
          <w:lang w:val="en-US"/>
        </w:rPr>
        <w:t>Türkiye is taking important steps to increase expertise and employment in the field of digital skills:</w:t>
      </w:r>
    </w:p>
    <w:p w:rsidR="00393555" w:rsidRPr="006B6D45" w:rsidRDefault="00393555" w:rsidP="00393555">
      <w:pPr>
        <w:pStyle w:val="ListeParagraf"/>
        <w:numPr>
          <w:ilvl w:val="0"/>
          <w:numId w:val="1"/>
        </w:numPr>
        <w:rPr>
          <w:sz w:val="20"/>
          <w:szCs w:val="20"/>
          <w:lang w:val="en-US"/>
        </w:rPr>
      </w:pPr>
      <w:r w:rsidRPr="006B6D45">
        <w:rPr>
          <w:sz w:val="20"/>
          <w:szCs w:val="20"/>
          <w:lang w:val="en-US"/>
        </w:rPr>
        <w:t>Within the scope of the Higher Education Council Ph.D. Project, artificial intelligence has been determined among the priority areas for Ph.D. students.</w:t>
      </w:r>
    </w:p>
    <w:p w:rsidR="00393555" w:rsidRPr="006B6D45" w:rsidRDefault="00393555" w:rsidP="00393555">
      <w:pPr>
        <w:pStyle w:val="ListeParagraf"/>
        <w:numPr>
          <w:ilvl w:val="0"/>
          <w:numId w:val="1"/>
        </w:numPr>
        <w:rPr>
          <w:sz w:val="20"/>
          <w:szCs w:val="20"/>
          <w:lang w:val="en-US"/>
        </w:rPr>
      </w:pPr>
      <w:r w:rsidRPr="006B6D45">
        <w:rPr>
          <w:sz w:val="20"/>
          <w:szCs w:val="20"/>
          <w:lang w:val="en-US"/>
        </w:rPr>
        <w:t>“1 Million Employment” project initiated under the coordination of the Ministry of Treasury and Finance. The project aims to train 1 million citizens in artificial intelligence until 2023.</w:t>
      </w:r>
    </w:p>
    <w:p w:rsidR="00393555" w:rsidRPr="006B6D45" w:rsidRDefault="00393555" w:rsidP="00393555">
      <w:pPr>
        <w:pStyle w:val="ListeParagraf"/>
        <w:numPr>
          <w:ilvl w:val="0"/>
          <w:numId w:val="1"/>
        </w:numPr>
        <w:rPr>
          <w:sz w:val="20"/>
          <w:szCs w:val="20"/>
          <w:lang w:val="en-US"/>
        </w:rPr>
      </w:pPr>
      <w:r w:rsidRPr="006B6D45">
        <w:rPr>
          <w:sz w:val="20"/>
          <w:szCs w:val="20"/>
          <w:lang w:val="en-US"/>
        </w:rPr>
        <w:t>“Türkiye Open Source Platform” was established to train 500 thousand software developers in the 2023 Industry and Technology Strategy.</w:t>
      </w:r>
    </w:p>
    <w:p w:rsidR="00393555" w:rsidRPr="006B6D45" w:rsidRDefault="00393555" w:rsidP="00393555">
      <w:pPr>
        <w:pStyle w:val="ListeParagraf"/>
        <w:numPr>
          <w:ilvl w:val="0"/>
          <w:numId w:val="1"/>
        </w:numPr>
        <w:rPr>
          <w:sz w:val="20"/>
          <w:szCs w:val="20"/>
          <w:lang w:val="en-US"/>
        </w:rPr>
      </w:pPr>
      <w:r w:rsidRPr="006B6D45">
        <w:rPr>
          <w:sz w:val="20"/>
          <w:szCs w:val="20"/>
          <w:lang w:val="en-US"/>
        </w:rPr>
        <w:t>The National Academy of Technology is established to contribute to achieving the goals in the field of human capital.</w:t>
      </w:r>
    </w:p>
    <w:p w:rsidR="00393555" w:rsidRPr="006B6D45" w:rsidRDefault="00393555" w:rsidP="00393555">
      <w:pPr>
        <w:pStyle w:val="ListeParagraf"/>
        <w:numPr>
          <w:ilvl w:val="0"/>
          <w:numId w:val="1"/>
        </w:numPr>
        <w:rPr>
          <w:sz w:val="20"/>
          <w:szCs w:val="20"/>
          <w:lang w:val="en-US"/>
        </w:rPr>
      </w:pPr>
      <w:r w:rsidRPr="006B6D45">
        <w:rPr>
          <w:sz w:val="20"/>
          <w:szCs w:val="20"/>
          <w:lang w:val="en-US"/>
        </w:rPr>
        <w:t>The Academy will carry out programs to train human resources to make qualified them for the special expertise needed in new technology fields.</w:t>
      </w:r>
    </w:p>
    <w:p w:rsidR="00393555" w:rsidRPr="006B6D45" w:rsidRDefault="00393555" w:rsidP="00393555">
      <w:pPr>
        <w:pStyle w:val="ListeParagraf"/>
        <w:numPr>
          <w:ilvl w:val="0"/>
          <w:numId w:val="1"/>
        </w:numPr>
        <w:rPr>
          <w:sz w:val="20"/>
          <w:szCs w:val="20"/>
          <w:lang w:val="en-US"/>
        </w:rPr>
      </w:pPr>
      <w:r w:rsidRPr="006B6D45">
        <w:rPr>
          <w:sz w:val="20"/>
          <w:szCs w:val="20"/>
          <w:lang w:val="en-US"/>
        </w:rPr>
        <w:lastRenderedPageBreak/>
        <w:t>Undergraduate, graduate and doctorate programs in artificial intelligence have been opened in universities, and centers for artificial intelligence, big data, robotics, and smart systems have been established.</w:t>
      </w:r>
    </w:p>
    <w:p w:rsidR="00A337B2" w:rsidRPr="006B6D45" w:rsidRDefault="006B6D45">
      <w:pPr>
        <w:rPr>
          <w:lang w:val="en-US"/>
        </w:rPr>
      </w:pPr>
    </w:p>
    <w:sectPr w:rsidR="00A337B2" w:rsidRPr="006B6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7583E"/>
    <w:multiLevelType w:val="hybridMultilevel"/>
    <w:tmpl w:val="071C21DA"/>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55"/>
    <w:rsid w:val="00393555"/>
    <w:rsid w:val="003B0A77"/>
    <w:rsid w:val="006B6D45"/>
    <w:rsid w:val="00A40FC6"/>
    <w:rsid w:val="00CB0FE6"/>
    <w:rsid w:val="00E21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158AB-657B-451E-89D6-C558A2C0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555"/>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3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Mürüvvet ÜNAL BAYRAM</dc:creator>
  <cp:keywords/>
  <dc:description/>
  <cp:lastModifiedBy>Mürüvvet Ünal Bayram</cp:lastModifiedBy>
  <cp:revision>2</cp:revision>
  <dcterms:created xsi:type="dcterms:W3CDTF">2022-04-28T13:54:00Z</dcterms:created>
  <dcterms:modified xsi:type="dcterms:W3CDTF">2022-05-14T22:12:00Z</dcterms:modified>
</cp:coreProperties>
</file>