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7984" w14:textId="509A7D00" w:rsidR="002C24E6" w:rsidRDefault="00310E3C" w:rsidP="00D25DC3">
      <w:pPr>
        <w:spacing w:after="0" w:line="240" w:lineRule="auto"/>
        <w:jc w:val="center"/>
        <w:textAlignment w:val="baseline"/>
        <w:rPr>
          <w:rFonts w:ascii="Calibri" w:eastAsia="Calibri" w:hAnsi="Calibri" w:cs="Calibri"/>
          <w:color w:val="0078D4"/>
          <w:sz w:val="24"/>
          <w:szCs w:val="24"/>
        </w:rPr>
      </w:pPr>
      <w:r>
        <w:rPr>
          <w:rFonts w:ascii="Calibri" w:eastAsia="Calibri" w:hAnsi="Calibri" w:cs="Calibri"/>
          <w:b/>
          <w:bCs/>
          <w:color w:val="000000" w:themeColor="text1"/>
          <w:sz w:val="24"/>
          <w:szCs w:val="24"/>
          <w:u w:val="single"/>
        </w:rPr>
        <w:t>World Bank – IFC Pakistan Office and Oxford Pakistan Programme Partnership</w:t>
      </w:r>
    </w:p>
    <w:p w14:paraId="77C98083" w14:textId="282C212F" w:rsidR="002C24E6" w:rsidRDefault="1A2ADD24" w:rsidP="00D25DC3">
      <w:pPr>
        <w:spacing w:after="0" w:line="240" w:lineRule="auto"/>
        <w:jc w:val="center"/>
        <w:textAlignment w:val="baseline"/>
        <w:rPr>
          <w:rFonts w:eastAsia="Times New Roman"/>
          <w:b/>
          <w:bCs/>
          <w:sz w:val="24"/>
          <w:szCs w:val="24"/>
          <w:u w:val="single"/>
        </w:rPr>
      </w:pPr>
      <w:r w:rsidRPr="42669753">
        <w:rPr>
          <w:rFonts w:ascii="Calibri" w:eastAsia="Calibri" w:hAnsi="Calibri" w:cs="Calibri"/>
          <w:b/>
          <w:bCs/>
          <w:color w:val="000000" w:themeColor="text1"/>
          <w:sz w:val="24"/>
          <w:szCs w:val="24"/>
          <w:u w:val="single"/>
        </w:rPr>
        <w:t xml:space="preserve"> November </w:t>
      </w:r>
      <w:r w:rsidR="00310E3C">
        <w:rPr>
          <w:rFonts w:ascii="Calibri" w:eastAsia="Calibri" w:hAnsi="Calibri" w:cs="Calibri"/>
          <w:b/>
          <w:bCs/>
          <w:color w:val="000000" w:themeColor="text1"/>
          <w:sz w:val="24"/>
          <w:szCs w:val="24"/>
          <w:u w:val="single"/>
        </w:rPr>
        <w:t>30</w:t>
      </w:r>
      <w:r w:rsidRPr="42669753">
        <w:rPr>
          <w:rFonts w:ascii="Calibri" w:eastAsia="Calibri" w:hAnsi="Calibri" w:cs="Calibri"/>
          <w:b/>
          <w:bCs/>
          <w:color w:val="000000" w:themeColor="text1"/>
          <w:sz w:val="24"/>
          <w:szCs w:val="24"/>
          <w:u w:val="single"/>
        </w:rPr>
        <w:t xml:space="preserve">, 2022 – </w:t>
      </w:r>
      <w:r w:rsidR="00310E3C">
        <w:rPr>
          <w:rFonts w:ascii="Calibri" w:eastAsia="Calibri" w:hAnsi="Calibri" w:cs="Calibri"/>
          <w:b/>
          <w:bCs/>
          <w:color w:val="000000" w:themeColor="text1"/>
          <w:sz w:val="24"/>
          <w:szCs w:val="24"/>
          <w:u w:val="single"/>
        </w:rPr>
        <w:t>January 30</w:t>
      </w:r>
      <w:r w:rsidRPr="42669753">
        <w:rPr>
          <w:rFonts w:ascii="Calibri" w:eastAsia="Calibri" w:hAnsi="Calibri" w:cs="Calibri"/>
          <w:b/>
          <w:bCs/>
          <w:color w:val="000000" w:themeColor="text1"/>
          <w:sz w:val="24"/>
          <w:szCs w:val="24"/>
          <w:u w:val="single"/>
        </w:rPr>
        <w:t>, 2023</w:t>
      </w:r>
      <w:r w:rsidRPr="42669753">
        <w:rPr>
          <w:rFonts w:eastAsia="Times New Roman"/>
          <w:b/>
          <w:bCs/>
          <w:sz w:val="24"/>
          <w:szCs w:val="24"/>
          <w:u w:val="single"/>
        </w:rPr>
        <w:t xml:space="preserve"> </w:t>
      </w:r>
    </w:p>
    <w:p w14:paraId="7C3E1B75" w14:textId="471F84AE" w:rsidR="002C24E6" w:rsidRDefault="002C24E6" w:rsidP="42669753">
      <w:pPr>
        <w:spacing w:after="0" w:line="240" w:lineRule="auto"/>
        <w:jc w:val="center"/>
        <w:textAlignment w:val="baseline"/>
        <w:rPr>
          <w:rFonts w:eastAsia="Times New Roman"/>
          <w:b/>
          <w:bCs/>
          <w:sz w:val="24"/>
          <w:szCs w:val="24"/>
          <w:u w:val="single"/>
        </w:rPr>
      </w:pPr>
    </w:p>
    <w:p w14:paraId="43D8E4C7" w14:textId="77777777" w:rsidR="002C24E6" w:rsidRDefault="002C24E6" w:rsidP="002C24E6">
      <w:pPr>
        <w:shd w:val="clear" w:color="auto" w:fill="FFFFFF" w:themeFill="background1"/>
        <w:spacing w:after="0" w:line="240" w:lineRule="auto"/>
        <w:ind w:firstLine="720"/>
        <w:jc w:val="center"/>
        <w:rPr>
          <w:rFonts w:eastAsia="Times New Roman"/>
          <w:b/>
          <w:bCs/>
          <w:sz w:val="24"/>
          <w:szCs w:val="24"/>
          <w:u w:val="single"/>
        </w:rPr>
      </w:pPr>
    </w:p>
    <w:p w14:paraId="72CD903D" w14:textId="77777777" w:rsidR="002C24E6" w:rsidRDefault="002C24E6" w:rsidP="002C24E6">
      <w:pPr>
        <w:shd w:val="clear" w:color="auto" w:fill="FFFFFF" w:themeFill="background1"/>
        <w:spacing w:after="0" w:line="240" w:lineRule="auto"/>
        <w:jc w:val="center"/>
        <w:rPr>
          <w:rFonts w:eastAsia="Times New Roman"/>
          <w:b/>
          <w:bCs/>
          <w:sz w:val="24"/>
          <w:szCs w:val="24"/>
          <w:u w:val="single"/>
        </w:rPr>
      </w:pPr>
      <w:r w:rsidRPr="46F86928">
        <w:rPr>
          <w:rFonts w:eastAsia="Times New Roman"/>
          <w:b/>
          <w:bCs/>
          <w:sz w:val="24"/>
          <w:szCs w:val="24"/>
          <w:u w:val="single"/>
        </w:rPr>
        <w:t>Short-Term Consultant (STC): Agriculture GP</w:t>
      </w:r>
    </w:p>
    <w:p w14:paraId="322EF81C" w14:textId="77777777" w:rsidR="009B7541" w:rsidRDefault="009B7541" w:rsidP="002C24E6">
      <w:pPr>
        <w:shd w:val="clear" w:color="auto" w:fill="FFFFFF" w:themeFill="background1"/>
        <w:spacing w:after="0" w:line="240" w:lineRule="auto"/>
        <w:jc w:val="center"/>
        <w:rPr>
          <w:rFonts w:eastAsia="Times New Roman"/>
          <w:b/>
          <w:bCs/>
          <w:sz w:val="24"/>
          <w:szCs w:val="24"/>
          <w:u w:val="single"/>
        </w:rPr>
      </w:pPr>
    </w:p>
    <w:p w14:paraId="43113AFB" w14:textId="77777777" w:rsidR="00A93A04" w:rsidRDefault="00A93A04" w:rsidP="009B7541">
      <w:pPr>
        <w:shd w:val="clear" w:color="auto" w:fill="FFFFFF"/>
        <w:spacing w:after="0" w:line="240" w:lineRule="auto"/>
        <w:jc w:val="center"/>
        <w:textAlignment w:val="baseline"/>
        <w:rPr>
          <w:rFonts w:eastAsia="Times New Roman" w:cstheme="minorHAnsi"/>
          <w:b/>
          <w:bCs/>
          <w:sz w:val="24"/>
          <w:szCs w:val="24"/>
          <w:u w:val="single"/>
          <w:bdr w:val="none" w:sz="0" w:space="0" w:color="auto" w:frame="1"/>
        </w:rPr>
      </w:pPr>
      <w:r w:rsidRPr="006600C8">
        <w:rPr>
          <w:rFonts w:eastAsia="Times New Roman" w:cstheme="minorHAnsi"/>
          <w:b/>
          <w:bCs/>
          <w:sz w:val="24"/>
          <w:szCs w:val="24"/>
          <w:u w:val="single"/>
          <w:bdr w:val="none" w:sz="0" w:space="0" w:color="auto" w:frame="1"/>
        </w:rPr>
        <w:t>Terms of Reference:</w:t>
      </w:r>
    </w:p>
    <w:p w14:paraId="0FA12B13" w14:textId="77777777" w:rsidR="009B7541" w:rsidRPr="006600C8" w:rsidRDefault="009B7541" w:rsidP="00D25DC3">
      <w:pPr>
        <w:shd w:val="clear" w:color="auto" w:fill="FFFFFF"/>
        <w:spacing w:after="0" w:line="240" w:lineRule="auto"/>
        <w:jc w:val="center"/>
        <w:textAlignment w:val="baseline"/>
        <w:rPr>
          <w:rFonts w:eastAsia="Times New Roman" w:cstheme="minorHAnsi"/>
          <w:sz w:val="24"/>
          <w:szCs w:val="24"/>
        </w:rPr>
      </w:pPr>
    </w:p>
    <w:p w14:paraId="4B8EBAF2" w14:textId="355E0E68" w:rsidR="00AE2D36" w:rsidRDefault="0061583B" w:rsidP="00725D7E">
      <w:pPr>
        <w:spacing w:after="0" w:line="240" w:lineRule="auto"/>
        <w:jc w:val="both"/>
      </w:pPr>
      <w:r>
        <w:t>Pakistan is currently the 6</w:t>
      </w:r>
      <w:r w:rsidRPr="0061583B">
        <w:rPr>
          <w:vertAlign w:val="superscript"/>
        </w:rPr>
        <w:t>th</w:t>
      </w:r>
      <w:r>
        <w:t xml:space="preserve"> most populous country in the world</w:t>
      </w:r>
      <w:r w:rsidR="001269CF">
        <w:t xml:space="preserve">. Between 1947 and 2019, the country grew from 31 </w:t>
      </w:r>
      <w:r w:rsidR="000530F8">
        <w:t xml:space="preserve">million </w:t>
      </w:r>
      <w:r w:rsidR="001269CF">
        <w:t>to 217 million (</w:t>
      </w:r>
      <w:r w:rsidR="001269CF" w:rsidRPr="00725D7E">
        <w:t>United Nations Population Division 2019). The World Population Review 2021 re</w:t>
      </w:r>
      <w:r w:rsidR="001269CF">
        <w:t>port</w:t>
      </w:r>
      <w:r w:rsidR="001269CF" w:rsidRPr="00725D7E">
        <w:t xml:space="preserve">s that population growth in Pakistan </w:t>
      </w:r>
      <w:r w:rsidR="002F2B4E">
        <w:t>is increasing</w:t>
      </w:r>
      <w:r w:rsidR="001269CF" w:rsidRPr="00725D7E">
        <w:t xml:space="preserve"> at a much faster rate (2.02 percent) than the gains being achieved in education</w:t>
      </w:r>
      <w:r w:rsidR="001269CF">
        <w:t>,</w:t>
      </w:r>
      <w:r w:rsidR="001269CF" w:rsidRPr="00725D7E">
        <w:t xml:space="preserve"> creating pressures on public services.</w:t>
      </w:r>
      <w:r w:rsidR="001269CF" w:rsidRPr="001269CF">
        <w:t xml:space="preserve"> </w:t>
      </w:r>
      <w:r w:rsidR="002632E7">
        <w:t>In turn, h</w:t>
      </w:r>
      <w:r w:rsidR="001269CF" w:rsidRPr="00725D7E">
        <w:t xml:space="preserve">igh population growth in Pakistan has negated many efforts at increasing </w:t>
      </w:r>
      <w:r w:rsidR="00E0521D">
        <w:t xml:space="preserve">student </w:t>
      </w:r>
      <w:r w:rsidR="001269CF" w:rsidRPr="00725D7E">
        <w:t>enrolment</w:t>
      </w:r>
      <w:r w:rsidR="00D12901">
        <w:t xml:space="preserve"> and resources for education</w:t>
      </w:r>
      <w:r w:rsidR="001269CF" w:rsidRPr="00725D7E">
        <w:t xml:space="preserve"> (Benz 2021). </w:t>
      </w:r>
    </w:p>
    <w:p w14:paraId="254F4E36" w14:textId="78FF2DB0" w:rsidR="00971F11" w:rsidRPr="00971F11" w:rsidRDefault="00725D7E" w:rsidP="00971F11">
      <w:pPr>
        <w:pStyle w:val="Pakistanbodytext"/>
        <w:rPr>
          <w:sz w:val="22"/>
        </w:rPr>
      </w:pPr>
      <w:r w:rsidRPr="00971F11">
        <w:rPr>
          <w:rFonts w:cstheme="minorBidi"/>
          <w:sz w:val="22"/>
        </w:rPr>
        <w:t>Despite a decades</w:t>
      </w:r>
      <w:r w:rsidR="005C5F9A">
        <w:rPr>
          <w:rFonts w:cstheme="minorBidi"/>
          <w:sz w:val="22"/>
        </w:rPr>
        <w:t>-</w:t>
      </w:r>
      <w:r w:rsidRPr="00971F11">
        <w:rPr>
          <w:rFonts w:cstheme="minorBidi"/>
          <w:sz w:val="22"/>
        </w:rPr>
        <w:t xml:space="preserve">long focus on education and a major </w:t>
      </w:r>
      <w:r w:rsidR="003D0290">
        <w:rPr>
          <w:rFonts w:cstheme="minorBidi"/>
          <w:sz w:val="22"/>
        </w:rPr>
        <w:t xml:space="preserve">devolutionary </w:t>
      </w:r>
      <w:r w:rsidRPr="00971F11">
        <w:rPr>
          <w:rFonts w:cstheme="minorBidi"/>
          <w:sz w:val="22"/>
        </w:rPr>
        <w:t xml:space="preserve">policy shift </w:t>
      </w:r>
      <w:r w:rsidR="00A01CD7" w:rsidRPr="00971F11">
        <w:rPr>
          <w:sz w:val="22"/>
        </w:rPr>
        <w:t>in education financing and decision-making to the provincial level</w:t>
      </w:r>
      <w:r w:rsidR="00BE09E9" w:rsidRPr="00971F11">
        <w:rPr>
          <w:sz w:val="22"/>
        </w:rPr>
        <w:t xml:space="preserve"> with the 18</w:t>
      </w:r>
      <w:r w:rsidR="00BE09E9" w:rsidRPr="00971F11">
        <w:rPr>
          <w:sz w:val="22"/>
          <w:vertAlign w:val="superscript"/>
        </w:rPr>
        <w:t>th</w:t>
      </w:r>
      <w:r w:rsidR="00BE09E9" w:rsidRPr="00971F11">
        <w:rPr>
          <w:sz w:val="22"/>
        </w:rPr>
        <w:t xml:space="preserve"> Constitutional Amendment</w:t>
      </w:r>
      <w:r w:rsidR="003D0290">
        <w:rPr>
          <w:sz w:val="22"/>
        </w:rPr>
        <w:t xml:space="preserve"> (2010)</w:t>
      </w:r>
      <w:r w:rsidRPr="00971F11">
        <w:rPr>
          <w:rFonts w:cstheme="minorBidi"/>
          <w:sz w:val="22"/>
        </w:rPr>
        <w:t xml:space="preserve">, </w:t>
      </w:r>
      <w:r w:rsidR="007D3219" w:rsidRPr="00971F11">
        <w:rPr>
          <w:sz w:val="22"/>
        </w:rPr>
        <w:t xml:space="preserve">Pakistan continues to grapple with </w:t>
      </w:r>
      <w:r w:rsidR="009A7FFE" w:rsidRPr="00971F11">
        <w:rPr>
          <w:sz w:val="22"/>
        </w:rPr>
        <w:t>low</w:t>
      </w:r>
      <w:r w:rsidRPr="00971F11">
        <w:rPr>
          <w:rFonts w:cstheme="minorBidi"/>
          <w:sz w:val="22"/>
        </w:rPr>
        <w:t xml:space="preserve"> </w:t>
      </w:r>
      <w:r w:rsidR="007D7382" w:rsidRPr="00971F11">
        <w:rPr>
          <w:sz w:val="22"/>
        </w:rPr>
        <w:t xml:space="preserve">basic education </w:t>
      </w:r>
      <w:r w:rsidRPr="00971F11">
        <w:rPr>
          <w:rFonts w:cstheme="minorBidi"/>
          <w:sz w:val="22"/>
        </w:rPr>
        <w:t xml:space="preserve">access, </w:t>
      </w:r>
      <w:r w:rsidR="002E3CA6" w:rsidRPr="00971F11">
        <w:rPr>
          <w:sz w:val="22"/>
        </w:rPr>
        <w:t>equity</w:t>
      </w:r>
      <w:r w:rsidRPr="00971F11">
        <w:rPr>
          <w:rFonts w:cstheme="minorBidi"/>
          <w:sz w:val="22"/>
        </w:rPr>
        <w:t xml:space="preserve">, </w:t>
      </w:r>
      <w:r w:rsidR="009C7F35" w:rsidRPr="00971F11">
        <w:rPr>
          <w:sz w:val="22"/>
        </w:rPr>
        <w:t>learning levels</w:t>
      </w:r>
      <w:r w:rsidR="007D7382" w:rsidRPr="00971F11">
        <w:rPr>
          <w:sz w:val="22"/>
        </w:rPr>
        <w:t>,</w:t>
      </w:r>
      <w:r w:rsidR="009C7F35" w:rsidRPr="00971F11">
        <w:rPr>
          <w:sz w:val="22"/>
        </w:rPr>
        <w:t xml:space="preserve"> and </w:t>
      </w:r>
      <w:r w:rsidRPr="00971F11">
        <w:rPr>
          <w:rFonts w:cstheme="minorBidi"/>
          <w:sz w:val="22"/>
        </w:rPr>
        <w:t xml:space="preserve">attainment. </w:t>
      </w:r>
      <w:r w:rsidR="004A0367" w:rsidRPr="00971F11">
        <w:rPr>
          <w:sz w:val="22"/>
        </w:rPr>
        <w:t>With over a third of its school</w:t>
      </w:r>
      <w:r w:rsidR="00921FBE">
        <w:rPr>
          <w:sz w:val="22"/>
        </w:rPr>
        <w:t>-</w:t>
      </w:r>
      <w:r w:rsidR="004A0367" w:rsidRPr="00971F11">
        <w:rPr>
          <w:sz w:val="22"/>
        </w:rPr>
        <w:t xml:space="preserve">aged children (5-16 years) out of school, Pakistan </w:t>
      </w:r>
      <w:r w:rsidR="007D7382" w:rsidRPr="00971F11">
        <w:rPr>
          <w:sz w:val="22"/>
        </w:rPr>
        <w:t>is home to the</w:t>
      </w:r>
      <w:r w:rsidR="004A0367" w:rsidRPr="00971F11">
        <w:rPr>
          <w:sz w:val="22"/>
        </w:rPr>
        <w:t xml:space="preserve"> largest number of out of school children (20.3M) in the world. </w:t>
      </w:r>
      <w:r w:rsidR="00971F11" w:rsidRPr="00971F11">
        <w:rPr>
          <w:sz w:val="22"/>
        </w:rPr>
        <w:t>The top barriers to children’s enrollment and progression in school include shortage of qualified teachers, followed by the poor quality of education, the distance to schools</w:t>
      </w:r>
      <w:r w:rsidR="00CF06F0">
        <w:rPr>
          <w:sz w:val="22"/>
        </w:rPr>
        <w:t xml:space="preserve"> (particularly at the middle-school level and above)</w:t>
      </w:r>
      <w:r w:rsidR="00971F11" w:rsidRPr="00971F11">
        <w:rPr>
          <w:sz w:val="22"/>
        </w:rPr>
        <w:t>, and the high cost</w:t>
      </w:r>
      <w:r w:rsidR="00CD1157">
        <w:rPr>
          <w:sz w:val="22"/>
        </w:rPr>
        <w:t>s to households associated with educating their children – including transportation to and from school</w:t>
      </w:r>
      <w:r w:rsidR="00971F11" w:rsidRPr="00971F11">
        <w:rPr>
          <w:sz w:val="22"/>
        </w:rPr>
        <w:t>. These problems are particularly relevant in rural schools</w:t>
      </w:r>
      <w:r w:rsidR="00736DEB">
        <w:rPr>
          <w:sz w:val="22"/>
        </w:rPr>
        <w:t>, among girls,</w:t>
      </w:r>
      <w:r w:rsidR="00971F11" w:rsidRPr="00971F11">
        <w:rPr>
          <w:sz w:val="22"/>
        </w:rPr>
        <w:t xml:space="preserve"> and across education levels</w:t>
      </w:r>
      <w:r w:rsidR="006E6614">
        <w:rPr>
          <w:sz w:val="22"/>
        </w:rPr>
        <w:t>, worsening as children age</w:t>
      </w:r>
      <w:r w:rsidR="00971F11" w:rsidRPr="00971F11">
        <w:rPr>
          <w:sz w:val="22"/>
        </w:rPr>
        <w:t>. (World Bank, Barriers to Girls’ Education in Pakistan, forthcoming)</w:t>
      </w:r>
    </w:p>
    <w:p w14:paraId="216B202E" w14:textId="420C5635" w:rsidR="002F354F" w:rsidRPr="00725D7E" w:rsidRDefault="002F354F" w:rsidP="00725D7E">
      <w:pPr>
        <w:spacing w:after="0" w:line="240" w:lineRule="auto"/>
        <w:jc w:val="both"/>
      </w:pPr>
      <w:r>
        <w:t>Those fortunate enough to be in school are oft</w:t>
      </w:r>
      <w:r w:rsidR="00D9342A">
        <w:t>en not learning.</w:t>
      </w:r>
      <w:r w:rsidR="00E52488">
        <w:t xml:space="preserve"> </w:t>
      </w:r>
      <w:r w:rsidR="006F0800">
        <w:rPr>
          <w:rFonts w:eastAsia="Times New Roman"/>
        </w:rPr>
        <w:t>According to the</w:t>
      </w:r>
      <w:r w:rsidR="00CC4167">
        <w:rPr>
          <w:rFonts w:eastAsia="Times New Roman"/>
        </w:rPr>
        <w:t xml:space="preserve"> World Bank</w:t>
      </w:r>
      <w:r w:rsidR="00B12301">
        <w:rPr>
          <w:rFonts w:eastAsia="Times New Roman"/>
        </w:rPr>
        <w:t>’s</w:t>
      </w:r>
      <w:r w:rsidR="00CC4167">
        <w:rPr>
          <w:rFonts w:eastAsia="Times New Roman"/>
        </w:rPr>
        <w:t xml:space="preserve"> quality-adjusted ‘years of schooling’ indices</w:t>
      </w:r>
      <w:r w:rsidR="00BF4C6F">
        <w:rPr>
          <w:rFonts w:eastAsia="Times New Roman"/>
        </w:rPr>
        <w:t>,</w:t>
      </w:r>
      <w:r w:rsidR="00CC4167">
        <w:rPr>
          <w:rFonts w:eastAsia="Times New Roman"/>
        </w:rPr>
        <w:t xml:space="preserve"> if a child is in school for eight odd years, their quality-adjusted learning level </w:t>
      </w:r>
      <w:r w:rsidR="0012652C">
        <w:rPr>
          <w:rFonts w:eastAsia="Times New Roman"/>
        </w:rPr>
        <w:t xml:space="preserve">(LAYs) </w:t>
      </w:r>
      <w:r w:rsidR="00CC4167">
        <w:rPr>
          <w:rFonts w:eastAsia="Times New Roman"/>
        </w:rPr>
        <w:t xml:space="preserve">amounts to only four or 4.5 years. </w:t>
      </w:r>
      <w:r w:rsidR="00FD4FFA">
        <w:t>Prior to the global COVID-19 pandemic,</w:t>
      </w:r>
      <w:r w:rsidR="00E91BE6">
        <w:t xml:space="preserve"> learning poverty stood at 75 percent, meaning</w:t>
      </w:r>
      <w:r w:rsidR="00FD4FFA">
        <w:t xml:space="preserve"> </w:t>
      </w:r>
      <w:r w:rsidR="00A13457">
        <w:t>l</w:t>
      </w:r>
      <w:r w:rsidR="00D9342A">
        <w:t xml:space="preserve">ess than 25 percent of those aged 10 </w:t>
      </w:r>
      <w:r w:rsidR="00A13457">
        <w:t>could</w:t>
      </w:r>
      <w:r w:rsidR="00D9342A">
        <w:t xml:space="preserve"> read and understand a simple paragraph of age-appropriate text.</w:t>
      </w:r>
      <w:r w:rsidR="00A13457">
        <w:t xml:space="preserve"> Below is a summary of Pakistan’s </w:t>
      </w:r>
      <w:r w:rsidR="00455C52">
        <w:t>pre-pandemic</w:t>
      </w:r>
      <w:r w:rsidR="00A13457">
        <w:t xml:space="preserve"> education indicators, in comparison to its regional (SAR) peers:</w:t>
      </w:r>
    </w:p>
    <w:p w14:paraId="262211B6" w14:textId="77777777" w:rsidR="00725D7E" w:rsidRPr="00725D7E" w:rsidRDefault="00725D7E" w:rsidP="00725D7E">
      <w:pPr>
        <w:spacing w:after="0" w:line="240" w:lineRule="auto"/>
        <w:jc w:val="both"/>
      </w:pPr>
    </w:p>
    <w:p w14:paraId="040E4132" w14:textId="77777777" w:rsidR="00725D7E" w:rsidRDefault="00725D7E" w:rsidP="00725D7E">
      <w:pPr>
        <w:spacing w:after="0" w:line="240" w:lineRule="auto"/>
        <w:rPr>
          <w:rFonts w:ascii="Arial" w:hAnsi="Arial" w:cs="Arial"/>
          <w:b/>
          <w:bCs/>
          <w:sz w:val="20"/>
          <w:szCs w:val="20"/>
          <w:vertAlign w:val="superscript"/>
        </w:rPr>
      </w:pPr>
      <w:r>
        <w:rPr>
          <w:rFonts w:ascii="Arial" w:hAnsi="Arial" w:cs="Arial"/>
          <w:b/>
          <w:bCs/>
          <w:sz w:val="20"/>
          <w:szCs w:val="20"/>
        </w:rPr>
        <w:t>Table 1: Regional Comparison of Education Indicators</w:t>
      </w:r>
    </w:p>
    <w:bookmarkStart w:id="0" w:name="_MON_1722671366"/>
    <w:bookmarkEnd w:id="0"/>
    <w:p w14:paraId="31E7D8FB" w14:textId="365F4C92" w:rsidR="00725D7E" w:rsidRDefault="00AA136A" w:rsidP="00725D7E">
      <w:pPr>
        <w:spacing w:after="0" w:line="240" w:lineRule="auto"/>
        <w:rPr>
          <w:rFonts w:ascii="Arial" w:hAnsi="Arial" w:cs="Arial"/>
          <w:sz w:val="24"/>
          <w:szCs w:val="24"/>
        </w:rPr>
      </w:pPr>
      <w:r>
        <w:object w:dxaOrig="9801" w:dyaOrig="5766" w14:anchorId="70F4D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5pt;height:4in" o:ole="">
            <v:imagedata r:id="rId8" o:title=""/>
          </v:shape>
          <o:OLEObject Type="Embed" ProgID="Word.Document.12" ShapeID="_x0000_i1025" DrawAspect="Content" ObjectID="_1727525614" r:id="rId9">
            <o:FieldCodes>\s</o:FieldCodes>
          </o:OLEObject>
        </w:object>
      </w:r>
    </w:p>
    <w:p w14:paraId="267BE968" w14:textId="77777777" w:rsidR="00725D7E" w:rsidRDefault="00725D7E" w:rsidP="00725D7E">
      <w:pPr>
        <w:spacing w:after="0" w:line="240" w:lineRule="auto"/>
        <w:rPr>
          <w:rFonts w:ascii="Arial" w:hAnsi="Arial" w:cs="Arial"/>
          <w:sz w:val="20"/>
          <w:szCs w:val="20"/>
        </w:rPr>
      </w:pPr>
      <w:r>
        <w:rPr>
          <w:rFonts w:ascii="Arial" w:hAnsi="Arial" w:cs="Arial"/>
          <w:sz w:val="20"/>
          <w:szCs w:val="20"/>
        </w:rPr>
        <w:t>Source: Pakistan Economic Survey 2020</w:t>
      </w:r>
    </w:p>
    <w:p w14:paraId="3DEE14D2" w14:textId="77777777" w:rsidR="00725D7E" w:rsidRDefault="00725D7E" w:rsidP="00456DBD">
      <w:pPr>
        <w:spacing w:after="0" w:line="240" w:lineRule="auto"/>
        <w:jc w:val="both"/>
      </w:pPr>
    </w:p>
    <w:p w14:paraId="6B491DD9" w14:textId="6BA11D82" w:rsidR="008702F8" w:rsidRDefault="00CD5B6B" w:rsidP="00456DBD">
      <w:pPr>
        <w:spacing w:after="0" w:line="240" w:lineRule="auto"/>
        <w:jc w:val="both"/>
      </w:pPr>
      <w:r>
        <w:t>In response to the global COVID-19 pandemic, Pakistan’s schools were closed for over 11 months and early data from ASER and others points to</w:t>
      </w:r>
      <w:r w:rsidR="00CF6205">
        <w:t xml:space="preserve"> learning losses in key foundational skills, including literacy and numeracy</w:t>
      </w:r>
      <w:r w:rsidR="00E06D88">
        <w:t xml:space="preserve"> (ASER 2021)</w:t>
      </w:r>
      <w:r w:rsidR="00CF6205">
        <w:t>.</w:t>
      </w:r>
      <w:r w:rsidR="00322712">
        <w:t xml:space="preserve"> </w:t>
      </w:r>
      <w:r w:rsidR="0095553A">
        <w:t xml:space="preserve">The </w:t>
      </w:r>
      <w:r w:rsidR="00786F56">
        <w:t xml:space="preserve">World Bank Group </w:t>
      </w:r>
      <w:r w:rsidR="0095553A">
        <w:t xml:space="preserve">estimates that as a result of pandemic-related school closures, Learning Poverty will </w:t>
      </w:r>
      <w:r w:rsidR="00112078">
        <w:t xml:space="preserve">now </w:t>
      </w:r>
      <w:r w:rsidR="0095553A">
        <w:t>move from 75 percent to 79 percent in Pakistan.</w:t>
      </w:r>
    </w:p>
    <w:p w14:paraId="336A17F2" w14:textId="77777777" w:rsidR="00026959" w:rsidRDefault="00026959" w:rsidP="00456DBD">
      <w:pPr>
        <w:spacing w:after="0" w:line="240" w:lineRule="auto"/>
        <w:jc w:val="both"/>
      </w:pPr>
    </w:p>
    <w:p w14:paraId="34B707D2" w14:textId="1EF5E6AF" w:rsidR="00456DBD" w:rsidRDefault="00026959" w:rsidP="003D65D2">
      <w:pPr>
        <w:jc w:val="both"/>
      </w:pPr>
      <w:r>
        <w:t xml:space="preserve">It is important to mention that Pakistan’s total educational budget outlay amounts to around 2.5 percent of its national GDP, which is substantially below the </w:t>
      </w:r>
      <w:r w:rsidR="002079D7">
        <w:t>intern</w:t>
      </w:r>
      <w:r>
        <w:t xml:space="preserve">ational median of 4.4 percent. Annually, Pakistan spends roughly 10 percent of its total budget on education, which is about half what may other countries spend on education. Increasing funding and the efficiency of that funding to deliver results remain key challenges for guaranteeing every child is provided with a quality education. Education expenditure per child by district shows high heterogeneity, and it matters for years of schooling, school satisfaction and learning outcomes (World Bank, 2019). The overall level of expenditure linked with this correlation partly explains Pakistan’s low education results. Efficiency of expenditure also matters, and Pakistan could do much better in comparison to other countries (Herrera and Ouedraogo 2018). </w:t>
      </w:r>
    </w:p>
    <w:p w14:paraId="6AFA107C" w14:textId="77777777" w:rsidR="005C034F" w:rsidRDefault="005C034F" w:rsidP="005C034F">
      <w:pPr>
        <w:shd w:val="clear" w:color="auto" w:fill="FFFFFF"/>
        <w:spacing w:line="240" w:lineRule="auto"/>
        <w:jc w:val="both"/>
      </w:pPr>
      <w:r w:rsidRPr="00F2439B">
        <w:t xml:space="preserve">Education finance systems pay for the inputs required to implement education policies, such as teachers, school buildings, and learning materials. Governments are under increasing pressure to use education resources efficiently, but often lack guidance on the optimal ways to invest and manage their school finance systems. </w:t>
      </w:r>
      <w:r>
        <w:t>In order to better build human capital, Pakistan’s</w:t>
      </w:r>
      <w:r w:rsidRPr="00F2439B">
        <w:t xml:space="preserve"> education sector </w:t>
      </w:r>
      <w:r>
        <w:t>should</w:t>
      </w:r>
      <w:r w:rsidRPr="00F2439B">
        <w:t xml:space="preserve"> use country and donor resources effectively, efficiently, and equitably. </w:t>
      </w:r>
    </w:p>
    <w:p w14:paraId="3C1E218E" w14:textId="44EDC3EC" w:rsidR="005C034F" w:rsidRPr="003D65D2" w:rsidRDefault="005C034F" w:rsidP="001C37B6">
      <w:pPr>
        <w:shd w:val="clear" w:color="auto" w:fill="FFFFFF"/>
        <w:spacing w:line="240" w:lineRule="auto"/>
        <w:jc w:val="both"/>
      </w:pPr>
      <w:r w:rsidRPr="00F2439B">
        <w:t>Public expenditure reviews</w:t>
      </w:r>
      <w:r>
        <w:t xml:space="preserve"> (PERs)</w:t>
      </w:r>
      <w:r w:rsidRPr="00F2439B">
        <w:t xml:space="preserve"> are one of the World Bank’s core diagnostic tools for informing various stakeholders about the state of education financing in a country. Such reviews assess the efficiency, </w:t>
      </w:r>
      <w:r w:rsidRPr="00F2439B">
        <w:lastRenderedPageBreak/>
        <w:t>effectiveness, and equity of expenditures on education and their adequacy and sustainability relative to the country’s educational goals. All education systems rely on financing to function.</w:t>
      </w:r>
      <w:r>
        <w:rPr>
          <w:rStyle w:val="FootnoteReference"/>
        </w:rPr>
        <w:footnoteReference w:id="1"/>
      </w:r>
    </w:p>
    <w:p w14:paraId="0DF36CF3" w14:textId="026FF053" w:rsidR="00FF581C" w:rsidRDefault="00E0250F" w:rsidP="00112078">
      <w:pPr>
        <w:spacing w:after="0" w:line="240" w:lineRule="auto"/>
        <w:jc w:val="both"/>
      </w:pPr>
      <w:r>
        <w:t xml:space="preserve">The World Bank’s </w:t>
      </w:r>
      <w:hyperlink r:id="rId10">
        <w:r>
          <w:t>Actions to Strengthen Performance for Inclusive and Responsive Education (ASPIRE)</w:t>
        </w:r>
      </w:hyperlink>
      <w:r w:rsidR="007B15C6">
        <w:t xml:space="preserve"> program</w:t>
      </w:r>
      <w:r w:rsidR="007A31FD">
        <w:t xml:space="preserve"> </w:t>
      </w:r>
      <w:r w:rsidR="007B15C6">
        <w:t xml:space="preserve">aims to </w:t>
      </w:r>
      <w:r w:rsidR="007A31FD">
        <w:t>help Pakistan address school disruptions due to COVID-19 by accelerating virtual and distance learning opportunities for out-of-school children, particularly among disadvantaged communities. It helps strengthen coordination among federal and provincial authorities to generate new investments in traditional and alternative education programs to accelerate recovery.</w:t>
      </w:r>
      <w:r w:rsidR="005C36BA">
        <w:t xml:space="preserve"> </w:t>
      </w:r>
      <w:r w:rsidR="00AC4DFC">
        <w:t xml:space="preserve">Through the Foreign, Commonwealth &amp; Development Office (FCDO)’s Data Accountability &amp; Research in Education (DARE) program, FCDO and the </w:t>
      </w:r>
      <w:r w:rsidR="00786F56">
        <w:t xml:space="preserve">World Bank Group </w:t>
      </w:r>
      <w:r w:rsidR="00AC4DFC">
        <w:t xml:space="preserve">are collaborating to provide technical support to the Federal Government of Pakistan, to strengthen education data infrastructure and coordination mechanisms between the federal and provincial governments, enhance evidence-based decision making and improve targeting of programs to reduce inequality and gender-gaps. With the overall objective </w:t>
      </w:r>
      <w:r w:rsidR="00621B2C">
        <w:t>of</w:t>
      </w:r>
      <w:r w:rsidR="00AC4DFC">
        <w:t xml:space="preserve"> improv</w:t>
      </w:r>
      <w:r w:rsidR="00621B2C">
        <w:t>ing education sector efficiency and efficacy</w:t>
      </w:r>
      <w:r w:rsidR="001046D0">
        <w:t xml:space="preserve"> to provide a quality education for every child</w:t>
      </w:r>
      <w:r w:rsidR="00AC4DFC">
        <w:t xml:space="preserve">, </w:t>
      </w:r>
      <w:r w:rsidR="001046D0">
        <w:t>Pakistan’s</w:t>
      </w:r>
      <w:r w:rsidR="00263220">
        <w:t xml:space="preserve"> education</w:t>
      </w:r>
      <w:r w:rsidR="004D3FEA">
        <w:t xml:space="preserve"> PER will </w:t>
      </w:r>
      <w:r w:rsidR="00D66756">
        <w:t>take place under DARE to ASPIRE, an initiative that combines the work of these two flagship education programs.</w:t>
      </w:r>
    </w:p>
    <w:p w14:paraId="34A1294A" w14:textId="77777777" w:rsidR="00FA2032" w:rsidRDefault="00FA2032" w:rsidP="00112078">
      <w:pPr>
        <w:spacing w:after="0" w:line="240" w:lineRule="auto"/>
        <w:jc w:val="both"/>
      </w:pPr>
    </w:p>
    <w:p w14:paraId="1B069F6D" w14:textId="77777777" w:rsidR="00FA2032" w:rsidRPr="002A759F" w:rsidRDefault="00FA2032" w:rsidP="00FA2032">
      <w:pPr>
        <w:spacing w:line="240" w:lineRule="auto"/>
        <w:jc w:val="both"/>
        <w:rPr>
          <w:b/>
          <w:bCs/>
          <w:sz w:val="24"/>
          <w:szCs w:val="24"/>
          <w:u w:val="single"/>
        </w:rPr>
      </w:pPr>
      <w:r w:rsidRPr="002A759F">
        <w:rPr>
          <w:b/>
          <w:bCs/>
          <w:sz w:val="24"/>
          <w:szCs w:val="24"/>
          <w:u w:val="single"/>
        </w:rPr>
        <w:t xml:space="preserve">Duties and </w:t>
      </w:r>
      <w:r>
        <w:rPr>
          <w:b/>
          <w:bCs/>
          <w:sz w:val="24"/>
          <w:szCs w:val="24"/>
          <w:u w:val="single"/>
        </w:rPr>
        <w:t>A</w:t>
      </w:r>
      <w:r w:rsidRPr="002A759F">
        <w:rPr>
          <w:b/>
          <w:bCs/>
          <w:sz w:val="24"/>
          <w:szCs w:val="24"/>
          <w:u w:val="single"/>
        </w:rPr>
        <w:t>ccountabilities:</w:t>
      </w:r>
    </w:p>
    <w:p w14:paraId="01458F05" w14:textId="1CFACAD7" w:rsidR="006A28A9" w:rsidRDefault="00CA5260" w:rsidP="29E02D4F">
      <w:pPr>
        <w:spacing w:after="0" w:line="240" w:lineRule="auto"/>
        <w:jc w:val="both"/>
      </w:pPr>
      <w:r>
        <w:t xml:space="preserve">The </w:t>
      </w:r>
      <w:r w:rsidR="00786F56">
        <w:t xml:space="preserve">World Bank Group </w:t>
      </w:r>
      <w:r w:rsidR="00D63117">
        <w:t xml:space="preserve">seeks an </w:t>
      </w:r>
      <w:r w:rsidR="7AAF3B47">
        <w:t>STC</w:t>
      </w:r>
      <w:r w:rsidR="00D63117">
        <w:t xml:space="preserve"> to support </w:t>
      </w:r>
      <w:r w:rsidR="00181669">
        <w:t>various aspects of</w:t>
      </w:r>
      <w:r w:rsidR="00D63117">
        <w:t xml:space="preserve"> Pakistan</w:t>
      </w:r>
      <w:r w:rsidR="00181669">
        <w:t xml:space="preserve"> Education PER</w:t>
      </w:r>
      <w:r w:rsidR="00D63117">
        <w:t xml:space="preserve">. </w:t>
      </w:r>
      <w:r w:rsidR="00663917">
        <w:t xml:space="preserve">The </w:t>
      </w:r>
      <w:r w:rsidR="6541C3E5">
        <w:t>STC</w:t>
      </w:r>
      <w:r w:rsidR="00663917">
        <w:t xml:space="preserve"> will support the education task team to</w:t>
      </w:r>
      <w:r w:rsidR="006A28A9">
        <w:t xml:space="preserve"> review</w:t>
      </w:r>
      <w:r w:rsidR="004A152D">
        <w:t xml:space="preserve"> and</w:t>
      </w:r>
      <w:r w:rsidR="006A28A9">
        <w:t xml:space="preserve"> assess the efficiency, effectiveness, and equity of </w:t>
      </w:r>
      <w:r w:rsidR="004A152D">
        <w:t xml:space="preserve">Pakistan’s </w:t>
      </w:r>
      <w:r w:rsidR="006A28A9">
        <w:t xml:space="preserve">education </w:t>
      </w:r>
      <w:r w:rsidR="004A152D">
        <w:t xml:space="preserve">expenditures </w:t>
      </w:r>
      <w:r w:rsidR="006A28A9">
        <w:t xml:space="preserve">and their adequacy and sustainability relative to the country’s educational goals. </w:t>
      </w:r>
    </w:p>
    <w:p w14:paraId="1C211A09" w14:textId="01D7DAFC" w:rsidR="006A28A9" w:rsidRDefault="006A28A9" w:rsidP="29E02D4F">
      <w:pPr>
        <w:spacing w:after="0" w:line="240" w:lineRule="auto"/>
        <w:jc w:val="both"/>
      </w:pPr>
    </w:p>
    <w:p w14:paraId="55BD2483" w14:textId="468DC9B3" w:rsidR="006A28A9" w:rsidRDefault="33C4E7B9" w:rsidP="29E02D4F">
      <w:pPr>
        <w:spacing w:after="0" w:line="240" w:lineRule="auto"/>
        <w:jc w:val="both"/>
      </w:pPr>
      <w:r>
        <w:t xml:space="preserve">For PER Guidelines see:  </w:t>
      </w:r>
      <w:hyperlink r:id="rId11">
        <w:r w:rsidRPr="29E02D4F">
          <w:rPr>
            <w:rStyle w:val="Hyperlink"/>
          </w:rPr>
          <w:t>https://openknowledge.worldbank.org/handle/10986/27264</w:t>
        </w:r>
      </w:hyperlink>
    </w:p>
    <w:p w14:paraId="7F35EE2A" w14:textId="7B761876" w:rsidR="29E02D4F" w:rsidRDefault="29E02D4F" w:rsidP="29E02D4F">
      <w:pPr>
        <w:spacing w:after="0" w:line="240" w:lineRule="auto"/>
        <w:jc w:val="both"/>
      </w:pPr>
    </w:p>
    <w:p w14:paraId="542EA096" w14:textId="77777777" w:rsidR="006A28A9" w:rsidRDefault="006A28A9" w:rsidP="006A28A9">
      <w:pPr>
        <w:autoSpaceDE w:val="0"/>
        <w:autoSpaceDN w:val="0"/>
        <w:adjustRightInd w:val="0"/>
        <w:spacing w:after="0" w:line="240" w:lineRule="auto"/>
        <w:jc w:val="both"/>
        <w:rPr>
          <w:rFonts w:ascii="MyriadPro-Light" w:hAnsi="MyriadPro-Light" w:cs="MyriadPro-Light"/>
        </w:rPr>
      </w:pPr>
    </w:p>
    <w:p w14:paraId="1BD38305" w14:textId="69E73136" w:rsidR="006A28A9" w:rsidRDefault="00A039DF" w:rsidP="006A28A9">
      <w:pPr>
        <w:autoSpaceDE w:val="0"/>
        <w:autoSpaceDN w:val="0"/>
        <w:adjustRightInd w:val="0"/>
        <w:spacing w:after="0" w:line="240" w:lineRule="auto"/>
        <w:jc w:val="both"/>
      </w:pPr>
      <w:r>
        <w:t>Pakistan’s PER</w:t>
      </w:r>
      <w:r w:rsidR="006A28A9">
        <w:t xml:space="preserve"> will build on the Multi-Sector Public Expenditure and Institutional Reviews (PEIR) for Pakistan and deepen some of the analysis to draw a more comprehensive picture of the expenditure on education, in particular public financing, and its characteristics (e.g., equity, efficiency, efficacy). The PER then will be a standalone piece focusing on answers the to the following general questions: </w:t>
      </w:r>
    </w:p>
    <w:p w14:paraId="1C561935" w14:textId="77777777" w:rsidR="006A28A9" w:rsidRDefault="006A28A9" w:rsidP="006A28A9">
      <w:pPr>
        <w:autoSpaceDE w:val="0"/>
        <w:autoSpaceDN w:val="0"/>
        <w:adjustRightInd w:val="0"/>
        <w:spacing w:after="0" w:line="240" w:lineRule="auto"/>
        <w:jc w:val="both"/>
      </w:pPr>
    </w:p>
    <w:p w14:paraId="2E11B72F" w14:textId="77777777" w:rsidR="006A28A9" w:rsidRDefault="006A28A9" w:rsidP="006A28A9">
      <w:pPr>
        <w:pStyle w:val="ListParagraph"/>
        <w:numPr>
          <w:ilvl w:val="0"/>
          <w:numId w:val="7"/>
        </w:numPr>
      </w:pPr>
      <w:r>
        <w:t xml:space="preserve">Who finances education and how are funds channeled? </w:t>
      </w:r>
    </w:p>
    <w:p w14:paraId="78AD5100" w14:textId="77777777" w:rsidR="006A28A9" w:rsidRDefault="006A28A9" w:rsidP="006A28A9">
      <w:pPr>
        <w:pStyle w:val="ListParagraph"/>
        <w:numPr>
          <w:ilvl w:val="0"/>
          <w:numId w:val="7"/>
        </w:numPr>
      </w:pPr>
      <w:r>
        <w:t xml:space="preserve">How much does the government spend and on what? </w:t>
      </w:r>
    </w:p>
    <w:p w14:paraId="2C095F6B" w14:textId="77777777" w:rsidR="006A28A9" w:rsidRDefault="006A28A9" w:rsidP="006A28A9">
      <w:pPr>
        <w:pStyle w:val="ListParagraph"/>
        <w:numPr>
          <w:ilvl w:val="0"/>
          <w:numId w:val="7"/>
        </w:numPr>
      </w:pPr>
      <w:r>
        <w:t xml:space="preserve">Is the public financial management system set up to enhance financial accountability? </w:t>
      </w:r>
    </w:p>
    <w:p w14:paraId="7E9E4D6E" w14:textId="77777777" w:rsidR="006A28A9" w:rsidRDefault="006A28A9" w:rsidP="006A28A9">
      <w:pPr>
        <w:pStyle w:val="ListParagraph"/>
        <w:numPr>
          <w:ilvl w:val="0"/>
          <w:numId w:val="7"/>
        </w:numPr>
      </w:pPr>
      <w:r>
        <w:t xml:space="preserve">Relative to the government’s policies and standards, how much is needed now (adequacy), and what can be afforded in the medium and long term (sustainability)? </w:t>
      </w:r>
    </w:p>
    <w:p w14:paraId="37BECE58" w14:textId="77777777" w:rsidR="006A28A9" w:rsidRDefault="006A28A9" w:rsidP="006A28A9">
      <w:pPr>
        <w:pStyle w:val="ListParagraph"/>
        <w:numPr>
          <w:ilvl w:val="0"/>
          <w:numId w:val="7"/>
        </w:numPr>
      </w:pPr>
      <w:r>
        <w:t xml:space="preserve">Are public resources being used efficiently and effectively? </w:t>
      </w:r>
    </w:p>
    <w:p w14:paraId="1A0D72B1" w14:textId="7700DB22" w:rsidR="006A28A9" w:rsidRDefault="006A28A9" w:rsidP="006A28A9">
      <w:pPr>
        <w:pStyle w:val="ListParagraph"/>
        <w:numPr>
          <w:ilvl w:val="0"/>
          <w:numId w:val="7"/>
        </w:numPr>
      </w:pPr>
      <w:r>
        <w:t>Does public spending promote equity?</w:t>
      </w:r>
    </w:p>
    <w:p w14:paraId="10F5C25A" w14:textId="77777777" w:rsidR="006A28A9" w:rsidRDefault="006A28A9" w:rsidP="006A28A9">
      <w:pPr>
        <w:jc w:val="both"/>
      </w:pPr>
      <w:r>
        <w:t>The answers to these questions will be answered and structured in the following tentative outline for the PER:</w:t>
      </w:r>
    </w:p>
    <w:p w14:paraId="3F2DA633" w14:textId="77777777" w:rsidR="006A28A9" w:rsidRDefault="006A28A9" w:rsidP="00AA136A">
      <w:pPr>
        <w:spacing w:after="0" w:line="240" w:lineRule="auto"/>
        <w:jc w:val="both"/>
      </w:pPr>
      <w:r>
        <w:t>Section 1: Background and Overview of the Education System</w:t>
      </w:r>
    </w:p>
    <w:p w14:paraId="554DD282" w14:textId="77777777" w:rsidR="006A28A9" w:rsidRDefault="006A28A9" w:rsidP="00AA136A">
      <w:pPr>
        <w:spacing w:after="0" w:line="240" w:lineRule="auto"/>
        <w:jc w:val="both"/>
      </w:pPr>
      <w:r>
        <w:t>Section 2: Overview of Education Financing and Spending</w:t>
      </w:r>
    </w:p>
    <w:p w14:paraId="2591B938" w14:textId="77777777" w:rsidR="006A28A9" w:rsidRDefault="006A28A9" w:rsidP="00AA136A">
      <w:pPr>
        <w:spacing w:after="0" w:line="240" w:lineRule="auto"/>
        <w:jc w:val="both"/>
      </w:pPr>
      <w:r>
        <w:t>Section 3: Financial Accountability</w:t>
      </w:r>
    </w:p>
    <w:p w14:paraId="627B53B6" w14:textId="77777777" w:rsidR="006A28A9" w:rsidRDefault="006A28A9" w:rsidP="00AA136A">
      <w:pPr>
        <w:spacing w:after="0" w:line="240" w:lineRule="auto"/>
        <w:jc w:val="both"/>
      </w:pPr>
      <w:r>
        <w:t>Section 4: Adequacy and Sustainability</w:t>
      </w:r>
    </w:p>
    <w:p w14:paraId="30475A10" w14:textId="77777777" w:rsidR="006A28A9" w:rsidRDefault="006A28A9" w:rsidP="00AA136A">
      <w:pPr>
        <w:spacing w:after="0" w:line="240" w:lineRule="auto"/>
        <w:jc w:val="both"/>
      </w:pPr>
      <w:r>
        <w:t>Section 5: Efficiency and Effectiveness</w:t>
      </w:r>
    </w:p>
    <w:p w14:paraId="3C56F5B3" w14:textId="77777777" w:rsidR="006A28A9" w:rsidRDefault="006A28A9" w:rsidP="00AA136A">
      <w:pPr>
        <w:spacing w:after="0" w:line="240" w:lineRule="auto"/>
        <w:jc w:val="both"/>
      </w:pPr>
      <w:r>
        <w:lastRenderedPageBreak/>
        <w:t>Section 6: Equity</w:t>
      </w:r>
    </w:p>
    <w:p w14:paraId="6F1C9E5B" w14:textId="77777777" w:rsidR="006A28A9" w:rsidRDefault="006A28A9" w:rsidP="00AA136A">
      <w:pPr>
        <w:tabs>
          <w:tab w:val="left" w:pos="2540"/>
        </w:tabs>
        <w:spacing w:after="0" w:line="240" w:lineRule="auto"/>
        <w:jc w:val="both"/>
      </w:pPr>
      <w:r>
        <w:t xml:space="preserve">Section 7: Recommendations </w:t>
      </w:r>
    </w:p>
    <w:p w14:paraId="37F3EA17" w14:textId="77777777" w:rsidR="006A28A9" w:rsidRPr="00DC1181" w:rsidRDefault="006A28A9" w:rsidP="006A28A9">
      <w:pPr>
        <w:autoSpaceDE w:val="0"/>
        <w:autoSpaceDN w:val="0"/>
        <w:adjustRightInd w:val="0"/>
        <w:spacing w:after="0" w:line="240" w:lineRule="auto"/>
        <w:ind w:left="720"/>
        <w:rPr>
          <w:rFonts w:ascii="MyriadPro-Light" w:hAnsi="MyriadPro-Light" w:cs="MyriadPro-Light"/>
        </w:rPr>
      </w:pPr>
    </w:p>
    <w:p w14:paraId="236856E3" w14:textId="77777777" w:rsidR="006A28A9" w:rsidRDefault="006A28A9" w:rsidP="006A28A9">
      <w:pPr>
        <w:jc w:val="both"/>
      </w:pPr>
      <w:r>
        <w:t xml:space="preserve">The PER will maximally exploit available datasets and administrative data, including household and socio-demographic and educations surveys (PSLM, HEIS, ASER, as examples) as well public expenditure data, administrative data from PIE, and other public sources. When possible, analysis will include geographic and by subgroup or provinces to better understand geographical disparities, and the heterogeneity of expenditure and outcomes. </w:t>
      </w:r>
    </w:p>
    <w:p w14:paraId="74DA16D5" w14:textId="56F1205C" w:rsidR="006A28A9" w:rsidRDefault="006A28A9" w:rsidP="006A28A9">
      <w:r>
        <w:t>In addition to the above, the PER for Pakistan will also dig deeper into:</w:t>
      </w:r>
    </w:p>
    <w:p w14:paraId="6DAAD772" w14:textId="77777777" w:rsidR="006A28A9" w:rsidRDefault="006A28A9" w:rsidP="006A28A9">
      <w:pPr>
        <w:pStyle w:val="ListParagraph"/>
        <w:numPr>
          <w:ilvl w:val="0"/>
          <w:numId w:val="8"/>
        </w:numPr>
      </w:pPr>
      <w:r>
        <w:t xml:space="preserve">Parent’s choice on the type of school private versus public. Given the high proportion of private schools and the challenges of the public sector to provide quality education, we are proposing some data work to understand what parents consider when making this decision.  </w:t>
      </w:r>
    </w:p>
    <w:p w14:paraId="4E182A2C" w14:textId="77777777" w:rsidR="006A28A9" w:rsidRDefault="006A28A9" w:rsidP="006A28A9">
      <w:pPr>
        <w:pStyle w:val="ListParagraph"/>
        <w:numPr>
          <w:ilvl w:val="0"/>
          <w:numId w:val="8"/>
        </w:numPr>
      </w:pPr>
      <w:r>
        <w:t xml:space="preserve">Is it possible to increase funding for education in Pakistan to 4% of GDP? Given budget parameters and Pakistan’s budget process, increasing overall budget to 4% would require a disproportionate effort from provincial budgets. This analysis will provide an answer to this. </w:t>
      </w:r>
    </w:p>
    <w:p w14:paraId="3CF2CB59" w14:textId="55A3B316" w:rsidR="003A059C" w:rsidRPr="003A059C" w:rsidRDefault="006A28A9" w:rsidP="000467B5">
      <w:pPr>
        <w:jc w:val="both"/>
      </w:pPr>
      <w:r w:rsidRPr="004F1AF5">
        <w:rPr>
          <w:b/>
          <w:bCs/>
        </w:rPr>
        <w:t xml:space="preserve">New data collection: </w:t>
      </w:r>
      <w:r>
        <w:t>One phone survey of a random sample of parents (n=2,000). T</w:t>
      </w:r>
      <w:r w:rsidR="00F24AE1">
        <w:t>his survey will t</w:t>
      </w:r>
      <w:r>
        <w:t>arget parents of children 5-16 yea</w:t>
      </w:r>
      <w:r w:rsidR="00F24AE1">
        <w:t>r</w:t>
      </w:r>
      <w:r>
        <w:t xml:space="preserve">s old (whether they are in school or not). </w:t>
      </w:r>
      <w:r w:rsidR="003A059C">
        <w:t>In addition to the quantitative data, the WB team will design and implement</w:t>
      </w:r>
      <w:r>
        <w:t xml:space="preserve"> focus groups</w:t>
      </w:r>
      <w:r w:rsidR="003A059C">
        <w:t xml:space="preserve"> discussions (FGDs) </w:t>
      </w:r>
      <w:r>
        <w:t>in all province</w:t>
      </w:r>
      <w:r w:rsidR="003A059C">
        <w:t>s of Pakistan</w:t>
      </w:r>
      <w:r>
        <w:t xml:space="preserve"> to gather qualitative </w:t>
      </w:r>
      <w:r w:rsidR="003A059C">
        <w:t>information,</w:t>
      </w:r>
      <w:r>
        <w:t xml:space="preserve"> deepen</w:t>
      </w:r>
      <w:r w:rsidR="003A059C">
        <w:t xml:space="preserve">ing understanding of </w:t>
      </w:r>
      <w:r>
        <w:t xml:space="preserve">phone survey </w:t>
      </w:r>
      <w:r w:rsidR="003A059C">
        <w:t>findings.</w:t>
      </w:r>
    </w:p>
    <w:p w14:paraId="44424F44" w14:textId="77777777" w:rsidR="00C12A2E" w:rsidRDefault="00C12A2E" w:rsidP="00C12A2E">
      <w:pPr>
        <w:pStyle w:val="Default"/>
        <w:jc w:val="both"/>
        <w:rPr>
          <w:rFonts w:asciiTheme="minorHAnsi" w:hAnsiTheme="minorHAnsi" w:cstheme="minorHAnsi"/>
          <w:b/>
          <w:bCs/>
          <w:color w:val="4472C4" w:themeColor="accent1"/>
          <w:sz w:val="22"/>
          <w:szCs w:val="22"/>
        </w:rPr>
      </w:pPr>
      <w:r w:rsidRPr="005F624F">
        <w:rPr>
          <w:rFonts w:asciiTheme="minorHAnsi" w:hAnsiTheme="minorHAnsi" w:cstheme="minorHAnsi"/>
          <w:b/>
          <w:bCs/>
          <w:color w:val="4472C4" w:themeColor="accent1"/>
          <w:sz w:val="22"/>
          <w:szCs w:val="22"/>
        </w:rPr>
        <w:t>Deliverables</w:t>
      </w:r>
    </w:p>
    <w:p w14:paraId="7A36E48F" w14:textId="3B0801AC" w:rsidR="004F5EEA" w:rsidRPr="00C026F3" w:rsidRDefault="004F5EEA" w:rsidP="00C12A2E">
      <w:pPr>
        <w:pStyle w:val="Default"/>
        <w:jc w:val="both"/>
        <w:rPr>
          <w:sz w:val="22"/>
          <w:szCs w:val="22"/>
        </w:rPr>
      </w:pPr>
      <w:r w:rsidRPr="6055775F">
        <w:rPr>
          <w:sz w:val="22"/>
          <w:szCs w:val="22"/>
        </w:rPr>
        <w:t xml:space="preserve">The selected </w:t>
      </w:r>
      <w:r w:rsidR="6541C3E5" w:rsidRPr="6055775F">
        <w:rPr>
          <w:sz w:val="22"/>
          <w:szCs w:val="22"/>
        </w:rPr>
        <w:t>STC</w:t>
      </w:r>
      <w:r w:rsidRPr="6055775F">
        <w:rPr>
          <w:sz w:val="22"/>
          <w:szCs w:val="22"/>
        </w:rPr>
        <w:t xml:space="preserve"> will support with the </w:t>
      </w:r>
      <w:r w:rsidR="00C026F3" w:rsidRPr="6055775F">
        <w:rPr>
          <w:sz w:val="22"/>
          <w:szCs w:val="22"/>
        </w:rPr>
        <w:t xml:space="preserve">scoping, data collection and analysis, and writing of Pakistan’s PER documents, including: </w:t>
      </w:r>
    </w:p>
    <w:p w14:paraId="5E22E61A" w14:textId="77777777" w:rsidR="00C026F3" w:rsidRPr="005F624F" w:rsidRDefault="00C026F3" w:rsidP="00C12A2E">
      <w:pPr>
        <w:pStyle w:val="Default"/>
        <w:jc w:val="both"/>
        <w:rPr>
          <w:rFonts w:asciiTheme="minorHAnsi" w:hAnsiTheme="minorHAnsi" w:cstheme="minorHAnsi"/>
          <w:color w:val="4472C4" w:themeColor="accent1"/>
          <w:sz w:val="22"/>
          <w:szCs w:val="22"/>
        </w:rPr>
      </w:pPr>
    </w:p>
    <w:p w14:paraId="3EE7ACAF" w14:textId="733EBA7D" w:rsidR="00C12A2E" w:rsidRDefault="43484A1E" w:rsidP="6055775F">
      <w:pPr>
        <w:pStyle w:val="Default"/>
        <w:numPr>
          <w:ilvl w:val="0"/>
          <w:numId w:val="1"/>
        </w:numPr>
        <w:jc w:val="both"/>
        <w:rPr>
          <w:rFonts w:asciiTheme="minorHAnsi" w:hAnsiTheme="minorHAnsi" w:cstheme="minorBidi"/>
          <w:sz w:val="22"/>
          <w:szCs w:val="22"/>
        </w:rPr>
      </w:pPr>
      <w:r w:rsidRPr="6055775F">
        <w:rPr>
          <w:rFonts w:asciiTheme="minorHAnsi" w:hAnsiTheme="minorHAnsi" w:cstheme="minorBidi"/>
          <w:b/>
          <w:bCs/>
          <w:sz w:val="22"/>
          <w:szCs w:val="22"/>
        </w:rPr>
        <w:t>First Draft</w:t>
      </w:r>
      <w:r w:rsidR="00C12A2E" w:rsidRPr="6055775F">
        <w:rPr>
          <w:rFonts w:asciiTheme="minorHAnsi" w:hAnsiTheme="minorHAnsi" w:cstheme="minorBidi"/>
          <w:b/>
          <w:bCs/>
          <w:sz w:val="22"/>
          <w:szCs w:val="22"/>
        </w:rPr>
        <w:t xml:space="preserve">: </w:t>
      </w:r>
      <w:r w:rsidR="008C01D5" w:rsidRPr="6055775F">
        <w:rPr>
          <w:rFonts w:asciiTheme="minorHAnsi" w:hAnsiTheme="minorHAnsi" w:cstheme="minorBidi"/>
          <w:sz w:val="22"/>
          <w:szCs w:val="22"/>
        </w:rPr>
        <w:t>In coordination with the WB task team, the</w:t>
      </w:r>
      <w:r w:rsidR="00C12A2E" w:rsidRPr="6055775F">
        <w:rPr>
          <w:rFonts w:asciiTheme="minorHAnsi" w:hAnsiTheme="minorHAnsi" w:cstheme="minorBidi"/>
          <w:sz w:val="22"/>
          <w:szCs w:val="22"/>
        </w:rPr>
        <w:t xml:space="preserve"> </w:t>
      </w:r>
      <w:r w:rsidR="6541C3E5" w:rsidRPr="6055775F">
        <w:rPr>
          <w:rFonts w:asciiTheme="minorHAnsi" w:hAnsiTheme="minorHAnsi" w:cstheme="minorBidi"/>
          <w:sz w:val="22"/>
          <w:szCs w:val="22"/>
        </w:rPr>
        <w:t>STC</w:t>
      </w:r>
      <w:r w:rsidR="00C12A2E" w:rsidRPr="6055775F">
        <w:rPr>
          <w:rFonts w:asciiTheme="minorHAnsi" w:hAnsiTheme="minorHAnsi" w:cstheme="minorBidi"/>
          <w:sz w:val="22"/>
          <w:szCs w:val="22"/>
        </w:rPr>
        <w:t xml:space="preserve"> will be required</w:t>
      </w:r>
      <w:r w:rsidR="60BB6FC6" w:rsidRPr="6055775F">
        <w:rPr>
          <w:rFonts w:asciiTheme="minorHAnsi" w:hAnsiTheme="minorHAnsi" w:cstheme="minorBidi"/>
          <w:sz w:val="22"/>
          <w:szCs w:val="22"/>
        </w:rPr>
        <w:t xml:space="preserve"> </w:t>
      </w:r>
      <w:r w:rsidR="4DB8C742" w:rsidRPr="6055775F">
        <w:rPr>
          <w:rFonts w:asciiTheme="minorHAnsi" w:hAnsiTheme="minorHAnsi" w:cstheme="minorBidi"/>
          <w:sz w:val="22"/>
          <w:szCs w:val="22"/>
        </w:rPr>
        <w:t>contribute to</w:t>
      </w:r>
      <w:r w:rsidR="00C12A2E" w:rsidRPr="6055775F">
        <w:rPr>
          <w:rFonts w:asciiTheme="minorHAnsi" w:hAnsiTheme="minorHAnsi" w:cstheme="minorBidi"/>
          <w:sz w:val="22"/>
          <w:szCs w:val="22"/>
        </w:rPr>
        <w:t xml:space="preserve"> a </w:t>
      </w:r>
      <w:r w:rsidR="7BFE23EF" w:rsidRPr="6055775F">
        <w:rPr>
          <w:rFonts w:asciiTheme="minorHAnsi" w:hAnsiTheme="minorHAnsi" w:cstheme="minorBidi"/>
          <w:sz w:val="22"/>
          <w:szCs w:val="22"/>
        </w:rPr>
        <w:t xml:space="preserve">first draft of the document </w:t>
      </w:r>
      <w:r w:rsidR="00381974" w:rsidRPr="6055775F">
        <w:rPr>
          <w:rFonts w:asciiTheme="minorHAnsi" w:hAnsiTheme="minorHAnsi" w:cstheme="minorBidi"/>
          <w:sz w:val="22"/>
          <w:szCs w:val="22"/>
        </w:rPr>
        <w:t>that</w:t>
      </w:r>
      <w:r w:rsidR="00C12A2E" w:rsidRPr="6055775F">
        <w:rPr>
          <w:rFonts w:asciiTheme="minorHAnsi" w:hAnsiTheme="minorHAnsi" w:cstheme="minorBidi"/>
          <w:sz w:val="22"/>
          <w:szCs w:val="22"/>
        </w:rPr>
        <w:t xml:space="preserve"> </w:t>
      </w:r>
      <w:r w:rsidR="00137A2D" w:rsidRPr="6055775F">
        <w:rPr>
          <w:rFonts w:asciiTheme="minorHAnsi" w:hAnsiTheme="minorHAnsi" w:cstheme="minorBidi"/>
          <w:sz w:val="22"/>
          <w:szCs w:val="22"/>
        </w:rPr>
        <w:t>will</w:t>
      </w:r>
      <w:r w:rsidR="00C12A2E" w:rsidRPr="6055775F">
        <w:rPr>
          <w:rFonts w:asciiTheme="minorHAnsi" w:hAnsiTheme="minorHAnsi" w:cstheme="minorBidi"/>
          <w:sz w:val="22"/>
          <w:szCs w:val="22"/>
        </w:rPr>
        <w:t xml:space="preserve"> provide a narrative </w:t>
      </w:r>
      <w:r w:rsidR="00381974" w:rsidRPr="6055775F">
        <w:rPr>
          <w:rFonts w:asciiTheme="minorHAnsi" w:hAnsiTheme="minorHAnsi" w:cstheme="minorBidi"/>
          <w:sz w:val="22"/>
          <w:szCs w:val="22"/>
        </w:rPr>
        <w:t>on the team’s</w:t>
      </w:r>
      <w:r w:rsidR="00C12A2E" w:rsidRPr="6055775F">
        <w:rPr>
          <w:rFonts w:asciiTheme="minorHAnsi" w:hAnsiTheme="minorHAnsi" w:cstheme="minorBidi"/>
          <w:sz w:val="22"/>
          <w:szCs w:val="22"/>
        </w:rPr>
        <w:t xml:space="preserve"> </w:t>
      </w:r>
      <w:r w:rsidR="00381974" w:rsidRPr="6055775F">
        <w:rPr>
          <w:rFonts w:asciiTheme="minorHAnsi" w:hAnsiTheme="minorHAnsi" w:cstheme="minorBidi"/>
          <w:sz w:val="22"/>
          <w:szCs w:val="22"/>
        </w:rPr>
        <w:t>PER</w:t>
      </w:r>
      <w:r w:rsidR="00C12A2E" w:rsidRPr="6055775F">
        <w:rPr>
          <w:rFonts w:asciiTheme="minorHAnsi" w:hAnsiTheme="minorHAnsi" w:cstheme="minorBidi"/>
          <w:sz w:val="22"/>
          <w:szCs w:val="22"/>
        </w:rPr>
        <w:t xml:space="preserve"> approach. </w:t>
      </w:r>
    </w:p>
    <w:p w14:paraId="2E85F54A" w14:textId="719372C2" w:rsidR="005944FD" w:rsidRPr="005944FD" w:rsidRDefault="005944FD" w:rsidP="29E02D4F">
      <w:pPr>
        <w:pStyle w:val="Default"/>
        <w:numPr>
          <w:ilvl w:val="0"/>
          <w:numId w:val="1"/>
        </w:numPr>
        <w:jc w:val="both"/>
        <w:rPr>
          <w:rFonts w:asciiTheme="minorHAnsi" w:hAnsiTheme="minorHAnsi" w:cstheme="minorBidi"/>
          <w:sz w:val="22"/>
          <w:szCs w:val="22"/>
        </w:rPr>
      </w:pPr>
      <w:r w:rsidRPr="29E02D4F">
        <w:rPr>
          <w:rFonts w:asciiTheme="minorHAnsi" w:hAnsiTheme="minorHAnsi" w:cstheme="minorBidi"/>
          <w:b/>
          <w:bCs/>
          <w:sz w:val="22"/>
          <w:szCs w:val="22"/>
        </w:rPr>
        <w:t>Phone survey</w:t>
      </w:r>
    </w:p>
    <w:p w14:paraId="4ACEFA34" w14:textId="028FF9B8" w:rsidR="00DC283E" w:rsidRPr="005944FD" w:rsidRDefault="005944FD" w:rsidP="29E02D4F">
      <w:pPr>
        <w:pStyle w:val="Default"/>
        <w:numPr>
          <w:ilvl w:val="0"/>
          <w:numId w:val="1"/>
        </w:numPr>
        <w:jc w:val="both"/>
        <w:rPr>
          <w:rFonts w:asciiTheme="minorHAnsi" w:hAnsiTheme="minorHAnsi" w:cstheme="minorBidi"/>
          <w:sz w:val="22"/>
          <w:szCs w:val="22"/>
        </w:rPr>
      </w:pPr>
      <w:r w:rsidRPr="29E02D4F">
        <w:rPr>
          <w:rFonts w:asciiTheme="minorHAnsi" w:hAnsiTheme="minorHAnsi" w:cstheme="minorBidi"/>
          <w:b/>
          <w:bCs/>
          <w:sz w:val="22"/>
          <w:szCs w:val="22"/>
        </w:rPr>
        <w:t>FGD questionnaire</w:t>
      </w:r>
    </w:p>
    <w:p w14:paraId="23D60ED0" w14:textId="2C68C80A" w:rsidR="00573270" w:rsidRPr="00485BF5" w:rsidRDefault="00732774" w:rsidP="00573270">
      <w:pPr>
        <w:pStyle w:val="Default"/>
        <w:numPr>
          <w:ilvl w:val="0"/>
          <w:numId w:val="1"/>
        </w:numPr>
        <w:jc w:val="both"/>
        <w:rPr>
          <w:rFonts w:cstheme="minorHAnsi"/>
          <w:b/>
          <w:bCs/>
          <w:color w:val="4472C4" w:themeColor="accent1"/>
        </w:rPr>
      </w:pPr>
      <w:r w:rsidRPr="00485BF5">
        <w:rPr>
          <w:rFonts w:asciiTheme="minorHAnsi" w:hAnsiTheme="minorHAnsi" w:cstheme="minorBidi"/>
          <w:b/>
          <w:bCs/>
          <w:sz w:val="22"/>
          <w:szCs w:val="22"/>
        </w:rPr>
        <w:t>Clean and coded data</w:t>
      </w:r>
      <w:r>
        <w:rPr>
          <w:rFonts w:asciiTheme="minorHAnsi" w:hAnsiTheme="minorHAnsi" w:cstheme="minorBidi"/>
          <w:sz w:val="22"/>
          <w:szCs w:val="22"/>
        </w:rPr>
        <w:t xml:space="preserve"> </w:t>
      </w:r>
      <w:r w:rsidR="003565AC">
        <w:rPr>
          <w:rFonts w:asciiTheme="minorHAnsi" w:hAnsiTheme="minorHAnsi" w:cstheme="minorBidi"/>
          <w:sz w:val="22"/>
          <w:szCs w:val="22"/>
        </w:rPr>
        <w:t xml:space="preserve">in STATA format </w:t>
      </w:r>
      <w:r>
        <w:rPr>
          <w:rFonts w:asciiTheme="minorHAnsi" w:hAnsiTheme="minorHAnsi" w:cstheme="minorBidi"/>
          <w:sz w:val="22"/>
          <w:szCs w:val="22"/>
        </w:rPr>
        <w:t>from</w:t>
      </w:r>
      <w:r w:rsidR="003A059C">
        <w:rPr>
          <w:rFonts w:asciiTheme="minorHAnsi" w:hAnsiTheme="minorHAnsi" w:cstheme="minorBidi"/>
          <w:sz w:val="22"/>
          <w:szCs w:val="22"/>
        </w:rPr>
        <w:t xml:space="preserve"> the phone survey and </w:t>
      </w:r>
      <w:r w:rsidR="00DC283E" w:rsidRPr="00DC283E">
        <w:rPr>
          <w:rFonts w:asciiTheme="minorHAnsi" w:hAnsiTheme="minorHAnsi" w:cstheme="minorBidi"/>
          <w:b/>
          <w:bCs/>
          <w:sz w:val="22"/>
          <w:szCs w:val="22"/>
        </w:rPr>
        <w:t>transcripts</w:t>
      </w:r>
      <w:r w:rsidR="00DC283E">
        <w:rPr>
          <w:rFonts w:asciiTheme="minorHAnsi" w:hAnsiTheme="minorHAnsi" w:cstheme="minorBidi"/>
          <w:sz w:val="22"/>
          <w:szCs w:val="22"/>
        </w:rPr>
        <w:t xml:space="preserve"> from the </w:t>
      </w:r>
      <w:r w:rsidR="003A059C">
        <w:rPr>
          <w:rFonts w:asciiTheme="minorHAnsi" w:hAnsiTheme="minorHAnsi" w:cstheme="minorBidi"/>
          <w:sz w:val="22"/>
          <w:szCs w:val="22"/>
        </w:rPr>
        <w:t>FGDs</w:t>
      </w:r>
      <w:r w:rsidR="00DC283E">
        <w:rPr>
          <w:rFonts w:asciiTheme="minorHAnsi" w:hAnsiTheme="minorHAnsi" w:cstheme="minorBidi"/>
          <w:sz w:val="22"/>
          <w:szCs w:val="22"/>
        </w:rPr>
        <w:t>.</w:t>
      </w:r>
    </w:p>
    <w:p w14:paraId="23A4F595" w14:textId="75C6BD69" w:rsidR="00485BF5" w:rsidRPr="00485BF5" w:rsidRDefault="00500884" w:rsidP="6055775F">
      <w:pPr>
        <w:pStyle w:val="Default"/>
        <w:numPr>
          <w:ilvl w:val="0"/>
          <w:numId w:val="1"/>
        </w:numPr>
        <w:jc w:val="both"/>
        <w:rPr>
          <w:rFonts w:cstheme="minorBidi"/>
          <w:b/>
          <w:bCs/>
          <w:color w:val="4472C4" w:themeColor="accent1"/>
        </w:rPr>
      </w:pPr>
      <w:r w:rsidRPr="6055775F">
        <w:rPr>
          <w:rFonts w:asciiTheme="minorHAnsi" w:hAnsiTheme="minorHAnsi" w:cstheme="minorBidi"/>
          <w:b/>
          <w:bCs/>
          <w:sz w:val="22"/>
          <w:szCs w:val="22"/>
        </w:rPr>
        <w:t xml:space="preserve">Final </w:t>
      </w:r>
      <w:r w:rsidR="00DC283E" w:rsidRPr="6055775F">
        <w:rPr>
          <w:rFonts w:asciiTheme="minorHAnsi" w:hAnsiTheme="minorHAnsi" w:cstheme="minorBidi"/>
          <w:b/>
          <w:bCs/>
          <w:sz w:val="22"/>
          <w:szCs w:val="22"/>
        </w:rPr>
        <w:t>Document</w:t>
      </w:r>
      <w:r w:rsidRPr="6055775F">
        <w:rPr>
          <w:rFonts w:asciiTheme="minorHAnsi" w:hAnsiTheme="minorHAnsi" w:cstheme="minorBidi"/>
          <w:b/>
          <w:bCs/>
          <w:sz w:val="22"/>
          <w:szCs w:val="22"/>
        </w:rPr>
        <w:t xml:space="preserve">. </w:t>
      </w:r>
      <w:r w:rsidRPr="6055775F">
        <w:rPr>
          <w:rFonts w:asciiTheme="minorHAnsi" w:hAnsiTheme="minorHAnsi" w:cstheme="minorBidi"/>
          <w:sz w:val="22"/>
          <w:szCs w:val="22"/>
        </w:rPr>
        <w:t xml:space="preserve">A final report drawing on the qualitative and quantitative data, along with select case studies will be produced by the </w:t>
      </w:r>
      <w:r w:rsidR="6541C3E5" w:rsidRPr="6055775F">
        <w:rPr>
          <w:rFonts w:asciiTheme="minorHAnsi" w:hAnsiTheme="minorHAnsi" w:cstheme="minorBidi"/>
          <w:sz w:val="22"/>
          <w:szCs w:val="22"/>
        </w:rPr>
        <w:t>STC</w:t>
      </w:r>
      <w:r w:rsidRPr="6055775F">
        <w:rPr>
          <w:rFonts w:asciiTheme="minorHAnsi" w:hAnsiTheme="minorHAnsi" w:cstheme="minorBidi"/>
          <w:sz w:val="22"/>
          <w:szCs w:val="22"/>
        </w:rPr>
        <w:t xml:space="preserve"> to illustrate the status of </w:t>
      </w:r>
      <w:r w:rsidR="0096156F" w:rsidRPr="6055775F">
        <w:rPr>
          <w:rFonts w:asciiTheme="minorHAnsi" w:hAnsiTheme="minorHAnsi" w:cstheme="minorBidi"/>
          <w:sz w:val="22"/>
          <w:szCs w:val="22"/>
        </w:rPr>
        <w:t>public expenditures on education</w:t>
      </w:r>
      <w:r w:rsidR="006C0AE4" w:rsidRPr="6055775F">
        <w:rPr>
          <w:rFonts w:asciiTheme="minorHAnsi" w:hAnsiTheme="minorHAnsi" w:cstheme="minorBidi"/>
          <w:sz w:val="22"/>
          <w:szCs w:val="22"/>
        </w:rPr>
        <w:t xml:space="preserve"> across Pakistan today. </w:t>
      </w:r>
    </w:p>
    <w:p w14:paraId="2F77D659" w14:textId="77777777" w:rsidR="00485BF5" w:rsidRDefault="00485BF5" w:rsidP="00485BF5">
      <w:pPr>
        <w:pStyle w:val="Default"/>
        <w:jc w:val="both"/>
        <w:rPr>
          <w:rFonts w:asciiTheme="minorHAnsi" w:hAnsiTheme="minorHAnsi" w:cstheme="minorBidi"/>
          <w:b/>
          <w:bCs/>
          <w:sz w:val="22"/>
          <w:szCs w:val="22"/>
        </w:rPr>
      </w:pPr>
    </w:p>
    <w:p w14:paraId="37A2DA99" w14:textId="77777777" w:rsidR="000467B5" w:rsidRDefault="00485BF5" w:rsidP="00485BF5">
      <w:pPr>
        <w:pStyle w:val="Default"/>
        <w:jc w:val="both"/>
        <w:rPr>
          <w:rFonts w:asciiTheme="minorHAnsi" w:hAnsiTheme="minorHAnsi" w:cstheme="minorBidi"/>
          <w:sz w:val="22"/>
          <w:szCs w:val="22"/>
        </w:rPr>
      </w:pPr>
      <w:r w:rsidRPr="00485BF5">
        <w:rPr>
          <w:rFonts w:asciiTheme="minorHAnsi" w:hAnsiTheme="minorHAnsi" w:cstheme="minorBidi"/>
          <w:sz w:val="22"/>
          <w:szCs w:val="22"/>
        </w:rPr>
        <w:t xml:space="preserve">Note: </w:t>
      </w:r>
    </w:p>
    <w:p w14:paraId="7BCEA4BA" w14:textId="37B353C4" w:rsidR="003565AC" w:rsidRPr="00BB0469" w:rsidRDefault="00381974" w:rsidP="003565AC">
      <w:pPr>
        <w:pStyle w:val="Default"/>
        <w:jc w:val="both"/>
        <w:rPr>
          <w:rFonts w:cstheme="minorHAnsi"/>
          <w:color w:val="4472C4" w:themeColor="accent1"/>
        </w:rPr>
      </w:pPr>
      <w:r>
        <w:rPr>
          <w:rFonts w:asciiTheme="minorHAnsi" w:hAnsiTheme="minorHAnsi" w:cstheme="minorBidi"/>
          <w:sz w:val="22"/>
          <w:szCs w:val="22"/>
        </w:rPr>
        <w:t>I</w:t>
      </w:r>
      <w:r w:rsidR="00485BF5" w:rsidRPr="00485BF5">
        <w:rPr>
          <w:rFonts w:asciiTheme="minorHAnsi" w:hAnsiTheme="minorHAnsi" w:cstheme="minorBidi"/>
          <w:sz w:val="22"/>
          <w:szCs w:val="22"/>
        </w:rPr>
        <w:t xml:space="preserve">ntellectual property rights to </w:t>
      </w:r>
      <w:r w:rsidR="008D6D52">
        <w:rPr>
          <w:rFonts w:asciiTheme="minorHAnsi" w:hAnsiTheme="minorHAnsi" w:cstheme="minorBidi"/>
          <w:sz w:val="22"/>
          <w:szCs w:val="22"/>
        </w:rPr>
        <w:t>all</w:t>
      </w:r>
      <w:r w:rsidR="00485BF5" w:rsidRPr="00485BF5">
        <w:rPr>
          <w:rFonts w:asciiTheme="minorHAnsi" w:hAnsiTheme="minorHAnsi" w:cstheme="minorBidi"/>
          <w:sz w:val="22"/>
          <w:szCs w:val="22"/>
        </w:rPr>
        <w:t xml:space="preserve"> data</w:t>
      </w:r>
      <w:r w:rsidR="005944FD">
        <w:rPr>
          <w:rFonts w:asciiTheme="minorHAnsi" w:hAnsiTheme="minorHAnsi" w:cstheme="minorBidi"/>
          <w:sz w:val="22"/>
          <w:szCs w:val="22"/>
        </w:rPr>
        <w:t>, questionnaires, transcripts,</w:t>
      </w:r>
      <w:r w:rsidR="00485BF5" w:rsidRPr="00485BF5">
        <w:rPr>
          <w:rFonts w:asciiTheme="minorHAnsi" w:hAnsiTheme="minorHAnsi" w:cstheme="minorBidi"/>
          <w:sz w:val="22"/>
          <w:szCs w:val="22"/>
        </w:rPr>
        <w:t xml:space="preserve"> and reports resulting from this contract belong solely to the World Bank.</w:t>
      </w:r>
    </w:p>
    <w:p w14:paraId="0679E0FE" w14:textId="77777777" w:rsidR="00485BF5" w:rsidRPr="003565AC" w:rsidRDefault="00485BF5" w:rsidP="003565AC">
      <w:pPr>
        <w:pStyle w:val="Default"/>
        <w:jc w:val="both"/>
        <w:rPr>
          <w:rFonts w:cstheme="minorHAnsi"/>
          <w:b/>
          <w:bCs/>
          <w:color w:val="4472C4" w:themeColor="accent1"/>
        </w:rPr>
      </w:pPr>
    </w:p>
    <w:p w14:paraId="34F3369D" w14:textId="5C44646F" w:rsidR="00C12A2E" w:rsidRDefault="00C12A2E" w:rsidP="29E02D4F">
      <w:pPr>
        <w:spacing w:after="0" w:line="240" w:lineRule="auto"/>
        <w:jc w:val="both"/>
        <w:rPr>
          <w:b/>
          <w:bCs/>
          <w:color w:val="4472C4" w:themeColor="accent1"/>
        </w:rPr>
      </w:pPr>
      <w:r w:rsidRPr="29E02D4F">
        <w:rPr>
          <w:b/>
          <w:bCs/>
          <w:color w:val="4472C4" w:themeColor="accent1"/>
        </w:rPr>
        <w:t>Schedule of Deliverables and Expected Outputs (to be revised once contract is signed)</w:t>
      </w:r>
      <w:r w:rsidR="3098B914" w:rsidRPr="29E02D4F">
        <w:rPr>
          <w:b/>
          <w:bCs/>
          <w:color w:val="4472C4" w:themeColor="accent1"/>
        </w:rPr>
        <w:t xml:space="preserve"> -- </w:t>
      </w:r>
      <w:r w:rsidR="00AE3646" w:rsidRPr="29E02D4F">
        <w:rPr>
          <w:b/>
          <w:bCs/>
          <w:color w:val="4472C4" w:themeColor="accent1"/>
        </w:rPr>
        <w:t>These</w:t>
      </w:r>
      <w:r w:rsidR="3098B914" w:rsidRPr="29E02D4F">
        <w:rPr>
          <w:b/>
          <w:bCs/>
          <w:color w:val="4472C4" w:themeColor="accent1"/>
        </w:rPr>
        <w:t xml:space="preserve"> are Milestones for the work</w:t>
      </w:r>
      <w:r w:rsidR="00E06AC6">
        <w:rPr>
          <w:b/>
          <w:bCs/>
          <w:color w:val="4472C4" w:themeColor="accent1"/>
        </w:rPr>
        <w:t xml:space="preserve"> </w:t>
      </w:r>
      <w:r w:rsidR="00E06AC6" w:rsidRPr="00D25DC3">
        <w:rPr>
          <w:b/>
          <w:bCs/>
          <w:i/>
          <w:iCs/>
          <w:color w:val="4472C4" w:themeColor="accent1"/>
        </w:rPr>
        <w:t xml:space="preserve">* Dates to be </w:t>
      </w:r>
      <w:r w:rsidR="00C906F6" w:rsidRPr="00D25DC3">
        <w:rPr>
          <w:b/>
          <w:bCs/>
          <w:i/>
          <w:iCs/>
          <w:color w:val="4472C4" w:themeColor="accent1"/>
        </w:rPr>
        <w:t>adjusted &amp; discussed</w:t>
      </w:r>
      <w:r w:rsidR="00E06AC6" w:rsidRPr="00D25DC3">
        <w:rPr>
          <w:b/>
          <w:bCs/>
          <w:i/>
          <w:iCs/>
          <w:color w:val="4472C4" w:themeColor="accent1"/>
        </w:rPr>
        <w:t xml:space="preserve"> with team once work experience begins</w:t>
      </w:r>
    </w:p>
    <w:p w14:paraId="1C651C73" w14:textId="77777777" w:rsidR="00573270" w:rsidRPr="00573270" w:rsidRDefault="00573270" w:rsidP="00573270">
      <w:pPr>
        <w:spacing w:after="0" w:line="240" w:lineRule="auto"/>
        <w:jc w:val="both"/>
        <w:rPr>
          <w:rFonts w:cstheme="minorHAnsi"/>
          <w:b/>
          <w:bCs/>
          <w:color w:val="4472C4" w:themeColor="accent1"/>
        </w:rPr>
      </w:pPr>
    </w:p>
    <w:tbl>
      <w:tblPr>
        <w:tblStyle w:val="TableGrid"/>
        <w:tblW w:w="0" w:type="auto"/>
        <w:tblLook w:val="04A0" w:firstRow="1" w:lastRow="0" w:firstColumn="1" w:lastColumn="0" w:noHBand="0" w:noVBand="1"/>
      </w:tblPr>
      <w:tblGrid>
        <w:gridCol w:w="4679"/>
        <w:gridCol w:w="4671"/>
      </w:tblGrid>
      <w:tr w:rsidR="00C12A2E" w:rsidRPr="005F624F" w14:paraId="685F0645" w14:textId="77777777" w:rsidTr="29E02D4F">
        <w:tc>
          <w:tcPr>
            <w:tcW w:w="4679" w:type="dxa"/>
            <w:shd w:val="clear" w:color="auto" w:fill="8EAADB" w:themeFill="accent1" w:themeFillTint="99"/>
          </w:tcPr>
          <w:p w14:paraId="7182F714" w14:textId="13E543F7" w:rsidR="00C12A2E" w:rsidRPr="005F624F" w:rsidRDefault="3098B914" w:rsidP="29E02D4F">
            <w:pPr>
              <w:jc w:val="both"/>
              <w:rPr>
                <w:color w:val="FFFFFF" w:themeColor="background1"/>
              </w:rPr>
            </w:pPr>
            <w:r w:rsidRPr="29E02D4F">
              <w:rPr>
                <w:color w:val="FFFFFF" w:themeColor="background1"/>
              </w:rPr>
              <w:t>Milestones</w:t>
            </w:r>
          </w:p>
        </w:tc>
        <w:tc>
          <w:tcPr>
            <w:tcW w:w="4671" w:type="dxa"/>
            <w:shd w:val="clear" w:color="auto" w:fill="8EAADB" w:themeFill="accent1" w:themeFillTint="99"/>
          </w:tcPr>
          <w:p w14:paraId="484DB67F" w14:textId="77777777" w:rsidR="00C12A2E" w:rsidRPr="005F624F" w:rsidRDefault="00C12A2E" w:rsidP="000A4B0A">
            <w:pPr>
              <w:jc w:val="both"/>
              <w:rPr>
                <w:rFonts w:cstheme="minorHAnsi"/>
                <w:color w:val="FFFFFF" w:themeColor="background1"/>
              </w:rPr>
            </w:pPr>
            <w:r w:rsidRPr="005F624F">
              <w:rPr>
                <w:rFonts w:cstheme="minorHAnsi"/>
                <w:color w:val="FFFFFF" w:themeColor="background1"/>
              </w:rPr>
              <w:t>Deadline</w:t>
            </w:r>
          </w:p>
        </w:tc>
      </w:tr>
      <w:tr w:rsidR="00C12A2E" w:rsidRPr="005F624F" w14:paraId="601BDC84" w14:textId="77777777" w:rsidTr="29E02D4F">
        <w:tc>
          <w:tcPr>
            <w:tcW w:w="4679" w:type="dxa"/>
          </w:tcPr>
          <w:p w14:paraId="208060A2" w14:textId="27266C7F" w:rsidR="00C12A2E" w:rsidRPr="005F624F" w:rsidRDefault="005A4741" w:rsidP="000A4B0A">
            <w:pPr>
              <w:jc w:val="both"/>
              <w:rPr>
                <w:rFonts w:cstheme="minorHAnsi"/>
                <w:color w:val="000000" w:themeColor="text1"/>
              </w:rPr>
            </w:pPr>
            <w:r>
              <w:rPr>
                <w:rFonts w:cstheme="minorHAnsi"/>
                <w:color w:val="000000" w:themeColor="text1"/>
              </w:rPr>
              <w:t>Concept Note</w:t>
            </w:r>
          </w:p>
        </w:tc>
        <w:tc>
          <w:tcPr>
            <w:tcW w:w="4671" w:type="dxa"/>
          </w:tcPr>
          <w:p w14:paraId="7807D8FA" w14:textId="1E0E4B6F" w:rsidR="00C12A2E" w:rsidRPr="005F624F" w:rsidRDefault="005A4741" w:rsidP="000A4B0A">
            <w:pPr>
              <w:jc w:val="both"/>
              <w:rPr>
                <w:rFonts w:cstheme="minorHAnsi"/>
                <w:color w:val="4472C4" w:themeColor="accent1"/>
              </w:rPr>
            </w:pPr>
            <w:r>
              <w:rPr>
                <w:rFonts w:cstheme="minorHAnsi"/>
                <w:color w:val="4472C4" w:themeColor="accent1"/>
              </w:rPr>
              <w:t>August 30, 2022</w:t>
            </w:r>
          </w:p>
        </w:tc>
      </w:tr>
      <w:tr w:rsidR="00C12A2E" w:rsidRPr="005F624F" w14:paraId="24C634A3" w14:textId="77777777" w:rsidTr="29E02D4F">
        <w:tc>
          <w:tcPr>
            <w:tcW w:w="4679" w:type="dxa"/>
          </w:tcPr>
          <w:p w14:paraId="27E78ACC" w14:textId="2D973842" w:rsidR="00C12A2E" w:rsidRPr="008A1EB0" w:rsidRDefault="005A4741" w:rsidP="008A1EB0">
            <w:pPr>
              <w:shd w:val="clear" w:color="auto" w:fill="FFFFFF"/>
              <w:rPr>
                <w:color w:val="000000"/>
              </w:rPr>
            </w:pPr>
            <w:r>
              <w:rPr>
                <w:color w:val="000000"/>
              </w:rPr>
              <w:t xml:space="preserve">PER </w:t>
            </w:r>
            <w:r w:rsidR="004550ED">
              <w:rPr>
                <w:color w:val="000000"/>
              </w:rPr>
              <w:t>Outline</w:t>
            </w:r>
            <w:r w:rsidR="008A1EB0">
              <w:rPr>
                <w:color w:val="000000"/>
              </w:rPr>
              <w:t xml:space="preserve"> </w:t>
            </w:r>
          </w:p>
        </w:tc>
        <w:tc>
          <w:tcPr>
            <w:tcW w:w="4671" w:type="dxa"/>
          </w:tcPr>
          <w:p w14:paraId="78C47B96" w14:textId="6EB59726" w:rsidR="00C12A2E" w:rsidRPr="005F624F" w:rsidRDefault="008A1EB0" w:rsidP="000A4B0A">
            <w:pPr>
              <w:jc w:val="both"/>
              <w:rPr>
                <w:rFonts w:cstheme="minorHAnsi"/>
                <w:color w:val="4472C4" w:themeColor="accent1"/>
              </w:rPr>
            </w:pPr>
            <w:r>
              <w:rPr>
                <w:rFonts w:cstheme="minorHAnsi"/>
                <w:color w:val="4472C4" w:themeColor="accent1"/>
              </w:rPr>
              <w:t xml:space="preserve">September </w:t>
            </w:r>
            <w:r w:rsidR="005A4741">
              <w:rPr>
                <w:rFonts w:cstheme="minorHAnsi"/>
                <w:color w:val="4472C4" w:themeColor="accent1"/>
              </w:rPr>
              <w:t xml:space="preserve">30, </w:t>
            </w:r>
            <w:r>
              <w:rPr>
                <w:rFonts w:cstheme="minorHAnsi"/>
                <w:color w:val="4472C4" w:themeColor="accent1"/>
              </w:rPr>
              <w:t xml:space="preserve">2022 </w:t>
            </w:r>
          </w:p>
        </w:tc>
      </w:tr>
      <w:tr w:rsidR="004550ED" w:rsidRPr="005F624F" w14:paraId="64214392" w14:textId="77777777" w:rsidTr="29E02D4F">
        <w:tc>
          <w:tcPr>
            <w:tcW w:w="4679" w:type="dxa"/>
          </w:tcPr>
          <w:p w14:paraId="62DE1087" w14:textId="23B0BABA" w:rsidR="004550ED" w:rsidRPr="005F624F" w:rsidRDefault="004550ED" w:rsidP="004550ED">
            <w:pPr>
              <w:jc w:val="both"/>
              <w:rPr>
                <w:rFonts w:cstheme="minorHAnsi"/>
                <w:color w:val="4472C4" w:themeColor="accent1"/>
              </w:rPr>
            </w:pPr>
            <w:r>
              <w:rPr>
                <w:rFonts w:cstheme="minorHAnsi"/>
              </w:rPr>
              <w:t>Cleaning and coding of all collected data</w:t>
            </w:r>
          </w:p>
        </w:tc>
        <w:tc>
          <w:tcPr>
            <w:tcW w:w="4671" w:type="dxa"/>
          </w:tcPr>
          <w:p w14:paraId="7C2CF789" w14:textId="2AB41436" w:rsidR="004550ED" w:rsidRPr="005F624F" w:rsidRDefault="00A2275F" w:rsidP="004550ED">
            <w:pPr>
              <w:jc w:val="both"/>
              <w:rPr>
                <w:rFonts w:cstheme="minorHAnsi"/>
                <w:color w:val="4472C4" w:themeColor="accent1"/>
              </w:rPr>
            </w:pPr>
            <w:r>
              <w:rPr>
                <w:rFonts w:cstheme="minorHAnsi"/>
                <w:color w:val="4472C4" w:themeColor="accent1"/>
              </w:rPr>
              <w:t>September 15</w:t>
            </w:r>
            <w:r w:rsidR="00390EE9">
              <w:rPr>
                <w:rFonts w:cstheme="minorHAnsi"/>
                <w:color w:val="4472C4" w:themeColor="accent1"/>
              </w:rPr>
              <w:t>, 2022</w:t>
            </w:r>
          </w:p>
        </w:tc>
      </w:tr>
      <w:tr w:rsidR="004550ED" w:rsidRPr="005F624F" w14:paraId="15DF18CC" w14:textId="77777777" w:rsidTr="29E02D4F">
        <w:tc>
          <w:tcPr>
            <w:tcW w:w="4679" w:type="dxa"/>
          </w:tcPr>
          <w:p w14:paraId="76019D0B" w14:textId="012B38FC" w:rsidR="004550ED" w:rsidRDefault="004550ED" w:rsidP="004550ED">
            <w:pPr>
              <w:jc w:val="both"/>
              <w:rPr>
                <w:rFonts w:cstheme="minorHAnsi"/>
              </w:rPr>
            </w:pPr>
            <w:r>
              <w:rPr>
                <w:rFonts w:cstheme="minorHAnsi"/>
              </w:rPr>
              <w:t>Presentation of Results</w:t>
            </w:r>
          </w:p>
        </w:tc>
        <w:tc>
          <w:tcPr>
            <w:tcW w:w="4671" w:type="dxa"/>
          </w:tcPr>
          <w:p w14:paraId="36F2A635" w14:textId="6A5E5C08" w:rsidR="004550ED" w:rsidRDefault="00A2275F" w:rsidP="004550ED">
            <w:pPr>
              <w:jc w:val="both"/>
              <w:rPr>
                <w:rFonts w:cstheme="minorHAnsi"/>
                <w:color w:val="4472C4" w:themeColor="accent1"/>
              </w:rPr>
            </w:pPr>
            <w:r>
              <w:rPr>
                <w:rFonts w:cstheme="minorHAnsi"/>
                <w:color w:val="4472C4" w:themeColor="accent1"/>
              </w:rPr>
              <w:t>November 30, 2022</w:t>
            </w:r>
          </w:p>
        </w:tc>
      </w:tr>
      <w:tr w:rsidR="00A2275F" w:rsidRPr="005F624F" w14:paraId="08DBDEE1" w14:textId="77777777" w:rsidTr="29E02D4F">
        <w:tc>
          <w:tcPr>
            <w:tcW w:w="4679" w:type="dxa"/>
          </w:tcPr>
          <w:p w14:paraId="74D4F84B" w14:textId="73413859" w:rsidR="00A2275F" w:rsidRDefault="00A2275F" w:rsidP="004550ED">
            <w:pPr>
              <w:jc w:val="both"/>
              <w:rPr>
                <w:rFonts w:cstheme="minorHAnsi"/>
              </w:rPr>
            </w:pPr>
            <w:r>
              <w:rPr>
                <w:rFonts w:cstheme="minorHAnsi"/>
              </w:rPr>
              <w:t>Draft report for team comments</w:t>
            </w:r>
          </w:p>
        </w:tc>
        <w:tc>
          <w:tcPr>
            <w:tcW w:w="4671" w:type="dxa"/>
          </w:tcPr>
          <w:p w14:paraId="29464BEF" w14:textId="67B9397B" w:rsidR="00A2275F" w:rsidRDefault="00390EE9" w:rsidP="004550ED">
            <w:pPr>
              <w:jc w:val="both"/>
              <w:rPr>
                <w:rFonts w:cstheme="minorHAnsi"/>
                <w:color w:val="4472C4" w:themeColor="accent1"/>
              </w:rPr>
            </w:pPr>
            <w:r>
              <w:rPr>
                <w:rFonts w:cstheme="minorHAnsi"/>
                <w:color w:val="4472C4" w:themeColor="accent1"/>
              </w:rPr>
              <w:t>December 15, 2022</w:t>
            </w:r>
          </w:p>
        </w:tc>
      </w:tr>
      <w:tr w:rsidR="004550ED" w:rsidRPr="005F624F" w14:paraId="0BF7AA2C" w14:textId="77777777" w:rsidTr="29E02D4F">
        <w:tc>
          <w:tcPr>
            <w:tcW w:w="4679" w:type="dxa"/>
          </w:tcPr>
          <w:p w14:paraId="12A9591D" w14:textId="20A58DF3" w:rsidR="004550ED" w:rsidRPr="001A6F0E" w:rsidRDefault="004550ED" w:rsidP="004550ED">
            <w:pPr>
              <w:jc w:val="both"/>
            </w:pPr>
            <w:r>
              <w:rPr>
                <w:rFonts w:cstheme="minorHAnsi"/>
              </w:rPr>
              <w:t>Final Report</w:t>
            </w:r>
          </w:p>
        </w:tc>
        <w:tc>
          <w:tcPr>
            <w:tcW w:w="4671" w:type="dxa"/>
          </w:tcPr>
          <w:p w14:paraId="05CC5C25" w14:textId="4356AB06" w:rsidR="004550ED" w:rsidRPr="005F624F" w:rsidRDefault="00A2275F" w:rsidP="004550ED">
            <w:pPr>
              <w:jc w:val="both"/>
              <w:rPr>
                <w:rFonts w:cstheme="minorHAnsi"/>
                <w:color w:val="4472C4" w:themeColor="accent1"/>
              </w:rPr>
            </w:pPr>
            <w:r>
              <w:rPr>
                <w:rFonts w:cstheme="minorHAnsi"/>
                <w:color w:val="4472C4" w:themeColor="accent1"/>
              </w:rPr>
              <w:t>January 15, 2023</w:t>
            </w:r>
            <w:r w:rsidR="004550ED">
              <w:rPr>
                <w:rFonts w:cstheme="minorHAnsi"/>
                <w:color w:val="4472C4" w:themeColor="accent1"/>
              </w:rPr>
              <w:t xml:space="preserve"> </w:t>
            </w:r>
          </w:p>
        </w:tc>
      </w:tr>
    </w:tbl>
    <w:p w14:paraId="252BA2D0" w14:textId="77777777" w:rsidR="00390EE9" w:rsidRPr="00390EE9" w:rsidRDefault="00390EE9" w:rsidP="00390EE9">
      <w:pPr>
        <w:autoSpaceDE w:val="0"/>
        <w:autoSpaceDN w:val="0"/>
        <w:adjustRightInd w:val="0"/>
        <w:spacing w:after="0" w:line="240" w:lineRule="auto"/>
        <w:jc w:val="both"/>
        <w:rPr>
          <w:rFonts w:cstheme="minorHAnsi"/>
          <w:b/>
          <w:bCs/>
          <w:color w:val="4472C4" w:themeColor="accent1"/>
        </w:rPr>
      </w:pPr>
    </w:p>
    <w:p w14:paraId="41843FD7" w14:textId="77777777" w:rsidR="00390EE9" w:rsidRPr="00A538FE" w:rsidRDefault="00390EE9" w:rsidP="00A538FE">
      <w:pPr>
        <w:spacing w:after="0" w:line="240" w:lineRule="auto"/>
        <w:jc w:val="both"/>
        <w:rPr>
          <w:i/>
          <w:iCs/>
          <w:color w:val="000000"/>
        </w:rPr>
      </w:pPr>
    </w:p>
    <w:p w14:paraId="5AAF811C" w14:textId="46CDD75B" w:rsidR="00C12A2E" w:rsidRPr="00D25DC3" w:rsidRDefault="00C12A2E" w:rsidP="00D25DC3">
      <w:pPr>
        <w:spacing w:after="0" w:line="240" w:lineRule="auto"/>
        <w:jc w:val="both"/>
        <w:rPr>
          <w:rFonts w:ascii="Calibri" w:eastAsia="Calibri" w:hAnsi="Calibri" w:cs="Calibri"/>
          <w:b/>
          <w:bCs/>
          <w:color w:val="000000" w:themeColor="text1"/>
          <w:sz w:val="24"/>
          <w:szCs w:val="24"/>
          <w:u w:val="single"/>
        </w:rPr>
      </w:pPr>
      <w:r w:rsidRPr="00D25DC3">
        <w:rPr>
          <w:rFonts w:ascii="Calibri" w:eastAsia="Calibri" w:hAnsi="Calibri" w:cs="Calibri"/>
          <w:b/>
          <w:bCs/>
          <w:color w:val="000000" w:themeColor="text1"/>
          <w:sz w:val="24"/>
          <w:szCs w:val="24"/>
          <w:u w:val="single"/>
        </w:rPr>
        <w:t>Qualifications</w:t>
      </w:r>
      <w:r w:rsidR="004C1F5A">
        <w:rPr>
          <w:rFonts w:ascii="Calibri" w:eastAsia="Calibri" w:hAnsi="Calibri" w:cs="Calibri"/>
          <w:b/>
          <w:bCs/>
          <w:color w:val="000000" w:themeColor="text1"/>
          <w:sz w:val="24"/>
          <w:szCs w:val="24"/>
          <w:u w:val="single"/>
        </w:rPr>
        <w:t>:</w:t>
      </w:r>
    </w:p>
    <w:p w14:paraId="19F8F05B" w14:textId="5BD9B55A" w:rsidR="00C12A2E" w:rsidRPr="005F624F" w:rsidRDefault="00C12A2E" w:rsidP="00C12A2E">
      <w:pPr>
        <w:spacing w:after="0" w:line="240" w:lineRule="auto"/>
        <w:jc w:val="both"/>
      </w:pPr>
      <w:r>
        <w:t xml:space="preserve">The </w:t>
      </w:r>
      <w:r w:rsidR="2728C191">
        <w:t xml:space="preserve">STC </w:t>
      </w:r>
      <w:r>
        <w:t xml:space="preserve">will be commissioned by the </w:t>
      </w:r>
      <w:r w:rsidR="00786F56">
        <w:t xml:space="preserve">World Bank Group </w:t>
      </w:r>
      <w:r>
        <w:t xml:space="preserve">and selected based on meeting qualification requirements detailed in the remainder of this section. As required, the </w:t>
      </w:r>
      <w:r w:rsidR="6541C3E5">
        <w:t>STC</w:t>
      </w:r>
      <w:r>
        <w:t xml:space="preserve"> will liaise with assigned </w:t>
      </w:r>
      <w:r w:rsidR="00786F56">
        <w:t xml:space="preserve">World Bank Group </w:t>
      </w:r>
      <w:r>
        <w:t xml:space="preserve">staff and MoFEPT </w:t>
      </w:r>
      <w:r w:rsidR="009D300C">
        <w:t>f</w:t>
      </w:r>
      <w:r>
        <w:t xml:space="preserve">ocal persons delegated to </w:t>
      </w:r>
      <w:r w:rsidR="009D300C">
        <w:t>manage the PER activity</w:t>
      </w:r>
      <w:r>
        <w:t>.</w:t>
      </w:r>
      <w:r w:rsidR="006C408F">
        <w:t xml:space="preserve"> </w:t>
      </w:r>
      <w:r w:rsidR="1D87D5E6">
        <w:t xml:space="preserve">The </w:t>
      </w:r>
      <w:r w:rsidR="6541C3E5">
        <w:t>STC</w:t>
      </w:r>
      <w:r w:rsidR="1D87D5E6">
        <w:t xml:space="preserve"> will also have the opportunity to learn how the Education Team work, and engages client and partners. </w:t>
      </w:r>
    </w:p>
    <w:p w14:paraId="7E299D16" w14:textId="77777777" w:rsidR="00C12A2E" w:rsidRPr="005F624F" w:rsidRDefault="00C12A2E" w:rsidP="00C12A2E">
      <w:pPr>
        <w:spacing w:after="0" w:line="240" w:lineRule="auto"/>
        <w:jc w:val="both"/>
        <w:rPr>
          <w:rFonts w:cstheme="minorHAnsi"/>
        </w:rPr>
      </w:pPr>
    </w:p>
    <w:p w14:paraId="1D7C4084" w14:textId="54BCBE05" w:rsidR="00C12A2E" w:rsidRPr="005F624F" w:rsidRDefault="6541C3E5" w:rsidP="6055775F">
      <w:pPr>
        <w:pStyle w:val="Default"/>
        <w:jc w:val="both"/>
        <w:rPr>
          <w:rFonts w:asciiTheme="minorHAnsi" w:hAnsiTheme="minorHAnsi" w:cstheme="minorBidi"/>
          <w:b/>
          <w:bCs/>
          <w:sz w:val="22"/>
          <w:szCs w:val="22"/>
        </w:rPr>
      </w:pPr>
      <w:r w:rsidRPr="6055775F">
        <w:rPr>
          <w:rFonts w:asciiTheme="minorHAnsi" w:hAnsiTheme="minorHAnsi" w:cstheme="minorBidi"/>
          <w:b/>
          <w:bCs/>
          <w:sz w:val="22"/>
          <w:szCs w:val="22"/>
        </w:rPr>
        <w:t>STC</w:t>
      </w:r>
      <w:r w:rsidR="00C12A2E" w:rsidRPr="6055775F">
        <w:rPr>
          <w:rFonts w:asciiTheme="minorHAnsi" w:hAnsiTheme="minorHAnsi" w:cstheme="minorBidi"/>
          <w:b/>
          <w:bCs/>
          <w:sz w:val="22"/>
          <w:szCs w:val="22"/>
        </w:rPr>
        <w:t xml:space="preserve"> Profile (</w:t>
      </w:r>
      <w:r w:rsidR="00C12A2E" w:rsidRPr="6055775F">
        <w:rPr>
          <w:rFonts w:asciiTheme="minorHAnsi" w:hAnsiTheme="minorHAnsi" w:cstheme="minorBidi"/>
          <w:b/>
          <w:bCs/>
          <w:i/>
          <w:iCs/>
          <w:sz w:val="22"/>
          <w:szCs w:val="22"/>
        </w:rPr>
        <w:t>Minimum Requirements</w:t>
      </w:r>
      <w:r w:rsidR="00C12A2E" w:rsidRPr="6055775F">
        <w:rPr>
          <w:rFonts w:asciiTheme="minorHAnsi" w:hAnsiTheme="minorHAnsi" w:cstheme="minorBidi"/>
          <w:b/>
          <w:bCs/>
          <w:sz w:val="22"/>
          <w:szCs w:val="22"/>
        </w:rPr>
        <w:t xml:space="preserve">) </w:t>
      </w:r>
    </w:p>
    <w:p w14:paraId="42C3D49B" w14:textId="7C7D7DF0" w:rsidR="00C12A2E" w:rsidRPr="005F624F" w:rsidRDefault="00C97EE3" w:rsidP="6055775F">
      <w:pPr>
        <w:pStyle w:val="Default"/>
        <w:jc w:val="both"/>
        <w:rPr>
          <w:rFonts w:asciiTheme="minorHAnsi" w:hAnsiTheme="minorHAnsi" w:cstheme="minorBidi"/>
          <w:sz w:val="22"/>
          <w:szCs w:val="22"/>
        </w:rPr>
      </w:pPr>
      <w:r w:rsidRPr="6055775F">
        <w:rPr>
          <w:rFonts w:asciiTheme="minorHAnsi" w:hAnsiTheme="minorHAnsi" w:cstheme="minorBidi"/>
          <w:sz w:val="22"/>
          <w:szCs w:val="22"/>
        </w:rPr>
        <w:t xml:space="preserve">The </w:t>
      </w:r>
      <w:r w:rsidR="6541C3E5" w:rsidRPr="6055775F">
        <w:rPr>
          <w:rFonts w:asciiTheme="minorHAnsi" w:hAnsiTheme="minorHAnsi" w:cstheme="minorBidi"/>
          <w:sz w:val="22"/>
          <w:szCs w:val="22"/>
        </w:rPr>
        <w:t>STC</w:t>
      </w:r>
      <w:r w:rsidR="00C12A2E" w:rsidRPr="6055775F">
        <w:rPr>
          <w:rFonts w:asciiTheme="minorHAnsi" w:hAnsiTheme="minorHAnsi" w:cstheme="minorBidi"/>
          <w:sz w:val="22"/>
          <w:szCs w:val="22"/>
        </w:rPr>
        <w:t xml:space="preserve"> must be </w:t>
      </w:r>
      <w:r w:rsidR="008A2A96" w:rsidRPr="6055775F">
        <w:rPr>
          <w:rFonts w:asciiTheme="minorHAnsi" w:hAnsiTheme="minorHAnsi" w:cstheme="minorBidi"/>
          <w:sz w:val="22"/>
          <w:szCs w:val="22"/>
        </w:rPr>
        <w:t>based</w:t>
      </w:r>
      <w:r w:rsidRPr="6055775F">
        <w:rPr>
          <w:rFonts w:asciiTheme="minorHAnsi" w:hAnsiTheme="minorHAnsi" w:cstheme="minorBidi"/>
          <w:sz w:val="22"/>
          <w:szCs w:val="22"/>
        </w:rPr>
        <w:t xml:space="preserve"> within Pakistan (any province)</w:t>
      </w:r>
      <w:r w:rsidR="008A2A96" w:rsidRPr="6055775F">
        <w:rPr>
          <w:rFonts w:asciiTheme="minorHAnsi" w:hAnsiTheme="minorHAnsi" w:cstheme="minorBidi"/>
          <w:sz w:val="22"/>
          <w:szCs w:val="22"/>
        </w:rPr>
        <w:t>,</w:t>
      </w:r>
      <w:r w:rsidR="000467B5" w:rsidRPr="6055775F">
        <w:rPr>
          <w:rFonts w:asciiTheme="minorHAnsi" w:hAnsiTheme="minorHAnsi" w:cstheme="minorBidi"/>
          <w:sz w:val="22"/>
          <w:szCs w:val="22"/>
        </w:rPr>
        <w:t xml:space="preserve"> </w:t>
      </w:r>
      <w:r w:rsidRPr="6055775F">
        <w:rPr>
          <w:rFonts w:asciiTheme="minorHAnsi" w:hAnsiTheme="minorHAnsi" w:cstheme="minorBidi"/>
          <w:sz w:val="22"/>
          <w:szCs w:val="22"/>
        </w:rPr>
        <w:t>and meet the following criteria</w:t>
      </w:r>
      <w:r w:rsidR="00C12A2E" w:rsidRPr="6055775F">
        <w:rPr>
          <w:rFonts w:asciiTheme="minorHAnsi" w:hAnsiTheme="minorHAnsi" w:cstheme="minorBidi"/>
          <w:sz w:val="22"/>
          <w:szCs w:val="22"/>
        </w:rPr>
        <w:t>:</w:t>
      </w:r>
    </w:p>
    <w:p w14:paraId="47815859" w14:textId="77777777" w:rsidR="00EF6B65" w:rsidRDefault="00C12A2E" w:rsidP="29E02D4F">
      <w:pPr>
        <w:pStyle w:val="Default"/>
        <w:numPr>
          <w:ilvl w:val="0"/>
          <w:numId w:val="6"/>
        </w:numPr>
        <w:jc w:val="both"/>
        <w:rPr>
          <w:rFonts w:asciiTheme="minorHAnsi" w:hAnsiTheme="minorHAnsi" w:cstheme="minorBidi"/>
          <w:sz w:val="22"/>
          <w:szCs w:val="22"/>
        </w:rPr>
      </w:pPr>
      <w:r w:rsidRPr="29E02D4F">
        <w:rPr>
          <w:rFonts w:asciiTheme="minorHAnsi" w:hAnsiTheme="minorHAnsi" w:cstheme="minorBidi"/>
          <w:sz w:val="22"/>
          <w:szCs w:val="22"/>
        </w:rPr>
        <w:t>PhD or Masters</w:t>
      </w:r>
      <w:r w:rsidR="00EF6B65" w:rsidRPr="29E02D4F">
        <w:rPr>
          <w:rFonts w:asciiTheme="minorHAnsi" w:hAnsiTheme="minorHAnsi" w:cstheme="minorBidi"/>
          <w:sz w:val="22"/>
          <w:szCs w:val="22"/>
        </w:rPr>
        <w:t>-</w:t>
      </w:r>
      <w:r w:rsidR="00D619CE" w:rsidRPr="29E02D4F">
        <w:rPr>
          <w:rFonts w:asciiTheme="minorHAnsi" w:hAnsiTheme="minorHAnsi" w:cstheme="minorBidi"/>
          <w:sz w:val="22"/>
          <w:szCs w:val="22"/>
        </w:rPr>
        <w:t>level candidate in</w:t>
      </w:r>
      <w:r w:rsidRPr="29E02D4F">
        <w:rPr>
          <w:rFonts w:asciiTheme="minorHAnsi" w:hAnsiTheme="minorHAnsi" w:cstheme="minorBidi"/>
          <w:sz w:val="22"/>
          <w:szCs w:val="22"/>
        </w:rPr>
        <w:t xml:space="preserve"> </w:t>
      </w:r>
      <w:r w:rsidR="00C578C5" w:rsidRPr="29E02D4F">
        <w:rPr>
          <w:rFonts w:asciiTheme="minorHAnsi" w:hAnsiTheme="minorHAnsi" w:cstheme="minorBidi"/>
          <w:sz w:val="22"/>
          <w:szCs w:val="22"/>
        </w:rPr>
        <w:t>Economics</w:t>
      </w:r>
      <w:r w:rsidRPr="29E02D4F">
        <w:rPr>
          <w:rFonts w:asciiTheme="minorHAnsi" w:hAnsiTheme="minorHAnsi" w:cstheme="minorBidi"/>
          <w:sz w:val="22"/>
          <w:szCs w:val="22"/>
        </w:rPr>
        <w:t>/Statistics</w:t>
      </w:r>
      <w:r w:rsidR="00D619CE" w:rsidRPr="29E02D4F">
        <w:rPr>
          <w:rFonts w:asciiTheme="minorHAnsi" w:hAnsiTheme="minorHAnsi" w:cstheme="minorBidi"/>
          <w:sz w:val="22"/>
          <w:szCs w:val="22"/>
        </w:rPr>
        <w:t>/Education</w:t>
      </w:r>
      <w:r w:rsidRPr="29E02D4F">
        <w:rPr>
          <w:rFonts w:asciiTheme="minorHAnsi" w:hAnsiTheme="minorHAnsi" w:cstheme="minorBidi"/>
          <w:sz w:val="22"/>
          <w:szCs w:val="22"/>
        </w:rPr>
        <w:t xml:space="preserve"> </w:t>
      </w:r>
      <w:r w:rsidR="00D619CE" w:rsidRPr="29E02D4F">
        <w:rPr>
          <w:rFonts w:asciiTheme="minorHAnsi" w:hAnsiTheme="minorHAnsi" w:cstheme="minorBidi"/>
          <w:sz w:val="22"/>
          <w:szCs w:val="22"/>
        </w:rPr>
        <w:t>(</w:t>
      </w:r>
      <w:r w:rsidRPr="29E02D4F">
        <w:rPr>
          <w:rFonts w:asciiTheme="minorHAnsi" w:hAnsiTheme="minorHAnsi" w:cstheme="minorBidi"/>
          <w:sz w:val="22"/>
          <w:szCs w:val="22"/>
        </w:rPr>
        <w:t xml:space="preserve">or related field) with at least </w:t>
      </w:r>
      <w:r w:rsidR="00D619CE" w:rsidRPr="29E02D4F">
        <w:rPr>
          <w:rFonts w:asciiTheme="minorHAnsi" w:hAnsiTheme="minorHAnsi" w:cstheme="minorBidi"/>
          <w:sz w:val="22"/>
          <w:szCs w:val="22"/>
        </w:rPr>
        <w:t>3</w:t>
      </w:r>
      <w:r w:rsidRPr="29E02D4F">
        <w:rPr>
          <w:rFonts w:asciiTheme="minorHAnsi" w:hAnsiTheme="minorHAnsi" w:cstheme="minorBidi"/>
          <w:sz w:val="22"/>
          <w:szCs w:val="22"/>
        </w:rPr>
        <w:t xml:space="preserve"> years of experience </w:t>
      </w:r>
      <w:r w:rsidR="00D619CE" w:rsidRPr="29E02D4F">
        <w:rPr>
          <w:rFonts w:asciiTheme="minorHAnsi" w:hAnsiTheme="minorHAnsi" w:cstheme="minorBidi"/>
          <w:sz w:val="22"/>
          <w:szCs w:val="22"/>
        </w:rPr>
        <w:t>conducting</w:t>
      </w:r>
      <w:r w:rsidRPr="29E02D4F">
        <w:rPr>
          <w:rFonts w:asciiTheme="minorHAnsi" w:hAnsiTheme="minorHAnsi" w:cstheme="minorBidi"/>
          <w:sz w:val="22"/>
          <w:szCs w:val="22"/>
        </w:rPr>
        <w:t xml:space="preserve"> education research </w:t>
      </w:r>
      <w:r w:rsidR="00EF6B65" w:rsidRPr="29E02D4F">
        <w:rPr>
          <w:rFonts w:asciiTheme="minorHAnsi" w:hAnsiTheme="minorHAnsi" w:cstheme="minorBidi"/>
          <w:sz w:val="22"/>
          <w:szCs w:val="22"/>
        </w:rPr>
        <w:t>on</w:t>
      </w:r>
      <w:r w:rsidRPr="29E02D4F">
        <w:rPr>
          <w:rFonts w:asciiTheme="minorHAnsi" w:hAnsiTheme="minorHAnsi" w:cstheme="minorBidi"/>
          <w:sz w:val="22"/>
          <w:szCs w:val="22"/>
        </w:rPr>
        <w:t xml:space="preserve"> similar assignments.</w:t>
      </w:r>
      <w:r w:rsidR="005B2D3C" w:rsidRPr="29E02D4F">
        <w:rPr>
          <w:rFonts w:asciiTheme="minorHAnsi" w:hAnsiTheme="minorHAnsi" w:cstheme="minorBidi"/>
          <w:sz w:val="22"/>
          <w:szCs w:val="22"/>
        </w:rPr>
        <w:t xml:space="preserve"> </w:t>
      </w:r>
    </w:p>
    <w:p w14:paraId="3A1799F9" w14:textId="6ECA6D37" w:rsidR="065866A4" w:rsidRDefault="065866A4" w:rsidP="29E02D4F">
      <w:pPr>
        <w:pStyle w:val="Default"/>
        <w:numPr>
          <w:ilvl w:val="0"/>
          <w:numId w:val="6"/>
        </w:numPr>
        <w:jc w:val="both"/>
        <w:rPr>
          <w:sz w:val="22"/>
          <w:szCs w:val="22"/>
        </w:rPr>
      </w:pPr>
      <w:r w:rsidRPr="29E02D4F">
        <w:rPr>
          <w:rFonts w:asciiTheme="minorHAnsi" w:eastAsia="Calibri" w:hAnsiTheme="minorHAnsi" w:cstheme="minorBidi"/>
          <w:color w:val="000000" w:themeColor="text1"/>
          <w:sz w:val="22"/>
          <w:szCs w:val="22"/>
        </w:rPr>
        <w:t xml:space="preserve">Advance knowledge using Stata </w:t>
      </w:r>
    </w:p>
    <w:p w14:paraId="53FC16C0" w14:textId="7467A712" w:rsidR="0056052F" w:rsidRDefault="005B2D3C" w:rsidP="00EC662C">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E</w:t>
      </w:r>
      <w:r w:rsidR="00C12A2E" w:rsidRPr="005F624F">
        <w:rPr>
          <w:rFonts w:asciiTheme="minorHAnsi" w:hAnsiTheme="minorHAnsi" w:cstheme="minorHAnsi"/>
          <w:sz w:val="22"/>
          <w:szCs w:val="22"/>
        </w:rPr>
        <w:t xml:space="preserve">xperience in data </w:t>
      </w:r>
      <w:r>
        <w:rPr>
          <w:rFonts w:asciiTheme="minorHAnsi" w:hAnsiTheme="minorHAnsi" w:cstheme="minorHAnsi"/>
          <w:sz w:val="22"/>
          <w:szCs w:val="22"/>
        </w:rPr>
        <w:t>analysis and</w:t>
      </w:r>
      <w:r w:rsidR="00C12A2E" w:rsidRPr="005F624F">
        <w:rPr>
          <w:rFonts w:asciiTheme="minorHAnsi" w:hAnsiTheme="minorHAnsi" w:cstheme="minorHAnsi"/>
          <w:sz w:val="22"/>
          <w:szCs w:val="22"/>
        </w:rPr>
        <w:t xml:space="preserve"> visualization</w:t>
      </w:r>
      <w:r w:rsidR="00375ADF">
        <w:rPr>
          <w:rFonts w:asciiTheme="minorHAnsi" w:hAnsiTheme="minorHAnsi" w:cstheme="minorHAnsi"/>
          <w:sz w:val="22"/>
          <w:szCs w:val="22"/>
        </w:rPr>
        <w:t>,</w:t>
      </w:r>
      <w:r w:rsidR="00C12A2E" w:rsidRPr="005F624F">
        <w:rPr>
          <w:rFonts w:asciiTheme="minorHAnsi" w:hAnsiTheme="minorHAnsi" w:cstheme="minorHAnsi"/>
          <w:sz w:val="22"/>
          <w:szCs w:val="22"/>
        </w:rPr>
        <w:t xml:space="preserve"> preferably in the education sector and on previous development projects</w:t>
      </w:r>
      <w:r w:rsidR="00375ADF">
        <w:rPr>
          <w:rFonts w:asciiTheme="minorHAnsi" w:hAnsiTheme="minorHAnsi" w:cstheme="minorHAnsi"/>
          <w:sz w:val="22"/>
          <w:szCs w:val="22"/>
        </w:rPr>
        <w:t>, required</w:t>
      </w:r>
      <w:r w:rsidR="00C12A2E" w:rsidRPr="005F624F">
        <w:rPr>
          <w:rFonts w:asciiTheme="minorHAnsi" w:hAnsiTheme="minorHAnsi" w:cstheme="minorHAnsi"/>
          <w:sz w:val="22"/>
          <w:szCs w:val="22"/>
        </w:rPr>
        <w:t xml:space="preserve">. </w:t>
      </w:r>
    </w:p>
    <w:p w14:paraId="1F9384CC" w14:textId="74EF7824" w:rsidR="00EF6B65" w:rsidRDefault="00EF6B65" w:rsidP="29E02D4F">
      <w:pPr>
        <w:pStyle w:val="Default"/>
        <w:numPr>
          <w:ilvl w:val="0"/>
          <w:numId w:val="6"/>
        </w:numPr>
        <w:jc w:val="both"/>
        <w:rPr>
          <w:rFonts w:asciiTheme="minorHAnsi" w:hAnsiTheme="minorHAnsi" w:cstheme="minorBidi"/>
          <w:sz w:val="22"/>
          <w:szCs w:val="22"/>
        </w:rPr>
      </w:pPr>
      <w:r w:rsidRPr="29E02D4F">
        <w:rPr>
          <w:rFonts w:asciiTheme="minorHAnsi" w:hAnsiTheme="minorHAnsi" w:cstheme="minorBidi"/>
          <w:sz w:val="22"/>
          <w:szCs w:val="22"/>
        </w:rPr>
        <w:t xml:space="preserve">Strong </w:t>
      </w:r>
      <w:r w:rsidR="0043121C" w:rsidRPr="29E02D4F">
        <w:rPr>
          <w:rFonts w:asciiTheme="minorHAnsi" w:hAnsiTheme="minorHAnsi" w:cstheme="minorBidi"/>
          <w:sz w:val="22"/>
          <w:szCs w:val="22"/>
        </w:rPr>
        <w:t>research and writing skills in English.</w:t>
      </w:r>
      <w:r w:rsidR="300917F8" w:rsidRPr="29E02D4F">
        <w:rPr>
          <w:rFonts w:asciiTheme="minorHAnsi" w:hAnsiTheme="minorHAnsi" w:cstheme="minorBidi"/>
          <w:sz w:val="22"/>
          <w:szCs w:val="22"/>
        </w:rPr>
        <w:t xml:space="preserve"> Urdu a plus but not re</w:t>
      </w:r>
      <w:r w:rsidR="66AC0D22" w:rsidRPr="29E02D4F">
        <w:rPr>
          <w:rFonts w:asciiTheme="minorHAnsi" w:hAnsiTheme="minorHAnsi" w:cstheme="minorBidi"/>
          <w:sz w:val="22"/>
          <w:szCs w:val="22"/>
        </w:rPr>
        <w:t>q</w:t>
      </w:r>
      <w:r w:rsidR="300917F8" w:rsidRPr="29E02D4F">
        <w:rPr>
          <w:rFonts w:asciiTheme="minorHAnsi" w:hAnsiTheme="minorHAnsi" w:cstheme="minorBidi"/>
          <w:sz w:val="22"/>
          <w:szCs w:val="22"/>
        </w:rPr>
        <w:t>uired.</w:t>
      </w:r>
    </w:p>
    <w:p w14:paraId="736600D4" w14:textId="672B6F94" w:rsidR="00C12A2E" w:rsidRPr="005F624F" w:rsidRDefault="00724087" w:rsidP="29E02D4F">
      <w:pPr>
        <w:pStyle w:val="Default"/>
        <w:numPr>
          <w:ilvl w:val="0"/>
          <w:numId w:val="6"/>
        </w:numPr>
        <w:jc w:val="both"/>
        <w:rPr>
          <w:rFonts w:asciiTheme="minorHAnsi" w:eastAsiaTheme="minorEastAsia" w:hAnsiTheme="minorHAnsi" w:cstheme="minorBidi"/>
          <w:color w:val="000000" w:themeColor="text1"/>
          <w:sz w:val="22"/>
          <w:szCs w:val="22"/>
        </w:rPr>
      </w:pPr>
      <w:r w:rsidRPr="29E02D4F">
        <w:rPr>
          <w:rFonts w:asciiTheme="minorHAnsi" w:hAnsiTheme="minorHAnsi" w:cstheme="minorBidi"/>
          <w:sz w:val="22"/>
          <w:szCs w:val="22"/>
        </w:rPr>
        <w:t xml:space="preserve">Demonstrated </w:t>
      </w:r>
      <w:r w:rsidR="012A626D" w:rsidRPr="29E02D4F">
        <w:rPr>
          <w:rFonts w:asciiTheme="minorHAnsi" w:hAnsiTheme="minorHAnsi" w:cstheme="minorBidi"/>
          <w:sz w:val="22"/>
          <w:szCs w:val="22"/>
        </w:rPr>
        <w:t>capacity to work in teams</w:t>
      </w:r>
      <w:r w:rsidR="00C12A2E" w:rsidRPr="29E02D4F">
        <w:rPr>
          <w:rFonts w:asciiTheme="minorHAnsi" w:hAnsiTheme="minorHAnsi" w:cstheme="minorBidi"/>
          <w:sz w:val="22"/>
          <w:szCs w:val="22"/>
        </w:rPr>
        <w:t xml:space="preserve"> </w:t>
      </w:r>
    </w:p>
    <w:p w14:paraId="2B3AB64F" w14:textId="1F6C8263" w:rsidR="00C12A2E" w:rsidRPr="005F624F" w:rsidRDefault="00C12A2E" w:rsidP="00C12A2E">
      <w:pPr>
        <w:pStyle w:val="Default"/>
        <w:numPr>
          <w:ilvl w:val="0"/>
          <w:numId w:val="3"/>
        </w:numPr>
        <w:ind w:left="450"/>
        <w:jc w:val="both"/>
        <w:rPr>
          <w:rFonts w:asciiTheme="minorHAnsi" w:hAnsiTheme="minorHAnsi" w:cstheme="minorHAnsi"/>
          <w:sz w:val="22"/>
          <w:szCs w:val="22"/>
        </w:rPr>
      </w:pPr>
      <w:r w:rsidRPr="005F624F">
        <w:rPr>
          <w:rFonts w:asciiTheme="minorHAnsi" w:hAnsiTheme="minorHAnsi" w:cstheme="minorHAnsi"/>
          <w:sz w:val="22"/>
          <w:szCs w:val="22"/>
        </w:rPr>
        <w:t xml:space="preserve">Experience in design of </w:t>
      </w:r>
      <w:r w:rsidR="00A923CA">
        <w:rPr>
          <w:rFonts w:asciiTheme="minorHAnsi" w:hAnsiTheme="minorHAnsi" w:cstheme="minorHAnsi"/>
          <w:sz w:val="22"/>
          <w:szCs w:val="22"/>
        </w:rPr>
        <w:t>large-scale</w:t>
      </w:r>
      <w:r w:rsidR="0043714E">
        <w:rPr>
          <w:rFonts w:asciiTheme="minorHAnsi" w:hAnsiTheme="minorHAnsi" w:cstheme="minorHAnsi"/>
          <w:sz w:val="22"/>
          <w:szCs w:val="22"/>
        </w:rPr>
        <w:t xml:space="preserve"> education </w:t>
      </w:r>
      <w:r w:rsidR="00C27A20">
        <w:rPr>
          <w:rFonts w:asciiTheme="minorHAnsi" w:hAnsiTheme="minorHAnsi" w:cstheme="minorHAnsi"/>
          <w:sz w:val="22"/>
          <w:szCs w:val="22"/>
        </w:rPr>
        <w:t>surveys</w:t>
      </w:r>
      <w:r w:rsidRPr="005F624F">
        <w:rPr>
          <w:rFonts w:asciiTheme="minorHAnsi" w:hAnsiTheme="minorHAnsi" w:cstheme="minorHAnsi"/>
          <w:sz w:val="22"/>
          <w:szCs w:val="22"/>
        </w:rPr>
        <w:t xml:space="preserve">, </w:t>
      </w:r>
      <w:r w:rsidR="0043714E">
        <w:rPr>
          <w:rFonts w:asciiTheme="minorHAnsi" w:hAnsiTheme="minorHAnsi" w:cstheme="minorHAnsi"/>
          <w:sz w:val="22"/>
          <w:szCs w:val="22"/>
        </w:rPr>
        <w:t xml:space="preserve">including </w:t>
      </w:r>
      <w:r w:rsidR="00C5156F">
        <w:rPr>
          <w:rFonts w:asciiTheme="minorHAnsi" w:hAnsiTheme="minorHAnsi" w:cstheme="minorHAnsi"/>
          <w:sz w:val="22"/>
          <w:szCs w:val="22"/>
        </w:rPr>
        <w:t>public expenditure data</w:t>
      </w:r>
      <w:r w:rsidR="0043714E">
        <w:rPr>
          <w:rFonts w:asciiTheme="minorHAnsi" w:hAnsiTheme="minorHAnsi" w:cstheme="minorHAnsi"/>
          <w:sz w:val="22"/>
          <w:szCs w:val="22"/>
        </w:rPr>
        <w:t xml:space="preserve">, </w:t>
      </w:r>
      <w:r w:rsidRPr="005F624F">
        <w:rPr>
          <w:rFonts w:asciiTheme="minorHAnsi" w:hAnsiTheme="minorHAnsi" w:cstheme="minorHAnsi"/>
          <w:sz w:val="22"/>
          <w:szCs w:val="22"/>
        </w:rPr>
        <w:t>with</w:t>
      </w:r>
      <w:r w:rsidR="0043714E">
        <w:rPr>
          <w:rFonts w:asciiTheme="minorHAnsi" w:hAnsiTheme="minorHAnsi" w:cstheme="minorHAnsi"/>
          <w:sz w:val="22"/>
          <w:szCs w:val="22"/>
        </w:rPr>
        <w:t>in the</w:t>
      </w:r>
      <w:r w:rsidRPr="005F624F">
        <w:rPr>
          <w:rFonts w:asciiTheme="minorHAnsi" w:hAnsiTheme="minorHAnsi" w:cstheme="minorHAnsi"/>
          <w:sz w:val="22"/>
          <w:szCs w:val="22"/>
        </w:rPr>
        <w:t xml:space="preserve"> education </w:t>
      </w:r>
      <w:r w:rsidR="0043714E">
        <w:rPr>
          <w:rFonts w:asciiTheme="minorHAnsi" w:hAnsiTheme="minorHAnsi" w:cstheme="minorHAnsi"/>
          <w:sz w:val="22"/>
          <w:szCs w:val="22"/>
        </w:rPr>
        <w:t>sector</w:t>
      </w:r>
      <w:r w:rsidRPr="005F624F">
        <w:rPr>
          <w:rFonts w:asciiTheme="minorHAnsi" w:hAnsiTheme="minorHAnsi" w:cstheme="minorHAnsi"/>
          <w:sz w:val="22"/>
          <w:szCs w:val="22"/>
        </w:rPr>
        <w:t xml:space="preserve"> is</w:t>
      </w:r>
      <w:r w:rsidR="0043714E">
        <w:rPr>
          <w:rFonts w:asciiTheme="minorHAnsi" w:hAnsiTheme="minorHAnsi" w:cstheme="minorHAnsi"/>
          <w:sz w:val="22"/>
          <w:szCs w:val="22"/>
        </w:rPr>
        <w:t xml:space="preserve"> also</w:t>
      </w:r>
      <w:r w:rsidRPr="005F624F">
        <w:rPr>
          <w:rFonts w:asciiTheme="minorHAnsi" w:hAnsiTheme="minorHAnsi" w:cstheme="minorHAnsi"/>
          <w:sz w:val="22"/>
          <w:szCs w:val="22"/>
        </w:rPr>
        <w:t xml:space="preserve"> an advantage. </w:t>
      </w:r>
    </w:p>
    <w:p w14:paraId="0670C0C1" w14:textId="667B6E26" w:rsidR="00C12A2E" w:rsidRPr="005F624F" w:rsidRDefault="00C27A20" w:rsidP="00C12A2E">
      <w:pPr>
        <w:pStyle w:val="Default"/>
        <w:numPr>
          <w:ilvl w:val="0"/>
          <w:numId w:val="3"/>
        </w:numPr>
        <w:ind w:left="450"/>
        <w:jc w:val="both"/>
        <w:rPr>
          <w:rFonts w:asciiTheme="minorHAnsi" w:hAnsiTheme="minorHAnsi" w:cstheme="minorHAnsi"/>
          <w:sz w:val="22"/>
          <w:szCs w:val="22"/>
        </w:rPr>
      </w:pPr>
      <w:r>
        <w:rPr>
          <w:rFonts w:asciiTheme="minorHAnsi" w:hAnsiTheme="minorHAnsi" w:cstheme="minorHAnsi"/>
          <w:sz w:val="22"/>
          <w:szCs w:val="22"/>
        </w:rPr>
        <w:t>Demonstrated</w:t>
      </w:r>
      <w:r w:rsidR="00C12A2E" w:rsidRPr="005F624F">
        <w:rPr>
          <w:rFonts w:asciiTheme="minorHAnsi" w:hAnsiTheme="minorHAnsi" w:cstheme="minorHAnsi"/>
          <w:sz w:val="22"/>
          <w:szCs w:val="22"/>
        </w:rPr>
        <w:t xml:space="preserve"> understanding of various Data systems and Monitoring and Evaluation frameworks used to analyze </w:t>
      </w:r>
      <w:r>
        <w:rPr>
          <w:rFonts w:asciiTheme="minorHAnsi" w:hAnsiTheme="minorHAnsi" w:cstheme="minorHAnsi"/>
          <w:sz w:val="22"/>
          <w:szCs w:val="22"/>
        </w:rPr>
        <w:t>school efficiency</w:t>
      </w:r>
      <w:r w:rsidR="00C12A2E" w:rsidRPr="005F624F">
        <w:rPr>
          <w:rFonts w:asciiTheme="minorHAnsi" w:hAnsiTheme="minorHAnsi" w:cstheme="minorHAnsi"/>
          <w:sz w:val="22"/>
          <w:szCs w:val="22"/>
        </w:rPr>
        <w:t xml:space="preserve"> from both qualitative and quantitative points of view</w:t>
      </w:r>
      <w:r w:rsidR="00EA3EAB">
        <w:rPr>
          <w:rFonts w:asciiTheme="minorHAnsi" w:hAnsiTheme="minorHAnsi" w:cstheme="minorHAnsi"/>
          <w:sz w:val="22"/>
          <w:szCs w:val="22"/>
        </w:rPr>
        <w:t xml:space="preserve"> is highly desirable.</w:t>
      </w:r>
    </w:p>
    <w:p w14:paraId="082BA778" w14:textId="77777777" w:rsidR="00C12A2E" w:rsidRPr="005F624F" w:rsidRDefault="00C12A2E" w:rsidP="00C12A2E">
      <w:pPr>
        <w:pStyle w:val="Default"/>
        <w:ind w:left="450"/>
        <w:jc w:val="both"/>
        <w:rPr>
          <w:rFonts w:asciiTheme="minorHAnsi" w:hAnsiTheme="minorHAnsi" w:cstheme="minorHAnsi"/>
          <w:sz w:val="22"/>
          <w:szCs w:val="22"/>
        </w:rPr>
      </w:pPr>
    </w:p>
    <w:p w14:paraId="3368D0A3" w14:textId="42FA8420" w:rsidR="00312D94" w:rsidRDefault="00312D94" w:rsidP="6055775F">
      <w:pPr>
        <w:spacing w:after="0" w:line="240" w:lineRule="auto"/>
        <w:jc w:val="both"/>
      </w:pPr>
    </w:p>
    <w:p w14:paraId="1AECD49A" w14:textId="5BA99AE8" w:rsidR="00312D94" w:rsidRDefault="03BDCE2F" w:rsidP="00D25DC3">
      <w:pPr>
        <w:spacing w:after="0" w:line="240" w:lineRule="auto"/>
        <w:jc w:val="both"/>
        <w:rPr>
          <w:rFonts w:ascii="Calibri" w:eastAsia="Calibri" w:hAnsi="Calibri" w:cs="Calibri"/>
          <w:color w:val="FF0000"/>
        </w:rPr>
      </w:pPr>
      <w:r w:rsidRPr="6055775F">
        <w:rPr>
          <w:rFonts w:ascii="Calibri" w:eastAsia="Calibri" w:hAnsi="Calibri" w:cs="Calibri"/>
          <w:b/>
          <w:bCs/>
          <w:color w:val="000000" w:themeColor="text1"/>
          <w:sz w:val="24"/>
          <w:szCs w:val="24"/>
          <w:u w:val="single"/>
        </w:rPr>
        <w:t>Application and Selection Process: </w:t>
      </w:r>
    </w:p>
    <w:p w14:paraId="6DD0691D" w14:textId="70F4E5E0" w:rsidR="00312D94" w:rsidRDefault="03BDCE2F" w:rsidP="6055775F">
      <w:pPr>
        <w:spacing w:beforeAutospacing="1" w:afterAutospacing="1" w:line="240" w:lineRule="auto"/>
        <w:jc w:val="both"/>
        <w:rPr>
          <w:rFonts w:ascii="Calibri" w:eastAsia="Calibri" w:hAnsi="Calibri" w:cs="Calibri"/>
          <w:color w:val="000000" w:themeColor="text1"/>
        </w:rPr>
      </w:pPr>
      <w:r w:rsidRPr="42669753">
        <w:rPr>
          <w:rFonts w:ascii="Calibri" w:eastAsia="Calibri" w:hAnsi="Calibri" w:cs="Calibri"/>
          <w:color w:val="000000" w:themeColor="text1"/>
        </w:rPr>
        <w:t xml:space="preserve">This is a pilot phase of partnership program at the </w:t>
      </w:r>
      <w:r w:rsidR="00786F56" w:rsidRPr="42669753">
        <w:rPr>
          <w:rFonts w:ascii="Calibri" w:eastAsia="Calibri" w:hAnsi="Calibri" w:cs="Calibri"/>
          <w:color w:val="000000" w:themeColor="text1"/>
        </w:rPr>
        <w:t xml:space="preserve">World Bank Group </w:t>
      </w:r>
      <w:r w:rsidRPr="42669753">
        <w:rPr>
          <w:rFonts w:ascii="Calibri" w:eastAsia="Calibri" w:hAnsi="Calibri" w:cs="Calibri"/>
          <w:color w:val="000000" w:themeColor="text1"/>
        </w:rPr>
        <w:t xml:space="preserve">Pakistan Country Office where up to 9 </w:t>
      </w:r>
      <w:r w:rsidR="6541C3E5" w:rsidRPr="42669753">
        <w:rPr>
          <w:rFonts w:ascii="Calibri" w:eastAsia="Calibri" w:hAnsi="Calibri" w:cs="Calibri"/>
          <w:color w:val="000000" w:themeColor="text1"/>
        </w:rPr>
        <w:t>STC</w:t>
      </w:r>
      <w:r w:rsidRPr="42669753">
        <w:rPr>
          <w:rFonts w:ascii="Calibri" w:eastAsia="Calibri" w:hAnsi="Calibri" w:cs="Calibri"/>
          <w:color w:val="000000" w:themeColor="text1"/>
        </w:rPr>
        <w:t xml:space="preserve">s will be selected to work with us in a hybrid mode. This pilot phase is being implemented initially with 20 universities across the Pakistan in partnership with the Oxford Pakistan Program. In Phase 2 scheduled to start in March/April 2023, the program will expand to include all universities in Pakistan. </w:t>
      </w:r>
    </w:p>
    <w:p w14:paraId="195D116C" w14:textId="3C20C8F3" w:rsidR="00312D94" w:rsidRDefault="03BDCE2F" w:rsidP="6055775F">
      <w:pPr>
        <w:spacing w:beforeAutospacing="1" w:afterAutospacing="1" w:line="240" w:lineRule="auto"/>
        <w:jc w:val="both"/>
        <w:rPr>
          <w:rFonts w:ascii="Calibri" w:eastAsia="Calibri" w:hAnsi="Calibri" w:cs="Calibri"/>
          <w:color w:val="000000" w:themeColor="text1"/>
        </w:rPr>
      </w:pPr>
      <w:r w:rsidRPr="6055775F">
        <w:rPr>
          <w:rFonts w:ascii="Calibri" w:eastAsia="Calibri" w:hAnsi="Calibri" w:cs="Calibri"/>
          <w:color w:val="000000" w:themeColor="text1"/>
        </w:rPr>
        <w:t>Each applicant can only apply to one position advertised.  Shortlisted applicants will be interviewed, and one candidate will be selected per position.</w:t>
      </w:r>
    </w:p>
    <w:p w14:paraId="714E860E" w14:textId="7C1D7F85" w:rsidR="00312D94" w:rsidRDefault="00312D94" w:rsidP="6055775F"/>
    <w:sectPr w:rsidR="00312D94" w:rsidSect="00AA136A">
      <w:pgSz w:w="12240" w:h="15840"/>
      <w:pgMar w:top="108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B93A" w14:textId="77777777" w:rsidR="000259A8" w:rsidRDefault="000259A8" w:rsidP="00456DBD">
      <w:pPr>
        <w:spacing w:after="0" w:line="240" w:lineRule="auto"/>
      </w:pPr>
      <w:r>
        <w:separator/>
      </w:r>
    </w:p>
  </w:endnote>
  <w:endnote w:type="continuationSeparator" w:id="0">
    <w:p w14:paraId="23411E49" w14:textId="77777777" w:rsidR="000259A8" w:rsidRDefault="000259A8" w:rsidP="0045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4D7B" w14:textId="77777777" w:rsidR="000259A8" w:rsidRDefault="000259A8" w:rsidP="00456DBD">
      <w:pPr>
        <w:spacing w:after="0" w:line="240" w:lineRule="auto"/>
      </w:pPr>
      <w:r>
        <w:separator/>
      </w:r>
    </w:p>
  </w:footnote>
  <w:footnote w:type="continuationSeparator" w:id="0">
    <w:p w14:paraId="62C000D2" w14:textId="77777777" w:rsidR="000259A8" w:rsidRDefault="000259A8" w:rsidP="00456DBD">
      <w:pPr>
        <w:spacing w:after="0" w:line="240" w:lineRule="auto"/>
      </w:pPr>
      <w:r>
        <w:continuationSeparator/>
      </w:r>
    </w:p>
  </w:footnote>
  <w:footnote w:id="1">
    <w:p w14:paraId="31D6F9CB" w14:textId="77777777" w:rsidR="005C034F" w:rsidRPr="00D86072" w:rsidRDefault="005C034F" w:rsidP="005C034F">
      <w:pPr>
        <w:shd w:val="clear" w:color="auto" w:fill="FFFFFF"/>
        <w:spacing w:line="240" w:lineRule="auto"/>
        <w:jc w:val="both"/>
        <w:rPr>
          <w:sz w:val="20"/>
          <w:szCs w:val="20"/>
        </w:rPr>
      </w:pPr>
      <w:r>
        <w:rPr>
          <w:rStyle w:val="FootnoteReference"/>
        </w:rPr>
        <w:footnoteRef/>
      </w:r>
      <w:r>
        <w:t xml:space="preserve"> </w:t>
      </w:r>
      <w:r w:rsidRPr="00F2439B">
        <w:rPr>
          <w:sz w:val="20"/>
          <w:szCs w:val="20"/>
        </w:rPr>
        <w:t xml:space="preserve">World Bank Group. 2017. Education Public Expenditure Review Guidelines. World Bank, Washington, DC. © World Bank. </w:t>
      </w:r>
      <w:hyperlink r:id="rId1" w:history="1">
        <w:r w:rsidRPr="00D17D27">
          <w:rPr>
            <w:rStyle w:val="Hyperlink"/>
            <w:sz w:val="20"/>
            <w:szCs w:val="20"/>
          </w:rPr>
          <w:t>https://openknowledge.worldbank.org/handle/10986/27264</w:t>
        </w:r>
      </w:hyperlink>
      <w:r w:rsidRPr="00D17D27">
        <w:rPr>
          <w:sz w:val="20"/>
          <w:szCs w:val="20"/>
        </w:rPr>
        <w:t xml:space="preserve"> </w:t>
      </w:r>
      <w:r w:rsidRPr="00F2439B">
        <w:rPr>
          <w:sz w:val="20"/>
          <w:szCs w:val="20"/>
        </w:rPr>
        <w:t>License: CC BY 3.0 IGO.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A96"/>
    <w:multiLevelType w:val="hybridMultilevel"/>
    <w:tmpl w:val="E8AC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5515C"/>
    <w:multiLevelType w:val="hybridMultilevel"/>
    <w:tmpl w:val="DB0A9116"/>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D23B9"/>
    <w:multiLevelType w:val="hybridMultilevel"/>
    <w:tmpl w:val="10E8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51404"/>
    <w:multiLevelType w:val="hybridMultilevel"/>
    <w:tmpl w:val="004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046CF"/>
    <w:multiLevelType w:val="hybridMultilevel"/>
    <w:tmpl w:val="12023ED6"/>
    <w:lvl w:ilvl="0" w:tplc="04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401B7F81"/>
    <w:multiLevelType w:val="hybridMultilevel"/>
    <w:tmpl w:val="4CDE3316"/>
    <w:lvl w:ilvl="0" w:tplc="1E0E76E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14ED4"/>
    <w:multiLevelType w:val="hybridMultilevel"/>
    <w:tmpl w:val="3C54B8BE"/>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A4DF7"/>
    <w:multiLevelType w:val="hybridMultilevel"/>
    <w:tmpl w:val="895E48F2"/>
    <w:lvl w:ilvl="0" w:tplc="D688972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94"/>
    <w:rsid w:val="0002071A"/>
    <w:rsid w:val="00024218"/>
    <w:rsid w:val="000259A8"/>
    <w:rsid w:val="000267BE"/>
    <w:rsid w:val="00026959"/>
    <w:rsid w:val="00031299"/>
    <w:rsid w:val="000467B5"/>
    <w:rsid w:val="000530F8"/>
    <w:rsid w:val="00056376"/>
    <w:rsid w:val="00071B57"/>
    <w:rsid w:val="000746F4"/>
    <w:rsid w:val="00075BDF"/>
    <w:rsid w:val="0008003C"/>
    <w:rsid w:val="000833EB"/>
    <w:rsid w:val="000A0CD1"/>
    <w:rsid w:val="000A173E"/>
    <w:rsid w:val="000A4CDB"/>
    <w:rsid w:val="000D581C"/>
    <w:rsid w:val="001046D0"/>
    <w:rsid w:val="00104D75"/>
    <w:rsid w:val="00105AB9"/>
    <w:rsid w:val="00112078"/>
    <w:rsid w:val="0012652C"/>
    <w:rsid w:val="001269CF"/>
    <w:rsid w:val="00132504"/>
    <w:rsid w:val="00137A2D"/>
    <w:rsid w:val="00140DCF"/>
    <w:rsid w:val="00181669"/>
    <w:rsid w:val="00187A5F"/>
    <w:rsid w:val="001B5245"/>
    <w:rsid w:val="001C37B6"/>
    <w:rsid w:val="001E43EC"/>
    <w:rsid w:val="001F532F"/>
    <w:rsid w:val="002079D7"/>
    <w:rsid w:val="00233B93"/>
    <w:rsid w:val="00263220"/>
    <w:rsid w:val="002632E7"/>
    <w:rsid w:val="00265F66"/>
    <w:rsid w:val="0027026D"/>
    <w:rsid w:val="00281204"/>
    <w:rsid w:val="0028794E"/>
    <w:rsid w:val="002A054E"/>
    <w:rsid w:val="002A0F87"/>
    <w:rsid w:val="002B16A6"/>
    <w:rsid w:val="002B3264"/>
    <w:rsid w:val="002C24E6"/>
    <w:rsid w:val="002E1D03"/>
    <w:rsid w:val="002E3CA6"/>
    <w:rsid w:val="002F2B4E"/>
    <w:rsid w:val="002F354F"/>
    <w:rsid w:val="002F6DA6"/>
    <w:rsid w:val="003073CF"/>
    <w:rsid w:val="00310E3C"/>
    <w:rsid w:val="00312D94"/>
    <w:rsid w:val="00322712"/>
    <w:rsid w:val="00340847"/>
    <w:rsid w:val="003565AC"/>
    <w:rsid w:val="00371FE4"/>
    <w:rsid w:val="00375ADF"/>
    <w:rsid w:val="00381974"/>
    <w:rsid w:val="00390EE9"/>
    <w:rsid w:val="003A059C"/>
    <w:rsid w:val="003A7A56"/>
    <w:rsid w:val="003D0290"/>
    <w:rsid w:val="003D65D2"/>
    <w:rsid w:val="00403FFC"/>
    <w:rsid w:val="0043121C"/>
    <w:rsid w:val="004365C3"/>
    <w:rsid w:val="0043714E"/>
    <w:rsid w:val="00444D96"/>
    <w:rsid w:val="004550ED"/>
    <w:rsid w:val="00455C52"/>
    <w:rsid w:val="00456DBD"/>
    <w:rsid w:val="00481604"/>
    <w:rsid w:val="00485BF5"/>
    <w:rsid w:val="00491B86"/>
    <w:rsid w:val="004A0367"/>
    <w:rsid w:val="004A152D"/>
    <w:rsid w:val="004A5078"/>
    <w:rsid w:val="004C1F5A"/>
    <w:rsid w:val="004C5EF7"/>
    <w:rsid w:val="004D3FEA"/>
    <w:rsid w:val="004F5EEA"/>
    <w:rsid w:val="00500884"/>
    <w:rsid w:val="0056052F"/>
    <w:rsid w:val="00560E34"/>
    <w:rsid w:val="005661D7"/>
    <w:rsid w:val="00573270"/>
    <w:rsid w:val="0059168B"/>
    <w:rsid w:val="005944FD"/>
    <w:rsid w:val="005A4741"/>
    <w:rsid w:val="005B2D3C"/>
    <w:rsid w:val="005C034F"/>
    <w:rsid w:val="005C36BA"/>
    <w:rsid w:val="005C4CAD"/>
    <w:rsid w:val="005C5F9A"/>
    <w:rsid w:val="005E7738"/>
    <w:rsid w:val="005F65C3"/>
    <w:rsid w:val="00605AA5"/>
    <w:rsid w:val="006074BF"/>
    <w:rsid w:val="0061583B"/>
    <w:rsid w:val="00621B2C"/>
    <w:rsid w:val="0064277A"/>
    <w:rsid w:val="0065114A"/>
    <w:rsid w:val="00663917"/>
    <w:rsid w:val="006948DF"/>
    <w:rsid w:val="006A28A9"/>
    <w:rsid w:val="006B2854"/>
    <w:rsid w:val="006B4AAF"/>
    <w:rsid w:val="006C0AE4"/>
    <w:rsid w:val="006C4087"/>
    <w:rsid w:val="006C408F"/>
    <w:rsid w:val="006D77C2"/>
    <w:rsid w:val="006E6614"/>
    <w:rsid w:val="006F0800"/>
    <w:rsid w:val="006F682A"/>
    <w:rsid w:val="007052D0"/>
    <w:rsid w:val="00716C67"/>
    <w:rsid w:val="00724087"/>
    <w:rsid w:val="00725D7E"/>
    <w:rsid w:val="00732774"/>
    <w:rsid w:val="00736DEB"/>
    <w:rsid w:val="00747390"/>
    <w:rsid w:val="00786F56"/>
    <w:rsid w:val="0079484D"/>
    <w:rsid w:val="00796CAC"/>
    <w:rsid w:val="00797CBB"/>
    <w:rsid w:val="007A31FD"/>
    <w:rsid w:val="007B15C6"/>
    <w:rsid w:val="007D3219"/>
    <w:rsid w:val="007D7382"/>
    <w:rsid w:val="00801D7D"/>
    <w:rsid w:val="00816BCE"/>
    <w:rsid w:val="00840047"/>
    <w:rsid w:val="0084594E"/>
    <w:rsid w:val="008702F8"/>
    <w:rsid w:val="00881AB7"/>
    <w:rsid w:val="008A1EB0"/>
    <w:rsid w:val="008A2A96"/>
    <w:rsid w:val="008C01D5"/>
    <w:rsid w:val="008D6432"/>
    <w:rsid w:val="008D6D52"/>
    <w:rsid w:val="00905323"/>
    <w:rsid w:val="00921FBE"/>
    <w:rsid w:val="0095553A"/>
    <w:rsid w:val="00955E32"/>
    <w:rsid w:val="0096156F"/>
    <w:rsid w:val="0096605F"/>
    <w:rsid w:val="00971F11"/>
    <w:rsid w:val="00974DDA"/>
    <w:rsid w:val="0098381C"/>
    <w:rsid w:val="00986AB2"/>
    <w:rsid w:val="00990DEE"/>
    <w:rsid w:val="009A6C0A"/>
    <w:rsid w:val="009A7FFE"/>
    <w:rsid w:val="009B2B75"/>
    <w:rsid w:val="009B7541"/>
    <w:rsid w:val="009C1435"/>
    <w:rsid w:val="009C7F35"/>
    <w:rsid w:val="009D300C"/>
    <w:rsid w:val="00A01CD7"/>
    <w:rsid w:val="00A039DF"/>
    <w:rsid w:val="00A13457"/>
    <w:rsid w:val="00A15FF9"/>
    <w:rsid w:val="00A2275F"/>
    <w:rsid w:val="00A364A7"/>
    <w:rsid w:val="00A538FE"/>
    <w:rsid w:val="00A53E9C"/>
    <w:rsid w:val="00A55107"/>
    <w:rsid w:val="00A7050C"/>
    <w:rsid w:val="00A7680D"/>
    <w:rsid w:val="00A8792A"/>
    <w:rsid w:val="00A923CA"/>
    <w:rsid w:val="00A93A04"/>
    <w:rsid w:val="00AA136A"/>
    <w:rsid w:val="00AA2D33"/>
    <w:rsid w:val="00AA6660"/>
    <w:rsid w:val="00AB00C3"/>
    <w:rsid w:val="00AC4DFC"/>
    <w:rsid w:val="00AD78D9"/>
    <w:rsid w:val="00AE1134"/>
    <w:rsid w:val="00AE1541"/>
    <w:rsid w:val="00AE2D36"/>
    <w:rsid w:val="00AE3646"/>
    <w:rsid w:val="00AF213E"/>
    <w:rsid w:val="00B12301"/>
    <w:rsid w:val="00B53BCE"/>
    <w:rsid w:val="00B7229B"/>
    <w:rsid w:val="00B72F95"/>
    <w:rsid w:val="00B93DFF"/>
    <w:rsid w:val="00BB0469"/>
    <w:rsid w:val="00BE09E9"/>
    <w:rsid w:val="00BE59D6"/>
    <w:rsid w:val="00BF4C6F"/>
    <w:rsid w:val="00C026F3"/>
    <w:rsid w:val="00C12A2E"/>
    <w:rsid w:val="00C27A20"/>
    <w:rsid w:val="00C5156F"/>
    <w:rsid w:val="00C578C5"/>
    <w:rsid w:val="00C6515B"/>
    <w:rsid w:val="00C906F6"/>
    <w:rsid w:val="00C9714F"/>
    <w:rsid w:val="00C97EE3"/>
    <w:rsid w:val="00CA1991"/>
    <w:rsid w:val="00CA5260"/>
    <w:rsid w:val="00CA576F"/>
    <w:rsid w:val="00CC203E"/>
    <w:rsid w:val="00CC4167"/>
    <w:rsid w:val="00CD1157"/>
    <w:rsid w:val="00CD45C0"/>
    <w:rsid w:val="00CD5B6B"/>
    <w:rsid w:val="00CD5D8C"/>
    <w:rsid w:val="00CE22A4"/>
    <w:rsid w:val="00CF06F0"/>
    <w:rsid w:val="00CF6205"/>
    <w:rsid w:val="00D10844"/>
    <w:rsid w:val="00D12901"/>
    <w:rsid w:val="00D17D27"/>
    <w:rsid w:val="00D25DC3"/>
    <w:rsid w:val="00D45F81"/>
    <w:rsid w:val="00D619CE"/>
    <w:rsid w:val="00D62C21"/>
    <w:rsid w:val="00D63117"/>
    <w:rsid w:val="00D66756"/>
    <w:rsid w:val="00D778C7"/>
    <w:rsid w:val="00D86072"/>
    <w:rsid w:val="00D9342A"/>
    <w:rsid w:val="00D9525A"/>
    <w:rsid w:val="00DA6D90"/>
    <w:rsid w:val="00DB7232"/>
    <w:rsid w:val="00DC283E"/>
    <w:rsid w:val="00DF1FBD"/>
    <w:rsid w:val="00DF756A"/>
    <w:rsid w:val="00E0250F"/>
    <w:rsid w:val="00E0521D"/>
    <w:rsid w:val="00E06AC6"/>
    <w:rsid w:val="00E06D88"/>
    <w:rsid w:val="00E06E3F"/>
    <w:rsid w:val="00E52488"/>
    <w:rsid w:val="00E530A4"/>
    <w:rsid w:val="00E61777"/>
    <w:rsid w:val="00E91BE6"/>
    <w:rsid w:val="00EA3EAB"/>
    <w:rsid w:val="00EC5119"/>
    <w:rsid w:val="00EC662C"/>
    <w:rsid w:val="00EF0555"/>
    <w:rsid w:val="00EF6B65"/>
    <w:rsid w:val="00F2439B"/>
    <w:rsid w:val="00F24AE1"/>
    <w:rsid w:val="00F30A6A"/>
    <w:rsid w:val="00FA2032"/>
    <w:rsid w:val="00FA7C07"/>
    <w:rsid w:val="00FB0070"/>
    <w:rsid w:val="00FD4FFA"/>
    <w:rsid w:val="00FF581C"/>
    <w:rsid w:val="012A626D"/>
    <w:rsid w:val="03BDCE2F"/>
    <w:rsid w:val="048644BE"/>
    <w:rsid w:val="065866A4"/>
    <w:rsid w:val="0AFBC237"/>
    <w:rsid w:val="0EFE42F7"/>
    <w:rsid w:val="11D03277"/>
    <w:rsid w:val="16A6F28F"/>
    <w:rsid w:val="1A2ADD24"/>
    <w:rsid w:val="1D87D5E6"/>
    <w:rsid w:val="1DF76124"/>
    <w:rsid w:val="1FC0368D"/>
    <w:rsid w:val="2611B9F6"/>
    <w:rsid w:val="2728C191"/>
    <w:rsid w:val="27AD8A57"/>
    <w:rsid w:val="29E02D4F"/>
    <w:rsid w:val="300917F8"/>
    <w:rsid w:val="3098B914"/>
    <w:rsid w:val="31FD828A"/>
    <w:rsid w:val="33C4E7B9"/>
    <w:rsid w:val="386125AD"/>
    <w:rsid w:val="394E43AB"/>
    <w:rsid w:val="3AD5DABE"/>
    <w:rsid w:val="3C85E46D"/>
    <w:rsid w:val="3D71B9DA"/>
    <w:rsid w:val="3EF461DE"/>
    <w:rsid w:val="422C02A0"/>
    <w:rsid w:val="42669753"/>
    <w:rsid w:val="43484A1E"/>
    <w:rsid w:val="45E15F8C"/>
    <w:rsid w:val="46FF73C3"/>
    <w:rsid w:val="4DB8C742"/>
    <w:rsid w:val="4EAEF0A2"/>
    <w:rsid w:val="51FFCA3E"/>
    <w:rsid w:val="580CA975"/>
    <w:rsid w:val="5A5525D5"/>
    <w:rsid w:val="5B40FB42"/>
    <w:rsid w:val="5F751FDD"/>
    <w:rsid w:val="6055775F"/>
    <w:rsid w:val="60BB6FC6"/>
    <w:rsid w:val="62ACC09F"/>
    <w:rsid w:val="6541C3E5"/>
    <w:rsid w:val="66AC0D22"/>
    <w:rsid w:val="69169032"/>
    <w:rsid w:val="69FAF4C9"/>
    <w:rsid w:val="6C116FA0"/>
    <w:rsid w:val="6E99FC49"/>
    <w:rsid w:val="75111B72"/>
    <w:rsid w:val="7AAF3B47"/>
    <w:rsid w:val="7BFE23EF"/>
    <w:rsid w:val="7CFB2755"/>
    <w:rsid w:val="7DF45C39"/>
    <w:rsid w:val="7E1FA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307D2E"/>
  <w15:chartTrackingRefBased/>
  <w15:docId w15:val="{8FF77EEF-B1F9-43CA-BB3A-A9EB8F16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25D7E"/>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F243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D94"/>
    <w:rPr>
      <w:color w:val="0563C1" w:themeColor="hyperlink"/>
      <w:u w:val="single"/>
    </w:rPr>
  </w:style>
  <w:style w:type="paragraph" w:styleId="BodyText">
    <w:name w:val="Body Text"/>
    <w:basedOn w:val="Normal"/>
    <w:link w:val="BodyTextChar"/>
    <w:rsid w:val="00312D94"/>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2D94"/>
    <w:rPr>
      <w:rFonts w:ascii="Times New Roman" w:eastAsia="Times New Roman" w:hAnsi="Times New Roman" w:cs="Times New Roman"/>
      <w:sz w:val="24"/>
      <w:szCs w:val="20"/>
    </w:rPr>
  </w:style>
  <w:style w:type="paragraph" w:customStyle="1" w:styleId="Default">
    <w:name w:val="Default"/>
    <w:rsid w:val="00C12A2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A2E"/>
  </w:style>
  <w:style w:type="table" w:styleId="TableGrid">
    <w:name w:val="Table Grid"/>
    <w:basedOn w:val="TableNormal"/>
    <w:uiPriority w:val="59"/>
    <w:rsid w:val="00C1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A2E"/>
    <w:pPr>
      <w:ind w:left="720"/>
      <w:contextualSpacing/>
    </w:pPr>
  </w:style>
  <w:style w:type="character" w:styleId="CommentReference">
    <w:name w:val="annotation reference"/>
    <w:basedOn w:val="DefaultParagraphFont"/>
    <w:semiHidden/>
    <w:unhideWhenUsed/>
    <w:rsid w:val="0043714E"/>
    <w:rPr>
      <w:sz w:val="16"/>
      <w:szCs w:val="16"/>
    </w:rPr>
  </w:style>
  <w:style w:type="paragraph" w:styleId="CommentText">
    <w:name w:val="annotation text"/>
    <w:basedOn w:val="Normal"/>
    <w:link w:val="CommentTextChar"/>
    <w:uiPriority w:val="99"/>
    <w:semiHidden/>
    <w:unhideWhenUsed/>
    <w:rsid w:val="0043714E"/>
    <w:pPr>
      <w:spacing w:line="240" w:lineRule="auto"/>
    </w:pPr>
    <w:rPr>
      <w:sz w:val="20"/>
      <w:szCs w:val="20"/>
    </w:rPr>
  </w:style>
  <w:style w:type="character" w:customStyle="1" w:styleId="CommentTextChar">
    <w:name w:val="Comment Text Char"/>
    <w:basedOn w:val="DefaultParagraphFont"/>
    <w:link w:val="CommentText"/>
    <w:uiPriority w:val="99"/>
    <w:semiHidden/>
    <w:rsid w:val="0043714E"/>
    <w:rPr>
      <w:sz w:val="20"/>
      <w:szCs w:val="20"/>
    </w:rPr>
  </w:style>
  <w:style w:type="paragraph" w:styleId="CommentSubject">
    <w:name w:val="annotation subject"/>
    <w:basedOn w:val="CommentText"/>
    <w:next w:val="CommentText"/>
    <w:link w:val="CommentSubjectChar"/>
    <w:uiPriority w:val="99"/>
    <w:semiHidden/>
    <w:unhideWhenUsed/>
    <w:rsid w:val="0043714E"/>
    <w:rPr>
      <w:b/>
      <w:bCs/>
    </w:rPr>
  </w:style>
  <w:style w:type="character" w:customStyle="1" w:styleId="CommentSubjectChar">
    <w:name w:val="Comment Subject Char"/>
    <w:basedOn w:val="CommentTextChar"/>
    <w:link w:val="CommentSubject"/>
    <w:uiPriority w:val="99"/>
    <w:semiHidden/>
    <w:rsid w:val="0043714E"/>
    <w:rPr>
      <w:b/>
      <w:bCs/>
      <w:sz w:val="20"/>
      <w:szCs w:val="20"/>
    </w:rPr>
  </w:style>
  <w:style w:type="paragraph" w:styleId="FootnoteText">
    <w:name w:val="footnote text"/>
    <w:aliases w:val="Char Char3,Char Char Char Char Char Char,Char Char Char Char,Footnote Text Char1 Char,Footnote Text Char1 Char Char Char Char Char,Char Char Char Char Char Char1,Char Char Char Char1,Footnote Text Char Char,single space"/>
    <w:basedOn w:val="Normal"/>
    <w:link w:val="FootnoteTextChar"/>
    <w:uiPriority w:val="99"/>
    <w:semiHidden/>
    <w:unhideWhenUsed/>
    <w:qFormat/>
    <w:rsid w:val="00C651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3 Char,Char Char Char Char Char Char Char,Char Char Char Char Char,Footnote Text Char1 Char Char,Footnote Text Char1 Char Char Char Char Char Char,Char Char Char Char Char Char1 Char,Char Char Char Char1 Char"/>
    <w:basedOn w:val="DefaultParagraphFont"/>
    <w:link w:val="FootnoteText"/>
    <w:uiPriority w:val="99"/>
    <w:semiHidden/>
    <w:qFormat/>
    <w:rsid w:val="00C6515B"/>
    <w:rPr>
      <w:rFonts w:ascii="Times New Roman" w:eastAsia="Times New Roman" w:hAnsi="Times New Roman" w:cs="Times New Roman"/>
      <w:sz w:val="20"/>
      <w:szCs w:val="20"/>
    </w:rPr>
  </w:style>
  <w:style w:type="character" w:styleId="FootnoteReference">
    <w:name w:val="footnote reference"/>
    <w:aliases w:val="ftref"/>
    <w:basedOn w:val="DefaultParagraphFont"/>
    <w:uiPriority w:val="99"/>
    <w:semiHidden/>
    <w:unhideWhenUsed/>
    <w:qFormat/>
    <w:rsid w:val="00C6515B"/>
    <w:rPr>
      <w:vertAlign w:val="superscript"/>
    </w:rPr>
  </w:style>
  <w:style w:type="paragraph" w:styleId="NoSpacing">
    <w:name w:val="No Spacing"/>
    <w:uiPriority w:val="1"/>
    <w:qFormat/>
    <w:rsid w:val="00DB7232"/>
    <w:pPr>
      <w:spacing w:after="0" w:line="240" w:lineRule="auto"/>
    </w:pPr>
  </w:style>
  <w:style w:type="paragraph" w:customStyle="1" w:styleId="BankNormal">
    <w:name w:val="BankNormal"/>
    <w:basedOn w:val="Normal"/>
    <w:rsid w:val="00265F66"/>
    <w:pPr>
      <w:spacing w:after="24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A2A96"/>
    <w:rPr>
      <w:color w:val="605E5C"/>
      <w:shd w:val="clear" w:color="auto" w:fill="E1DFDD"/>
    </w:rPr>
  </w:style>
  <w:style w:type="character" w:customStyle="1" w:styleId="Heading5Char">
    <w:name w:val="Heading 5 Char"/>
    <w:basedOn w:val="DefaultParagraphFont"/>
    <w:link w:val="Heading5"/>
    <w:uiPriority w:val="9"/>
    <w:rsid w:val="00F2439B"/>
    <w:rPr>
      <w:rFonts w:ascii="Times New Roman" w:eastAsia="Times New Roman" w:hAnsi="Times New Roman" w:cs="Times New Roman"/>
      <w:b/>
      <w:bCs/>
      <w:sz w:val="20"/>
      <w:szCs w:val="20"/>
    </w:rPr>
  </w:style>
  <w:style w:type="character" w:customStyle="1" w:styleId="italic">
    <w:name w:val="italic"/>
    <w:basedOn w:val="DefaultParagraphFont"/>
    <w:rsid w:val="00F2439B"/>
  </w:style>
  <w:style w:type="character" w:customStyle="1" w:styleId="Heading3Char">
    <w:name w:val="Heading 3 Char"/>
    <w:basedOn w:val="DefaultParagraphFont"/>
    <w:link w:val="Heading3"/>
    <w:uiPriority w:val="9"/>
    <w:semiHidden/>
    <w:rsid w:val="00725D7E"/>
    <w:rPr>
      <w:rFonts w:asciiTheme="majorHAnsi" w:eastAsiaTheme="majorEastAsia" w:hAnsiTheme="majorHAnsi" w:cstheme="majorBidi"/>
      <w:color w:val="1F3763" w:themeColor="accent1" w:themeShade="7F"/>
      <w:sz w:val="24"/>
      <w:szCs w:val="24"/>
    </w:rPr>
  </w:style>
  <w:style w:type="paragraph" w:customStyle="1" w:styleId="Pakistanbodytext">
    <w:name w:val="Pakistan body text"/>
    <w:basedOn w:val="Normal"/>
    <w:link w:val="PakistanbodytextChar"/>
    <w:qFormat/>
    <w:rsid w:val="00DA6D90"/>
    <w:pPr>
      <w:spacing w:before="120" w:after="120" w:line="240" w:lineRule="auto"/>
      <w:jc w:val="both"/>
    </w:pPr>
    <w:rPr>
      <w:rFonts w:eastAsia="Calibri" w:cs="Calibri"/>
      <w:sz w:val="24"/>
    </w:rPr>
  </w:style>
  <w:style w:type="character" w:customStyle="1" w:styleId="PakistanbodytextChar">
    <w:name w:val="Pakistan body text Char"/>
    <w:basedOn w:val="DefaultParagraphFont"/>
    <w:link w:val="Pakistanbodytext"/>
    <w:rsid w:val="00DA6D90"/>
    <w:rPr>
      <w:rFonts w:eastAsia="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01857">
      <w:bodyDiv w:val="1"/>
      <w:marLeft w:val="0"/>
      <w:marRight w:val="0"/>
      <w:marTop w:val="0"/>
      <w:marBottom w:val="0"/>
      <w:divBdr>
        <w:top w:val="none" w:sz="0" w:space="0" w:color="auto"/>
        <w:left w:val="none" w:sz="0" w:space="0" w:color="auto"/>
        <w:bottom w:val="none" w:sz="0" w:space="0" w:color="auto"/>
        <w:right w:val="none" w:sz="0" w:space="0" w:color="auto"/>
      </w:divBdr>
    </w:div>
    <w:div w:id="842817328">
      <w:bodyDiv w:val="1"/>
      <w:marLeft w:val="0"/>
      <w:marRight w:val="0"/>
      <w:marTop w:val="0"/>
      <w:marBottom w:val="0"/>
      <w:divBdr>
        <w:top w:val="none" w:sz="0" w:space="0" w:color="auto"/>
        <w:left w:val="none" w:sz="0" w:space="0" w:color="auto"/>
        <w:bottom w:val="none" w:sz="0" w:space="0" w:color="auto"/>
        <w:right w:val="none" w:sz="0" w:space="0" w:color="auto"/>
      </w:divBdr>
      <w:divsChild>
        <w:div w:id="1725366657">
          <w:marLeft w:val="0"/>
          <w:marRight w:val="0"/>
          <w:marTop w:val="0"/>
          <w:marBottom w:val="375"/>
          <w:divBdr>
            <w:top w:val="none" w:sz="0" w:space="0" w:color="auto"/>
            <w:left w:val="none" w:sz="0" w:space="0" w:color="auto"/>
            <w:bottom w:val="none" w:sz="0" w:space="0" w:color="auto"/>
            <w:right w:val="none" w:sz="0" w:space="0" w:color="auto"/>
          </w:divBdr>
        </w:div>
        <w:div w:id="1884249780">
          <w:marLeft w:val="0"/>
          <w:marRight w:val="0"/>
          <w:marTop w:val="0"/>
          <w:marBottom w:val="375"/>
          <w:divBdr>
            <w:top w:val="none" w:sz="0" w:space="0" w:color="auto"/>
            <w:left w:val="none" w:sz="0" w:space="0" w:color="auto"/>
            <w:bottom w:val="none" w:sz="0" w:space="0" w:color="auto"/>
            <w:right w:val="none" w:sz="0" w:space="0" w:color="auto"/>
          </w:divBdr>
          <w:divsChild>
            <w:div w:id="8627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knowledge.worldbank.org/handle/10986/27264" TargetMode="External"/><Relationship Id="rId5" Type="http://schemas.openxmlformats.org/officeDocument/2006/relationships/webSettings" Target="webSettings.xml"/><Relationship Id="rId10" Type="http://schemas.openxmlformats.org/officeDocument/2006/relationships/hyperlink" Target="https://projects.worldbank.org/en/projects-operations/project-detail/P173399?lang=en" TargetMode="Externa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footnotes.xml.rels><?xml version="1.0" encoding="UTF-8" standalone="yes"?>
<Relationships xmlns="http://schemas.openxmlformats.org/package/2006/relationships"><Relationship Id="rId1" Type="http://schemas.openxmlformats.org/officeDocument/2006/relationships/hyperlink" Target="https://openknowledge.worldbank.org/handle/10986/27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ADAA3-11CB-4DCC-BA03-A2D6FFA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Bend</dc:creator>
  <cp:keywords/>
  <dc:description/>
  <cp:lastModifiedBy>Neha Ravail Abdul Khaliq</cp:lastModifiedBy>
  <cp:revision>158</cp:revision>
  <dcterms:created xsi:type="dcterms:W3CDTF">2022-08-17T18:57:00Z</dcterms:created>
  <dcterms:modified xsi:type="dcterms:W3CDTF">2022-10-17T10:27:00Z</dcterms:modified>
</cp:coreProperties>
</file>