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3E" w:rsidRPr="00A42B3E" w:rsidRDefault="00A42B3E" w:rsidP="00A42B3E">
      <w:pPr>
        <w:ind w:right="31"/>
        <w:jc w:val="both"/>
        <w:rPr>
          <w:b/>
          <w:sz w:val="20"/>
          <w:u w:val="single"/>
          <w:lang w:val="en-US"/>
        </w:rPr>
      </w:pPr>
      <w:r w:rsidRPr="00A42B3E">
        <w:rPr>
          <w:b/>
          <w:sz w:val="20"/>
          <w:u w:val="single"/>
          <w:lang w:val="en-US"/>
        </w:rPr>
        <w:t>Attachment for Turkey Central Government GTMI Survey:</w:t>
      </w:r>
    </w:p>
    <w:p w:rsidR="00A42B3E" w:rsidRDefault="00A42B3E" w:rsidP="00A42B3E">
      <w:pPr>
        <w:ind w:right="31"/>
        <w:jc w:val="both"/>
        <w:rPr>
          <w:sz w:val="20"/>
          <w:lang w:val="en-US"/>
        </w:rPr>
      </w:pPr>
      <w:r w:rsidRPr="00740BD5">
        <w:rPr>
          <w:b/>
          <w:sz w:val="20"/>
          <w:lang w:val="en-US"/>
        </w:rPr>
        <w:t>CITIZEN PARTICIPATION</w:t>
      </w:r>
    </w:p>
    <w:p w:rsidR="00A42B3E" w:rsidRDefault="00A42B3E" w:rsidP="00A42B3E">
      <w:pPr>
        <w:ind w:right="31"/>
        <w:jc w:val="both"/>
        <w:rPr>
          <w:b/>
          <w:sz w:val="20"/>
          <w:lang w:val="en-US"/>
        </w:rPr>
      </w:pPr>
      <w:r w:rsidRPr="00A42B3E">
        <w:rPr>
          <w:b/>
          <w:sz w:val="20"/>
          <w:lang w:val="en-US"/>
        </w:rPr>
        <w:t>I-30: Are there national</w:t>
      </w:r>
      <w:r w:rsidRPr="00740BD5">
        <w:rPr>
          <w:b/>
          <w:sz w:val="20"/>
          <w:lang w:val="en-US"/>
        </w:rPr>
        <w:t xml:space="preserve"> platforms that allow citizens to participate in policy decision-making? </w:t>
      </w:r>
      <w:r>
        <w:rPr>
          <w:b/>
          <w:sz w:val="20"/>
          <w:lang w:val="en-US"/>
        </w:rPr>
        <w:t>:</w:t>
      </w:r>
    </w:p>
    <w:p w:rsidR="00A42B3E" w:rsidRDefault="00A42B3E" w:rsidP="00A42B3E">
      <w:pPr>
        <w:ind w:right="31"/>
        <w:jc w:val="both"/>
        <w:rPr>
          <w:sz w:val="20"/>
          <w:lang w:val="en-US"/>
        </w:rPr>
      </w:pPr>
      <w:r>
        <w:rPr>
          <w:sz w:val="20"/>
          <w:lang w:val="en-US"/>
        </w:rPr>
        <w:t>A</w:t>
      </w:r>
      <w:r w:rsidRPr="00AF3643">
        <w:rPr>
          <w:sz w:val="20"/>
          <w:lang w:val="en-US"/>
        </w:rPr>
        <w:t xml:space="preserve">ccording to Article </w:t>
      </w:r>
      <w:r>
        <w:rPr>
          <w:sz w:val="20"/>
          <w:lang w:val="en-US"/>
        </w:rPr>
        <w:t>74</w:t>
      </w:r>
      <w:r w:rsidRPr="00AF3643">
        <w:rPr>
          <w:sz w:val="20"/>
          <w:lang w:val="en-US"/>
        </w:rPr>
        <w:t xml:space="preserve"> of the </w:t>
      </w:r>
      <w:r>
        <w:rPr>
          <w:sz w:val="20"/>
          <w:lang w:val="en-US"/>
        </w:rPr>
        <w:t>Turkish</w:t>
      </w:r>
      <w:r w:rsidRPr="00AF3643">
        <w:rPr>
          <w:sz w:val="20"/>
          <w:lang w:val="en-US"/>
        </w:rPr>
        <w:t xml:space="preserve"> Constitution</w:t>
      </w:r>
      <w:r>
        <w:rPr>
          <w:sz w:val="20"/>
          <w:lang w:val="en-US"/>
        </w:rPr>
        <w:t>, c</w:t>
      </w:r>
      <w:r w:rsidRPr="009C4972">
        <w:rPr>
          <w:sz w:val="20"/>
          <w:lang w:val="en-US"/>
        </w:rPr>
        <w:t>itizens and foreigners resident in Turkey, with the condition of observing the principle of reciprocity, have the right to apply in writing to the competent authorities and to the Grand National Assembly of Turkey with regard to the requests and complaints concerning themselves or the public.</w:t>
      </w:r>
      <w:r>
        <w:rPr>
          <w:sz w:val="20"/>
          <w:lang w:val="en-US"/>
        </w:rPr>
        <w:t xml:space="preserve"> Likewise, according to Article 115 of the Rules of Procedure, t</w:t>
      </w:r>
      <w:r w:rsidRPr="00E7128A">
        <w:rPr>
          <w:sz w:val="20"/>
          <w:lang w:val="en-US"/>
        </w:rPr>
        <w:t>he Committee on Petitions examines the requests and complaints submitted to the Office of the Speaker of the Grand National Assembly of Turkey by Turkish citizens and, on the basis of the principle of reciprocity, by foreign nationals residing in Turkey, regarding the matters related to themselves or the public.</w:t>
      </w:r>
    </w:p>
    <w:p w:rsidR="00A42B3E" w:rsidRDefault="00A42B3E" w:rsidP="00A42B3E">
      <w:pPr>
        <w:ind w:right="31"/>
        <w:jc w:val="both"/>
        <w:rPr>
          <w:sz w:val="20"/>
          <w:lang w:val="en-US"/>
        </w:rPr>
      </w:pPr>
      <w:r w:rsidRPr="008D5DD0">
        <w:rPr>
          <w:sz w:val="20"/>
          <w:lang w:val="en-US"/>
        </w:rPr>
        <w:t xml:space="preserve">Individual applications can be </w:t>
      </w:r>
      <w:r>
        <w:rPr>
          <w:sz w:val="20"/>
          <w:lang w:val="en-US"/>
        </w:rPr>
        <w:t>submitted</w:t>
      </w:r>
      <w:r w:rsidRPr="008D5DD0">
        <w:rPr>
          <w:sz w:val="20"/>
          <w:lang w:val="en-US"/>
        </w:rPr>
        <w:t xml:space="preserve"> to the Committee on Human Rights Inquiry, the Committee on Petitions, and the Committee on Equal Opportunity for Women and Men.</w:t>
      </w:r>
    </w:p>
    <w:p w:rsidR="00A42B3E" w:rsidRDefault="00A42B3E" w:rsidP="00A42B3E">
      <w:pPr>
        <w:ind w:right="31"/>
        <w:jc w:val="both"/>
        <w:rPr>
          <w:sz w:val="20"/>
          <w:lang w:val="en-US"/>
        </w:rPr>
      </w:pPr>
      <w:r w:rsidRPr="00182114">
        <w:rPr>
          <w:sz w:val="20"/>
          <w:lang w:val="en-US"/>
        </w:rPr>
        <w:t xml:space="preserve">Non-governmental organizations participate in policy making by participating in the meetings of </w:t>
      </w:r>
      <w:r>
        <w:rPr>
          <w:sz w:val="20"/>
          <w:lang w:val="en-US"/>
        </w:rPr>
        <w:t>p</w:t>
      </w:r>
      <w:r w:rsidRPr="00182114">
        <w:rPr>
          <w:sz w:val="20"/>
          <w:lang w:val="en-US"/>
        </w:rPr>
        <w:t>arliamentary committees and expressing their views.</w:t>
      </w:r>
    </w:p>
    <w:p w:rsidR="00A42B3E" w:rsidRDefault="00A42B3E" w:rsidP="00A42B3E">
      <w:pPr>
        <w:ind w:right="31"/>
        <w:jc w:val="both"/>
        <w:rPr>
          <w:sz w:val="20"/>
          <w:lang w:val="en-US"/>
        </w:rPr>
      </w:pPr>
      <w:r w:rsidRPr="00146F67">
        <w:rPr>
          <w:sz w:val="20"/>
          <w:lang w:val="en-US"/>
        </w:rPr>
        <w:t xml:space="preserve">Citizens, especially by </w:t>
      </w:r>
      <w:r>
        <w:rPr>
          <w:sz w:val="20"/>
          <w:lang w:val="en-US"/>
        </w:rPr>
        <w:t xml:space="preserve">submitting </w:t>
      </w:r>
      <w:r w:rsidRPr="00146F67">
        <w:rPr>
          <w:sz w:val="20"/>
          <w:lang w:val="en-US"/>
        </w:rPr>
        <w:t>petition</w:t>
      </w:r>
      <w:r>
        <w:rPr>
          <w:sz w:val="20"/>
          <w:lang w:val="en-US"/>
        </w:rPr>
        <w:t>s to the Committee</w:t>
      </w:r>
      <w:r w:rsidRPr="00146F67">
        <w:rPr>
          <w:sz w:val="20"/>
          <w:lang w:val="en-US"/>
        </w:rPr>
        <w:t xml:space="preserve"> </w:t>
      </w:r>
      <w:r>
        <w:rPr>
          <w:sz w:val="20"/>
          <w:lang w:val="en-US"/>
        </w:rPr>
        <w:t>on</w:t>
      </w:r>
      <w:r w:rsidRPr="00146F67">
        <w:rPr>
          <w:sz w:val="20"/>
          <w:lang w:val="en-US"/>
        </w:rPr>
        <w:t xml:space="preserve"> Petition</w:t>
      </w:r>
      <w:r>
        <w:rPr>
          <w:sz w:val="20"/>
          <w:lang w:val="en-US"/>
        </w:rPr>
        <w:t>s</w:t>
      </w:r>
      <w:r w:rsidRPr="00146F67">
        <w:rPr>
          <w:sz w:val="20"/>
          <w:lang w:val="en-US"/>
        </w:rPr>
        <w:t xml:space="preserve"> and </w:t>
      </w:r>
      <w:r w:rsidRPr="00CA6779">
        <w:rPr>
          <w:sz w:val="20"/>
          <w:szCs w:val="20"/>
          <w:lang w:val="en-US"/>
        </w:rPr>
        <w:t>the Committee on Human Rights Inquiry</w:t>
      </w:r>
      <w:r w:rsidRPr="00146F67">
        <w:rPr>
          <w:sz w:val="20"/>
          <w:lang w:val="en-US"/>
        </w:rPr>
        <w:t>, demand legal regulation on various issues.</w:t>
      </w:r>
      <w:r>
        <w:rPr>
          <w:sz w:val="20"/>
          <w:lang w:val="en-US"/>
        </w:rPr>
        <w:t xml:space="preserve"> Likewise, c</w:t>
      </w:r>
      <w:r w:rsidRPr="00146F67">
        <w:rPr>
          <w:sz w:val="20"/>
          <w:lang w:val="en-US"/>
        </w:rPr>
        <w:t>itizens could submit petitions to the Committee on Equal Opportunities for Women and Men on the grounds of violation and discrimination of the equality between women and men.</w:t>
      </w:r>
    </w:p>
    <w:p w:rsidR="00A42B3E" w:rsidRDefault="00A42B3E" w:rsidP="00A42B3E">
      <w:pPr>
        <w:ind w:right="31"/>
        <w:jc w:val="both"/>
        <w:rPr>
          <w:sz w:val="20"/>
          <w:lang w:val="en-US"/>
        </w:rPr>
      </w:pPr>
    </w:p>
    <w:p w:rsidR="00A42B3E" w:rsidRDefault="00A42B3E" w:rsidP="00A42B3E">
      <w:pPr>
        <w:ind w:right="31"/>
        <w:jc w:val="both"/>
        <w:rPr>
          <w:sz w:val="20"/>
          <w:lang w:val="en-US"/>
        </w:rPr>
      </w:pPr>
      <w:r w:rsidRPr="00A42B3E">
        <w:rPr>
          <w:b/>
          <w:sz w:val="20"/>
          <w:lang w:val="en-US"/>
        </w:rPr>
        <w:t xml:space="preserve">I-30.1 </w:t>
      </w:r>
      <w:r w:rsidRPr="00A42B3E">
        <w:rPr>
          <w:b/>
          <w:sz w:val="20"/>
          <w:lang w:val="en-US"/>
        </w:rPr>
        <w:tab/>
        <w:t xml:space="preserve">Citizen </w:t>
      </w:r>
      <w:proofErr w:type="gramStart"/>
      <w:r w:rsidRPr="00A42B3E">
        <w:rPr>
          <w:b/>
          <w:sz w:val="20"/>
          <w:lang w:val="en-US"/>
        </w:rPr>
        <w:t>participation</w:t>
      </w:r>
      <w:proofErr w:type="gramEnd"/>
      <w:r w:rsidRPr="00A42B3E">
        <w:rPr>
          <w:b/>
          <w:sz w:val="20"/>
          <w:lang w:val="en-US"/>
        </w:rPr>
        <w:t xml:space="preserve"> portal URL</w:t>
      </w:r>
      <w:r>
        <w:rPr>
          <w:sz w:val="20"/>
          <w:lang w:val="en-US"/>
        </w:rPr>
        <w:t>:</w:t>
      </w:r>
    </w:p>
    <w:p w:rsidR="00A42B3E" w:rsidRPr="00A42B3E" w:rsidRDefault="00A42B3E" w:rsidP="00A42B3E">
      <w:pPr>
        <w:pStyle w:val="ListeParagraf"/>
        <w:numPr>
          <w:ilvl w:val="0"/>
          <w:numId w:val="1"/>
        </w:numPr>
        <w:ind w:right="31"/>
        <w:jc w:val="both"/>
        <w:rPr>
          <w:sz w:val="20"/>
          <w:szCs w:val="20"/>
          <w:lang w:val="en-US"/>
        </w:rPr>
      </w:pPr>
      <w:r w:rsidRPr="00A42B3E">
        <w:rPr>
          <w:sz w:val="20"/>
          <w:szCs w:val="20"/>
          <w:lang w:val="en-US"/>
        </w:rPr>
        <w:t>For the Committee on Petitions</w:t>
      </w:r>
    </w:p>
    <w:p w:rsidR="00A42B3E" w:rsidRPr="00CA6779" w:rsidRDefault="00A42B3E" w:rsidP="00C63D15">
      <w:pPr>
        <w:ind w:left="12" w:right="31" w:firstLine="708"/>
        <w:jc w:val="both"/>
        <w:rPr>
          <w:sz w:val="20"/>
          <w:szCs w:val="20"/>
          <w:lang w:val="en-US"/>
        </w:rPr>
      </w:pPr>
      <w:r w:rsidRPr="00BC7CEE">
        <w:rPr>
          <w:rStyle w:val="Kpr"/>
          <w:sz w:val="20"/>
          <w:szCs w:val="20"/>
          <w:lang w:val="en-US"/>
        </w:rPr>
        <w:t>https://www.tbmm.gov.tr/Komisyon/Dilekce-giris</w:t>
      </w:r>
    </w:p>
    <w:p w:rsidR="00A42B3E" w:rsidRPr="00A42B3E" w:rsidRDefault="00A42B3E" w:rsidP="00A42B3E">
      <w:pPr>
        <w:pStyle w:val="ListeParagraf"/>
        <w:numPr>
          <w:ilvl w:val="0"/>
          <w:numId w:val="1"/>
        </w:numPr>
        <w:ind w:right="31"/>
        <w:jc w:val="both"/>
        <w:rPr>
          <w:sz w:val="20"/>
          <w:szCs w:val="20"/>
          <w:lang w:val="en-US"/>
        </w:rPr>
      </w:pPr>
      <w:r w:rsidRPr="00A42B3E">
        <w:rPr>
          <w:sz w:val="20"/>
          <w:szCs w:val="20"/>
          <w:lang w:val="en-US"/>
        </w:rPr>
        <w:t>For the Committee on Equal Opportunities for Women and Men</w:t>
      </w:r>
    </w:p>
    <w:p w:rsidR="00A42B3E" w:rsidRPr="00CA6779" w:rsidRDefault="00C63D15" w:rsidP="00C63D15">
      <w:pPr>
        <w:ind w:right="31" w:firstLine="708"/>
        <w:jc w:val="both"/>
        <w:rPr>
          <w:sz w:val="20"/>
          <w:szCs w:val="20"/>
          <w:lang w:val="en-US"/>
        </w:rPr>
      </w:pPr>
      <w:hyperlink r:id="rId5" w:history="1">
        <w:r w:rsidR="00A42B3E" w:rsidRPr="00CA6779">
          <w:rPr>
            <w:rStyle w:val="Kpr"/>
            <w:sz w:val="20"/>
            <w:szCs w:val="20"/>
            <w:lang w:val="en-US"/>
          </w:rPr>
          <w:t>kefek@tbmm.gov.tr</w:t>
        </w:r>
      </w:hyperlink>
    </w:p>
    <w:p w:rsidR="00A337B2" w:rsidRPr="00A42B3E" w:rsidRDefault="00A42B3E" w:rsidP="00A42B3E">
      <w:pPr>
        <w:pStyle w:val="ListeParagraf"/>
        <w:numPr>
          <w:ilvl w:val="0"/>
          <w:numId w:val="1"/>
        </w:numPr>
        <w:rPr>
          <w:rStyle w:val="Kpr"/>
          <w:sz w:val="20"/>
          <w:szCs w:val="20"/>
        </w:rPr>
      </w:pPr>
      <w:r w:rsidRPr="00A42B3E">
        <w:rPr>
          <w:sz w:val="20"/>
          <w:szCs w:val="20"/>
          <w:lang w:val="en-US"/>
        </w:rPr>
        <w:t xml:space="preserve">For the Committee on Human Rights Inquiry </w:t>
      </w:r>
      <w:hyperlink r:id="rId6" w:history="1">
        <w:r w:rsidRPr="00A42B3E">
          <w:rPr>
            <w:rStyle w:val="Kpr"/>
            <w:sz w:val="20"/>
            <w:szCs w:val="20"/>
          </w:rPr>
          <w:t>https://www.tbmm.gov.tr/ihtisaskomisyonlariinsanhaklari-anasayfa</w:t>
        </w:r>
      </w:hyperlink>
    </w:p>
    <w:p w:rsidR="00A42B3E" w:rsidRDefault="00A42B3E" w:rsidP="00A42B3E">
      <w:pPr>
        <w:rPr>
          <w:rStyle w:val="Kpr"/>
          <w:sz w:val="20"/>
          <w:szCs w:val="20"/>
        </w:rPr>
      </w:pPr>
      <w:bookmarkStart w:id="0" w:name="_GoBack"/>
      <w:bookmarkEnd w:id="0"/>
    </w:p>
    <w:p w:rsidR="006B28D7" w:rsidRDefault="006B28D7" w:rsidP="00A42B3E">
      <w:pPr>
        <w:rPr>
          <w:rStyle w:val="Kpr"/>
          <w:sz w:val="20"/>
          <w:szCs w:val="20"/>
        </w:rPr>
      </w:pPr>
      <w:r w:rsidRPr="00740BD5">
        <w:rPr>
          <w:b/>
          <w:sz w:val="20"/>
          <w:lang w:val="en-US"/>
        </w:rPr>
        <w:t>GOVERNMENT RESPONSIVENESS</w:t>
      </w:r>
    </w:p>
    <w:p w:rsidR="00A42B3E" w:rsidRPr="00A42B3E" w:rsidRDefault="00A42B3E" w:rsidP="00A42B3E">
      <w:pPr>
        <w:ind w:right="27"/>
        <w:jc w:val="both"/>
        <w:rPr>
          <w:b/>
          <w:sz w:val="20"/>
          <w:szCs w:val="20"/>
          <w:lang w:val="en-US"/>
        </w:rPr>
      </w:pPr>
      <w:r w:rsidRPr="00A42B3E">
        <w:rPr>
          <w:b/>
          <w:sz w:val="20"/>
          <w:szCs w:val="20"/>
          <w:lang w:val="en-US"/>
        </w:rPr>
        <w:t xml:space="preserve">I-32.3 </w:t>
      </w:r>
      <w:r w:rsidRPr="00A42B3E">
        <w:rPr>
          <w:b/>
          <w:sz w:val="20"/>
          <w:szCs w:val="20"/>
          <w:lang w:val="en-US"/>
        </w:rPr>
        <w:tab/>
        <w:t>Does the government publish its citizen engagement performance/results</w:t>
      </w:r>
      <w:proofErr w:type="gramStart"/>
      <w:r w:rsidRPr="00A42B3E">
        <w:rPr>
          <w:b/>
          <w:sz w:val="20"/>
          <w:szCs w:val="20"/>
          <w:lang w:val="en-US"/>
        </w:rPr>
        <w:t>?:</w:t>
      </w:r>
      <w:proofErr w:type="gramEnd"/>
    </w:p>
    <w:p w:rsidR="00A42B3E" w:rsidRDefault="00A42B3E" w:rsidP="00A42B3E">
      <w:pPr>
        <w:ind w:right="27"/>
        <w:jc w:val="both"/>
        <w:rPr>
          <w:sz w:val="20"/>
          <w:szCs w:val="20"/>
          <w:lang w:val="en-US"/>
        </w:rPr>
      </w:pPr>
      <w:r w:rsidRPr="005C29DE">
        <w:rPr>
          <w:sz w:val="20"/>
          <w:szCs w:val="20"/>
          <w:lang w:val="en-US"/>
        </w:rPr>
        <w:t>T</w:t>
      </w:r>
      <w:r w:rsidRPr="00C941B9">
        <w:rPr>
          <w:sz w:val="20"/>
          <w:szCs w:val="20"/>
          <w:lang w:val="en-US"/>
        </w:rPr>
        <w:t xml:space="preserve">he </w:t>
      </w:r>
      <w:r>
        <w:rPr>
          <w:sz w:val="20"/>
          <w:szCs w:val="20"/>
          <w:lang w:val="en-US"/>
        </w:rPr>
        <w:t>c</w:t>
      </w:r>
      <w:r w:rsidRPr="00C941B9">
        <w:rPr>
          <w:sz w:val="20"/>
          <w:szCs w:val="20"/>
          <w:lang w:val="en-US"/>
        </w:rPr>
        <w:t>ommittee</w:t>
      </w:r>
      <w:r>
        <w:rPr>
          <w:sz w:val="20"/>
          <w:szCs w:val="20"/>
          <w:lang w:val="en-US"/>
        </w:rPr>
        <w:t>s which receive individual applicants</w:t>
      </w:r>
      <w:r w:rsidRPr="005C29DE">
        <w:rPr>
          <w:sz w:val="20"/>
          <w:szCs w:val="20"/>
          <w:lang w:val="en-US"/>
        </w:rPr>
        <w:t xml:space="preserve"> regularly </w:t>
      </w:r>
      <w:r>
        <w:rPr>
          <w:sz w:val="20"/>
          <w:szCs w:val="20"/>
          <w:lang w:val="en-US"/>
        </w:rPr>
        <w:t>provide</w:t>
      </w:r>
      <w:r w:rsidRPr="005C29DE">
        <w:rPr>
          <w:sz w:val="20"/>
          <w:szCs w:val="20"/>
          <w:lang w:val="en-US"/>
        </w:rPr>
        <w:t xml:space="preserve"> statistics on applications received by them through </w:t>
      </w:r>
      <w:r>
        <w:rPr>
          <w:sz w:val="20"/>
          <w:szCs w:val="20"/>
          <w:lang w:val="en-US"/>
        </w:rPr>
        <w:t xml:space="preserve">legislative activity </w:t>
      </w:r>
      <w:r w:rsidRPr="005C29DE">
        <w:rPr>
          <w:sz w:val="20"/>
          <w:szCs w:val="20"/>
          <w:lang w:val="en-US"/>
        </w:rPr>
        <w:t>reports.</w:t>
      </w:r>
    </w:p>
    <w:p w:rsidR="00A42B3E" w:rsidRDefault="00A42B3E" w:rsidP="00A42B3E">
      <w:pPr>
        <w:ind w:right="27"/>
        <w:jc w:val="both"/>
        <w:rPr>
          <w:sz w:val="20"/>
          <w:szCs w:val="20"/>
          <w:lang w:val="en-US"/>
        </w:rPr>
      </w:pPr>
    </w:p>
    <w:p w:rsidR="00A42B3E" w:rsidRPr="00A42B3E" w:rsidRDefault="00A42B3E" w:rsidP="00A42B3E">
      <w:pPr>
        <w:ind w:right="27"/>
        <w:jc w:val="both"/>
        <w:rPr>
          <w:b/>
          <w:sz w:val="20"/>
          <w:szCs w:val="20"/>
          <w:lang w:val="en-US"/>
        </w:rPr>
      </w:pPr>
      <w:r w:rsidRPr="00A42B3E">
        <w:rPr>
          <w:b/>
          <w:sz w:val="20"/>
          <w:szCs w:val="20"/>
          <w:lang w:val="en-US"/>
        </w:rPr>
        <w:t xml:space="preserve">I-32.4 </w:t>
      </w:r>
      <w:r w:rsidRPr="00A42B3E">
        <w:rPr>
          <w:b/>
          <w:sz w:val="20"/>
          <w:szCs w:val="20"/>
          <w:lang w:val="en-US"/>
        </w:rPr>
        <w:tab/>
        <w:t>Any government initiative to improve the representation of vulnerable groups?</w:t>
      </w:r>
    </w:p>
    <w:p w:rsidR="00A42B3E" w:rsidRDefault="00A42B3E" w:rsidP="006B28D7">
      <w:pPr>
        <w:spacing w:after="100"/>
        <w:ind w:right="27"/>
        <w:jc w:val="both"/>
      </w:pPr>
      <w:r w:rsidRPr="005C29DE">
        <w:rPr>
          <w:sz w:val="20"/>
          <w:szCs w:val="20"/>
          <w:lang w:val="en-US"/>
        </w:rPr>
        <w:t>T</w:t>
      </w:r>
      <w:r w:rsidRPr="00C941B9">
        <w:rPr>
          <w:sz w:val="20"/>
          <w:szCs w:val="20"/>
          <w:lang w:val="en-US"/>
        </w:rPr>
        <w:t xml:space="preserve">he </w:t>
      </w:r>
      <w:r>
        <w:rPr>
          <w:sz w:val="20"/>
          <w:szCs w:val="20"/>
          <w:lang w:val="en-US"/>
        </w:rPr>
        <w:t>c</w:t>
      </w:r>
      <w:r w:rsidRPr="00C941B9">
        <w:rPr>
          <w:sz w:val="20"/>
          <w:szCs w:val="20"/>
          <w:lang w:val="en-US"/>
        </w:rPr>
        <w:t>ommittee</w:t>
      </w:r>
      <w:r>
        <w:rPr>
          <w:sz w:val="20"/>
          <w:szCs w:val="20"/>
          <w:lang w:val="en-US"/>
        </w:rPr>
        <w:t>s which receive individual applicants</w:t>
      </w:r>
      <w:r w:rsidRPr="005C29DE">
        <w:rPr>
          <w:sz w:val="20"/>
          <w:szCs w:val="20"/>
          <w:lang w:val="en-US"/>
        </w:rPr>
        <w:t xml:space="preserve"> </w:t>
      </w:r>
      <w:r w:rsidRPr="005138F1">
        <w:rPr>
          <w:sz w:val="20"/>
          <w:szCs w:val="20"/>
          <w:lang w:val="en-US"/>
        </w:rPr>
        <w:t>may open an inquiry on any subject upon the application, or by its own initiative. The</w:t>
      </w:r>
      <w:r>
        <w:rPr>
          <w:sz w:val="20"/>
          <w:szCs w:val="20"/>
          <w:lang w:val="en-US"/>
        </w:rPr>
        <w:t>y</w:t>
      </w:r>
      <w:r w:rsidRPr="005138F1">
        <w:rPr>
          <w:sz w:val="20"/>
          <w:szCs w:val="20"/>
          <w:lang w:val="en-US"/>
        </w:rPr>
        <w:t xml:space="preserve"> may conduct its inquiry by sub-committees when necessity arises.</w:t>
      </w:r>
    </w:p>
    <w:sectPr w:rsidR="00A4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71FD9"/>
    <w:multiLevelType w:val="hybridMultilevel"/>
    <w:tmpl w:val="130E6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3E"/>
    <w:rsid w:val="003B0A77"/>
    <w:rsid w:val="00613B77"/>
    <w:rsid w:val="006B28D7"/>
    <w:rsid w:val="00A40FC6"/>
    <w:rsid w:val="00A42B3E"/>
    <w:rsid w:val="00C63D15"/>
    <w:rsid w:val="00CB0FE6"/>
    <w:rsid w:val="00E2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AE08-3664-4CDD-8193-899DCFDE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3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2B3E"/>
    <w:rPr>
      <w:color w:val="0000FF"/>
      <w:u w:val="single"/>
    </w:rPr>
  </w:style>
  <w:style w:type="paragraph" w:styleId="ListeParagraf">
    <w:name w:val="List Paragraph"/>
    <w:basedOn w:val="Normal"/>
    <w:uiPriority w:val="34"/>
    <w:qFormat/>
    <w:rsid w:val="00A4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bmm.gov.tr/ihtisaskomisyonlariinsanhaklari-anasayfa" TargetMode="External"/><Relationship Id="rId5" Type="http://schemas.openxmlformats.org/officeDocument/2006/relationships/hyperlink" Target="mailto:kefek@tbmm.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Mürüvvet ÜNAL BAYRAM</dc:creator>
  <cp:keywords/>
  <dc:description/>
  <cp:lastModifiedBy>Mürüvvet ÜNAL BAYRAM</cp:lastModifiedBy>
  <cp:revision>3</cp:revision>
  <dcterms:created xsi:type="dcterms:W3CDTF">2022-04-28T11:47:00Z</dcterms:created>
  <dcterms:modified xsi:type="dcterms:W3CDTF">2022-04-29T12:20:00Z</dcterms:modified>
</cp:coreProperties>
</file>