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DBEB" w14:textId="3A71A482" w:rsidR="002557CF" w:rsidRDefault="002557CF" w:rsidP="002557CF">
      <w:pPr>
        <w:jc w:val="center"/>
        <w:rPr>
          <w:b/>
          <w:bCs/>
        </w:rPr>
      </w:pPr>
      <w:r>
        <w:rPr>
          <w:b/>
          <w:bCs/>
        </w:rPr>
        <w:t>TIP</w:t>
      </w:r>
      <w:r w:rsidR="00195C0E">
        <w:rPr>
          <w:b/>
          <w:bCs/>
        </w:rPr>
        <w:t xml:space="preserve"> </w:t>
      </w:r>
      <w:r>
        <w:rPr>
          <w:b/>
          <w:bCs/>
        </w:rPr>
        <w:t>SHEET</w:t>
      </w:r>
      <w:r w:rsidRPr="00D93926">
        <w:rPr>
          <w:b/>
          <w:bCs/>
        </w:rPr>
        <w:t xml:space="preserve"> ON </w:t>
      </w:r>
      <w:r w:rsidR="0014035D">
        <w:rPr>
          <w:b/>
          <w:bCs/>
        </w:rPr>
        <w:t xml:space="preserve">HOW TO PREPARE SEPS ACCORDING TO </w:t>
      </w:r>
      <w:r w:rsidR="009F113C">
        <w:rPr>
          <w:b/>
          <w:bCs/>
        </w:rPr>
        <w:t xml:space="preserve">RISK </w:t>
      </w:r>
      <w:r w:rsidR="0014035D">
        <w:rPr>
          <w:b/>
          <w:bCs/>
        </w:rPr>
        <w:t>LEVELS</w:t>
      </w:r>
    </w:p>
    <w:p w14:paraId="443C1BDB" w14:textId="5918D987" w:rsidR="00CC4B12" w:rsidRDefault="00CC4B12" w:rsidP="002557CF">
      <w:pPr>
        <w:jc w:val="center"/>
        <w:rPr>
          <w:b/>
          <w:bCs/>
        </w:rPr>
      </w:pPr>
      <w:r w:rsidRPr="0014035D">
        <w:rPr>
          <w:b/>
          <w:bCs/>
        </w:rPr>
        <w:t>Environment and Social Standard 10: Stakeholder Engagement and Information Disclosure</w:t>
      </w:r>
    </w:p>
    <w:p w14:paraId="0782A4E1" w14:textId="7B82ABF2" w:rsidR="0014035D" w:rsidRPr="00D93926" w:rsidRDefault="00195C0E" w:rsidP="002557CF">
      <w:pPr>
        <w:jc w:val="center"/>
        <w:rPr>
          <w:b/>
          <w:bCs/>
        </w:rPr>
      </w:pPr>
      <w:r>
        <w:rPr>
          <w:b/>
          <w:bCs/>
        </w:rPr>
        <w:t xml:space="preserve">November </w:t>
      </w:r>
      <w:r w:rsidR="0005108D">
        <w:rPr>
          <w:b/>
          <w:bCs/>
        </w:rPr>
        <w:t>2023</w:t>
      </w:r>
    </w:p>
    <w:p w14:paraId="78BE9425" w14:textId="53DDC0B1" w:rsidR="002557CF" w:rsidRDefault="002557CF" w:rsidP="002557CF">
      <w:pPr>
        <w:jc w:val="center"/>
      </w:pPr>
    </w:p>
    <w:p w14:paraId="77F1796F" w14:textId="6778FA25" w:rsidR="0014035D" w:rsidRPr="0014035D" w:rsidRDefault="000A1525" w:rsidP="004F7859">
      <w:pPr>
        <w:jc w:val="both"/>
        <w:rPr>
          <w:b/>
          <w:bCs/>
        </w:rPr>
      </w:pPr>
      <w:r>
        <w:t>ESS10 emphasizes the importance of open and transparent engagement between the Borrower and stakeholders.  In consultation with the Bank, the Borrower will develop a Stakeholder Engagement Plan (SEP) proportionate to the nature and scale of the project and its potential risks and impacts.</w:t>
      </w:r>
      <w:r w:rsidR="0014035D">
        <w:t xml:space="preserve"> The SEP will set out how communications with stakeholders including project affected people will be handled throughout project preparation and implementation. </w:t>
      </w:r>
    </w:p>
    <w:p w14:paraId="24991C7C" w14:textId="1F65981A" w:rsidR="002F34F9" w:rsidRDefault="002A0123" w:rsidP="004F7859">
      <w:pPr>
        <w:jc w:val="both"/>
      </w:pPr>
      <w:r>
        <w:t xml:space="preserve">Whether or not to </w:t>
      </w:r>
      <w:r w:rsidR="008C472F">
        <w:t xml:space="preserve">prepare a stand-alone SEP depends upon </w:t>
      </w:r>
      <w:r w:rsidR="00202B0E">
        <w:t>the nature</w:t>
      </w:r>
      <w:r w:rsidR="005E0E44">
        <w:t>, scope</w:t>
      </w:r>
      <w:r w:rsidR="00202B0E">
        <w:t xml:space="preserve"> and scale of the project and its potential risks and impacts.</w:t>
      </w:r>
      <w:r w:rsidR="001275F0">
        <w:t xml:space="preserve"> </w:t>
      </w:r>
    </w:p>
    <w:p w14:paraId="4F42FA92" w14:textId="62A68E74" w:rsidR="005104F9" w:rsidRDefault="001275F0" w:rsidP="004F7859">
      <w:pPr>
        <w:pStyle w:val="ListParagraph"/>
        <w:numPr>
          <w:ilvl w:val="0"/>
          <w:numId w:val="3"/>
        </w:numPr>
        <w:jc w:val="both"/>
      </w:pPr>
      <w:r w:rsidRPr="00BB392C">
        <w:rPr>
          <w:b/>
          <w:bCs/>
        </w:rPr>
        <w:t>For High and Substantial Risk Projects</w:t>
      </w:r>
      <w:r>
        <w:t xml:space="preserve"> where</w:t>
      </w:r>
      <w:r w:rsidR="00514711">
        <w:t xml:space="preserve"> E&amp;S risks may be more complex and therefore the </w:t>
      </w:r>
      <w:r w:rsidR="00973474">
        <w:t xml:space="preserve">stakeholder engagement process </w:t>
      </w:r>
      <w:r w:rsidR="00BB392C">
        <w:t>could</w:t>
      </w:r>
      <w:r w:rsidR="00973474">
        <w:t xml:space="preserve"> be more involved</w:t>
      </w:r>
      <w:r w:rsidR="00514711">
        <w:t xml:space="preserve">, it may be appropriate to prepare a </w:t>
      </w:r>
      <w:r w:rsidR="00C81B37">
        <w:t xml:space="preserve">stand-alone SEP that </w:t>
      </w:r>
      <w:r w:rsidR="00D71F39">
        <w:t xml:space="preserve">describes in </w:t>
      </w:r>
      <w:r w:rsidR="00BB392C">
        <w:t>greater</w:t>
      </w:r>
      <w:r w:rsidR="00D71F39">
        <w:t xml:space="preserve"> detail the </w:t>
      </w:r>
      <w:r w:rsidR="005D65EB">
        <w:t>stakeholder anal</w:t>
      </w:r>
      <w:r w:rsidR="00E43101">
        <w:t xml:space="preserve">ysis, the consultation process and </w:t>
      </w:r>
      <w:r w:rsidR="000522C8">
        <w:t xml:space="preserve">feedback received.  </w:t>
      </w:r>
      <w:r w:rsidR="00D5285E">
        <w:t>For ex</w:t>
      </w:r>
      <w:r w:rsidR="00A309F8">
        <w:t xml:space="preserve">ample, </w:t>
      </w:r>
      <w:r w:rsidR="008472C9">
        <w:t xml:space="preserve">in </w:t>
      </w:r>
      <w:proofErr w:type="gramStart"/>
      <w:r w:rsidR="001541F0">
        <w:t>high risk</w:t>
      </w:r>
      <w:proofErr w:type="gramEnd"/>
      <w:r w:rsidR="001541F0">
        <w:t xml:space="preserve"> </w:t>
      </w:r>
      <w:r w:rsidR="002A1F6D">
        <w:t>operations where there may be different types of stakeholders</w:t>
      </w:r>
      <w:r w:rsidR="00723E1B">
        <w:t xml:space="preserve"> in multiple sites</w:t>
      </w:r>
      <w:r w:rsidR="001541F0">
        <w:t>, a stand-alone SEP is likely needed</w:t>
      </w:r>
      <w:r w:rsidR="00DE076D">
        <w:t>.  Also</w:t>
      </w:r>
      <w:r w:rsidR="00B121A9">
        <w:t>,</w:t>
      </w:r>
      <w:r w:rsidR="00DE076D">
        <w:t xml:space="preserve"> </w:t>
      </w:r>
      <w:r w:rsidR="00A309F8">
        <w:t xml:space="preserve">there may be country contexts </w:t>
      </w:r>
      <w:r w:rsidR="003074BD">
        <w:t>such as in Fragile, Conflict and Violence (FCV) c</w:t>
      </w:r>
      <w:r w:rsidR="00B121A9">
        <w:t>ircumstances</w:t>
      </w:r>
      <w:r w:rsidR="003074BD">
        <w:t xml:space="preserve"> </w:t>
      </w:r>
      <w:r w:rsidR="00A309F8">
        <w:t xml:space="preserve">where consultations </w:t>
      </w:r>
      <w:r w:rsidR="003074BD">
        <w:t xml:space="preserve">and access </w:t>
      </w:r>
      <w:r w:rsidR="00A309F8">
        <w:t xml:space="preserve">are difficult and </w:t>
      </w:r>
      <w:r w:rsidR="00DF6E4B">
        <w:t>special prov</w:t>
      </w:r>
      <w:r w:rsidR="003074BD">
        <w:t xml:space="preserve">isions need to be made to </w:t>
      </w:r>
      <w:r w:rsidR="00FC332C">
        <w:t>ensure meaningful</w:t>
      </w:r>
      <w:r w:rsidR="00BF3F0E">
        <w:t xml:space="preserve"> consultations from a variety of actors.  </w:t>
      </w:r>
      <w:r w:rsidR="00753647" w:rsidRPr="00753647">
        <w:t>A SEP should be clear and concise (</w:t>
      </w:r>
      <w:r w:rsidR="00DD4683">
        <w:t xml:space="preserve">maximum of 40 pages </w:t>
      </w:r>
      <w:r w:rsidR="007D651F">
        <w:t>is recommended</w:t>
      </w:r>
      <w:r w:rsidR="00753647" w:rsidRPr="00753647">
        <w:t>). It should include all key information on stakeholder engagement and public disclosure of information relevant to the project.</w:t>
      </w:r>
    </w:p>
    <w:p w14:paraId="4AA2E844" w14:textId="77777777" w:rsidR="00D5285E" w:rsidRDefault="00D5285E" w:rsidP="004F7859">
      <w:pPr>
        <w:pStyle w:val="ListParagraph"/>
        <w:ind w:left="360"/>
        <w:jc w:val="both"/>
      </w:pPr>
    </w:p>
    <w:p w14:paraId="4C4EC647" w14:textId="5125DBD2" w:rsidR="0014035D" w:rsidRDefault="00B652F1" w:rsidP="004F7859">
      <w:pPr>
        <w:pStyle w:val="ListParagraph"/>
        <w:numPr>
          <w:ilvl w:val="0"/>
          <w:numId w:val="3"/>
        </w:numPr>
        <w:jc w:val="both"/>
      </w:pPr>
      <w:r w:rsidRPr="00BB392C">
        <w:rPr>
          <w:b/>
          <w:bCs/>
        </w:rPr>
        <w:t xml:space="preserve">For </w:t>
      </w:r>
      <w:r w:rsidR="00297D85" w:rsidRPr="00BB392C">
        <w:rPr>
          <w:b/>
          <w:bCs/>
        </w:rPr>
        <w:t>Moderate Risk Projects</w:t>
      </w:r>
      <w:r w:rsidR="004F25D1">
        <w:t xml:space="preserve">, </w:t>
      </w:r>
      <w:r w:rsidR="00BB392C">
        <w:t>whereby E&amp;S risks may be less complex</w:t>
      </w:r>
      <w:r w:rsidR="0014035D">
        <w:t xml:space="preserve"> than High </w:t>
      </w:r>
      <w:r w:rsidR="00195C0E">
        <w:t xml:space="preserve">or Substantial </w:t>
      </w:r>
      <w:r w:rsidR="0014035D">
        <w:t>Risk projects</w:t>
      </w:r>
      <w:r w:rsidR="00BB392C">
        <w:t xml:space="preserve">, </w:t>
      </w:r>
      <w:r w:rsidR="004F25D1">
        <w:t>the simplified SEP template may be used</w:t>
      </w:r>
      <w:r w:rsidR="00BB392C">
        <w:t>. Again, a SEP should be clear and concise (not more than 20 pages</w:t>
      </w:r>
      <w:r w:rsidR="00844D53">
        <w:t xml:space="preserve"> including annex</w:t>
      </w:r>
      <w:r w:rsidR="00BB392C">
        <w:t xml:space="preserve">). </w:t>
      </w:r>
    </w:p>
    <w:p w14:paraId="05197261" w14:textId="77777777" w:rsidR="0014035D" w:rsidRPr="0014035D" w:rsidRDefault="0014035D" w:rsidP="004F7859">
      <w:pPr>
        <w:pStyle w:val="ListParagraph"/>
        <w:jc w:val="both"/>
        <w:rPr>
          <w:b/>
          <w:bCs/>
        </w:rPr>
      </w:pPr>
    </w:p>
    <w:p w14:paraId="54D22B6A" w14:textId="7D14F293" w:rsidR="005104F9" w:rsidRPr="0014035D" w:rsidRDefault="00523DBD" w:rsidP="004F7859">
      <w:pPr>
        <w:pStyle w:val="ListParagraph"/>
        <w:numPr>
          <w:ilvl w:val="0"/>
          <w:numId w:val="3"/>
        </w:numPr>
        <w:jc w:val="both"/>
      </w:pPr>
      <w:r w:rsidRPr="0014035D">
        <w:rPr>
          <w:b/>
          <w:bCs/>
        </w:rPr>
        <w:t xml:space="preserve">For </w:t>
      </w:r>
      <w:proofErr w:type="gramStart"/>
      <w:r w:rsidR="005104F9" w:rsidRPr="0014035D">
        <w:rPr>
          <w:b/>
          <w:bCs/>
        </w:rPr>
        <w:t>Low Risk</w:t>
      </w:r>
      <w:proofErr w:type="gramEnd"/>
      <w:r w:rsidR="005104F9" w:rsidRPr="0014035D">
        <w:rPr>
          <w:b/>
          <w:bCs/>
        </w:rPr>
        <w:t xml:space="preserve"> Projects</w:t>
      </w:r>
    </w:p>
    <w:p w14:paraId="42463E1C" w14:textId="3BB095D2" w:rsidR="002557CF" w:rsidRDefault="002557CF" w:rsidP="004F7859">
      <w:pPr>
        <w:pStyle w:val="ListParagraph"/>
        <w:numPr>
          <w:ilvl w:val="0"/>
          <w:numId w:val="2"/>
        </w:numPr>
        <w:jc w:val="both"/>
      </w:pPr>
      <w:r>
        <w:t>Footnote 3 in paragraph 13 of ESS10 states: “</w:t>
      </w:r>
      <w:r w:rsidRPr="00A27368">
        <w:rPr>
          <w:i/>
          <w:iCs/>
        </w:rPr>
        <w:t xml:space="preserve">Depending on the nature and the scale of the risks and impacts of the project, the elements of a SEP may be included as part of the </w:t>
      </w:r>
      <w:r w:rsidR="00CA3E53" w:rsidRPr="00A27368">
        <w:rPr>
          <w:i/>
          <w:iCs/>
        </w:rPr>
        <w:t>ESCP,</w:t>
      </w:r>
      <w:r w:rsidRPr="00A27368">
        <w:rPr>
          <w:i/>
          <w:iCs/>
        </w:rPr>
        <w:t xml:space="preserve"> and preparation of a stand-alone SEP may not be necessary.</w:t>
      </w:r>
      <w:r>
        <w:t xml:space="preserve">”  </w:t>
      </w:r>
    </w:p>
    <w:p w14:paraId="10656265" w14:textId="77777777" w:rsidR="00C72FF9" w:rsidRPr="00C72FF9" w:rsidRDefault="00C72FF9" w:rsidP="004F7859">
      <w:pPr>
        <w:pStyle w:val="ListParagraph"/>
        <w:jc w:val="both"/>
      </w:pPr>
    </w:p>
    <w:p w14:paraId="4A92824A" w14:textId="7BF52557" w:rsidR="002A2857" w:rsidRDefault="002557CF" w:rsidP="004F7859">
      <w:pPr>
        <w:pStyle w:val="ListParagraph"/>
        <w:numPr>
          <w:ilvl w:val="0"/>
          <w:numId w:val="2"/>
        </w:numPr>
        <w:jc w:val="both"/>
      </w:pPr>
      <w:r w:rsidRPr="00A61641">
        <w:rPr>
          <w:b/>
          <w:bCs/>
        </w:rPr>
        <w:t xml:space="preserve">Examples of SEPs being incorporated into ESCPs:  </w:t>
      </w:r>
      <w:r>
        <w:t xml:space="preserve">Generally, SEPs can be incorporated into ESCPs </w:t>
      </w:r>
      <w:r w:rsidR="00914F5E">
        <w:t>in projects</w:t>
      </w:r>
      <w:r w:rsidR="00FB6664">
        <w:t xml:space="preserve"> with </w:t>
      </w:r>
      <w:r>
        <w:t>low environmental and social risks</w:t>
      </w:r>
      <w:r w:rsidR="000173C7">
        <w:t xml:space="preserve">. </w:t>
      </w:r>
      <w:r w:rsidR="005F41BB">
        <w:t>A description of stakeholder engagement</w:t>
      </w:r>
      <w:r w:rsidR="006A6299">
        <w:t xml:space="preserve">, </w:t>
      </w:r>
      <w:r w:rsidR="006C763B">
        <w:t xml:space="preserve">information disclosure </w:t>
      </w:r>
      <w:r w:rsidR="006A6299">
        <w:t xml:space="preserve">and </w:t>
      </w:r>
      <w:r w:rsidR="004F7859">
        <w:t xml:space="preserve">the </w:t>
      </w:r>
      <w:r w:rsidR="006A6299">
        <w:t xml:space="preserve">grievance </w:t>
      </w:r>
      <w:r w:rsidR="00C45E30">
        <w:t>mechanism</w:t>
      </w:r>
      <w:r w:rsidR="006A6299">
        <w:t xml:space="preserve"> </w:t>
      </w:r>
      <w:r w:rsidR="009C431B">
        <w:t xml:space="preserve">can </w:t>
      </w:r>
      <w:r w:rsidR="006C763B">
        <w:t xml:space="preserve">be included in the ESS10 section of the ESCP. </w:t>
      </w:r>
      <w:r w:rsidR="00D12AE3">
        <w:t>See example</w:t>
      </w:r>
      <w:r w:rsidR="004F7859">
        <w:t>s</w:t>
      </w:r>
      <w:r w:rsidR="00D12AE3">
        <w:t xml:space="preserve">:  </w:t>
      </w:r>
      <w:hyperlink r:id="rId7" w:history="1">
        <w:r w:rsidR="00EA536C" w:rsidRPr="00EA536C">
          <w:rPr>
            <w:rStyle w:val="Hyperlink"/>
          </w:rPr>
          <w:t>P174707</w:t>
        </w:r>
      </w:hyperlink>
      <w:r w:rsidR="002A2857">
        <w:t xml:space="preserve">  and </w:t>
      </w:r>
      <w:hyperlink r:id="rId8" w:history="1">
        <w:r w:rsidR="002A2857" w:rsidRPr="002A2857">
          <w:rPr>
            <w:rStyle w:val="Hyperlink"/>
          </w:rPr>
          <w:t>P174564</w:t>
        </w:r>
      </w:hyperlink>
    </w:p>
    <w:p w14:paraId="719D3FC6" w14:textId="77777777" w:rsidR="002A2857" w:rsidRDefault="002A2857" w:rsidP="004F7859">
      <w:pPr>
        <w:pStyle w:val="ListParagraph"/>
        <w:jc w:val="both"/>
      </w:pPr>
    </w:p>
    <w:p w14:paraId="2096FBE2" w14:textId="3B086D56" w:rsidR="002557CF" w:rsidRDefault="006C763B" w:rsidP="004F7859">
      <w:pPr>
        <w:pStyle w:val="ListParagraph"/>
        <w:numPr>
          <w:ilvl w:val="0"/>
          <w:numId w:val="2"/>
        </w:numPr>
        <w:jc w:val="both"/>
      </w:pPr>
      <w:r>
        <w:t xml:space="preserve"> </w:t>
      </w:r>
      <w:r w:rsidR="002557CF">
        <w:t xml:space="preserve">Examples of such </w:t>
      </w:r>
      <w:proofErr w:type="gramStart"/>
      <w:r w:rsidR="007C139B">
        <w:t>low risk</w:t>
      </w:r>
      <w:proofErr w:type="gramEnd"/>
      <w:r w:rsidR="007C139B">
        <w:t xml:space="preserve"> projects </w:t>
      </w:r>
      <w:r w:rsidR="002557CF">
        <w:t>may include but are not limited to:</w:t>
      </w:r>
    </w:p>
    <w:p w14:paraId="5B49CC44" w14:textId="264A2A62" w:rsidR="002557CF" w:rsidRDefault="002557CF" w:rsidP="004F7859">
      <w:pPr>
        <w:pStyle w:val="ListParagraph"/>
        <w:numPr>
          <w:ilvl w:val="0"/>
          <w:numId w:val="1"/>
        </w:numPr>
        <w:ind w:left="1080"/>
        <w:jc w:val="both"/>
      </w:pPr>
      <w:r>
        <w:t xml:space="preserve">Small Recipient-Executed Trust Fund (RE) operations primarily related to studies and capacity </w:t>
      </w:r>
      <w:proofErr w:type="gramStart"/>
      <w:r>
        <w:t>building</w:t>
      </w:r>
      <w:proofErr w:type="gramEnd"/>
      <w:r>
        <w:t xml:space="preserve"> </w:t>
      </w:r>
    </w:p>
    <w:p w14:paraId="392E2B43" w14:textId="77777777" w:rsidR="002557CF" w:rsidRDefault="002557CF" w:rsidP="004F7859">
      <w:pPr>
        <w:pStyle w:val="ListParagraph"/>
        <w:numPr>
          <w:ilvl w:val="0"/>
          <w:numId w:val="1"/>
        </w:numPr>
        <w:ind w:left="1080"/>
        <w:jc w:val="both"/>
      </w:pPr>
      <w:r>
        <w:t xml:space="preserve">Financial or credit </w:t>
      </w:r>
      <w:proofErr w:type="gramStart"/>
      <w:r>
        <w:t>guarantees</w:t>
      </w:r>
      <w:proofErr w:type="gramEnd"/>
    </w:p>
    <w:p w14:paraId="3B3E8C05" w14:textId="77777777" w:rsidR="002557CF" w:rsidRDefault="002557CF" w:rsidP="004F7859">
      <w:pPr>
        <w:pStyle w:val="ListParagraph"/>
        <w:numPr>
          <w:ilvl w:val="0"/>
          <w:numId w:val="1"/>
        </w:numPr>
        <w:ind w:left="1080"/>
        <w:jc w:val="both"/>
      </w:pPr>
      <w:r>
        <w:t>IT systems, e-government support</w:t>
      </w:r>
    </w:p>
    <w:p w14:paraId="698E7E1F" w14:textId="77777777" w:rsidR="002557CF" w:rsidRDefault="002557CF" w:rsidP="004F7859">
      <w:pPr>
        <w:pStyle w:val="ListParagraph"/>
        <w:numPr>
          <w:ilvl w:val="0"/>
          <w:numId w:val="1"/>
        </w:numPr>
        <w:ind w:left="1080"/>
        <w:jc w:val="both"/>
      </w:pPr>
      <w:r>
        <w:lastRenderedPageBreak/>
        <w:t xml:space="preserve">Public administration reform programs </w:t>
      </w:r>
    </w:p>
    <w:p w14:paraId="25AD1780" w14:textId="77777777" w:rsidR="00C01277" w:rsidRPr="005F2718" w:rsidRDefault="002557CF" w:rsidP="004F7859">
      <w:pPr>
        <w:pStyle w:val="ListParagraph"/>
        <w:numPr>
          <w:ilvl w:val="0"/>
          <w:numId w:val="4"/>
        </w:numPr>
        <w:spacing w:line="252" w:lineRule="auto"/>
        <w:ind w:left="1080"/>
        <w:jc w:val="both"/>
        <w:rPr>
          <w:rFonts w:eastAsia="Times New Roman"/>
        </w:rPr>
      </w:pPr>
      <w:r>
        <w:t xml:space="preserve">Strengthening education </w:t>
      </w:r>
      <w:r w:rsidRPr="005F2718">
        <w:t>systems</w:t>
      </w:r>
      <w:r w:rsidR="00C01277" w:rsidRPr="005F2718">
        <w:t xml:space="preserve"> </w:t>
      </w:r>
      <w:r w:rsidR="00C01277" w:rsidRPr="005F2718">
        <w:rPr>
          <w:rFonts w:eastAsia="Times New Roman"/>
        </w:rPr>
        <w:t>(where new training materials, hiring and training of teachers, or building or refurbishment of schools are not involved)</w:t>
      </w:r>
    </w:p>
    <w:p w14:paraId="20F8B36D" w14:textId="6C11DF25" w:rsidR="002557CF" w:rsidRPr="005F2718" w:rsidRDefault="002557CF" w:rsidP="004F7859">
      <w:pPr>
        <w:pStyle w:val="ListParagraph"/>
        <w:numPr>
          <w:ilvl w:val="0"/>
          <w:numId w:val="1"/>
        </w:numPr>
        <w:ind w:left="1080"/>
        <w:jc w:val="both"/>
      </w:pPr>
      <w:r w:rsidRPr="005F2718">
        <w:t>Monitoring and evaluation capacity building projects</w:t>
      </w:r>
    </w:p>
    <w:p w14:paraId="0C57F9AE" w14:textId="77777777" w:rsidR="00C01277" w:rsidRPr="005F2718" w:rsidRDefault="00C01277" w:rsidP="004F7859">
      <w:pPr>
        <w:pStyle w:val="ListParagraph"/>
        <w:numPr>
          <w:ilvl w:val="0"/>
          <w:numId w:val="1"/>
        </w:numPr>
        <w:spacing w:line="252" w:lineRule="auto"/>
        <w:ind w:left="1080"/>
        <w:jc w:val="both"/>
        <w:rPr>
          <w:rFonts w:eastAsia="Times New Roman"/>
        </w:rPr>
      </w:pPr>
      <w:r w:rsidRPr="005F2718">
        <w:rPr>
          <w:rFonts w:eastAsia="Times New Roman"/>
        </w:rPr>
        <w:t>Certain types of technical assistance</w:t>
      </w:r>
    </w:p>
    <w:p w14:paraId="26124056" w14:textId="77777777" w:rsidR="00C01277" w:rsidRPr="005F2718" w:rsidRDefault="00C01277" w:rsidP="004F7859">
      <w:pPr>
        <w:pStyle w:val="ListParagraph"/>
        <w:numPr>
          <w:ilvl w:val="0"/>
          <w:numId w:val="1"/>
        </w:numPr>
        <w:spacing w:line="252" w:lineRule="auto"/>
        <w:ind w:left="1080"/>
        <w:jc w:val="both"/>
        <w:rPr>
          <w:rFonts w:eastAsia="Times New Roman"/>
        </w:rPr>
      </w:pPr>
      <w:r w:rsidRPr="005F2718">
        <w:rPr>
          <w:rFonts w:eastAsia="Times New Roman"/>
        </w:rPr>
        <w:t>Certain types of Project Preparation Assistance (PPA)</w:t>
      </w:r>
    </w:p>
    <w:p w14:paraId="00082ECC" w14:textId="371DB1C6" w:rsidR="002557CF" w:rsidRDefault="00FF6589" w:rsidP="004F7859">
      <w:pPr>
        <w:pStyle w:val="ListParagraph"/>
        <w:numPr>
          <w:ilvl w:val="0"/>
          <w:numId w:val="1"/>
        </w:numPr>
        <w:ind w:left="1080"/>
        <w:jc w:val="both"/>
      </w:pPr>
      <w:r w:rsidRPr="005F2718">
        <w:t xml:space="preserve">Projects with no or limited direct beneficiaries. </w:t>
      </w:r>
    </w:p>
    <w:sectPr w:rsidR="00255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E563" w14:textId="77777777" w:rsidR="00830EEF" w:rsidRDefault="00830EEF" w:rsidP="002557CF">
      <w:pPr>
        <w:spacing w:after="0" w:line="240" w:lineRule="auto"/>
      </w:pPr>
      <w:r>
        <w:separator/>
      </w:r>
    </w:p>
  </w:endnote>
  <w:endnote w:type="continuationSeparator" w:id="0">
    <w:p w14:paraId="35B8C0CA" w14:textId="77777777" w:rsidR="00830EEF" w:rsidRDefault="00830EEF" w:rsidP="0025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3FDA8" w14:textId="77777777" w:rsidR="00830EEF" w:rsidRDefault="00830EEF" w:rsidP="002557CF">
      <w:pPr>
        <w:spacing w:after="0" w:line="240" w:lineRule="auto"/>
      </w:pPr>
      <w:r>
        <w:separator/>
      </w:r>
    </w:p>
  </w:footnote>
  <w:footnote w:type="continuationSeparator" w:id="0">
    <w:p w14:paraId="702336FF" w14:textId="77777777" w:rsidR="00830EEF" w:rsidRDefault="00830EEF" w:rsidP="00255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B55F6"/>
    <w:multiLevelType w:val="hybridMultilevel"/>
    <w:tmpl w:val="FE300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174CC1"/>
    <w:multiLevelType w:val="hybridMultilevel"/>
    <w:tmpl w:val="9A26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228DB"/>
    <w:multiLevelType w:val="hybridMultilevel"/>
    <w:tmpl w:val="FB2A2D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037935">
    <w:abstractNumId w:val="1"/>
  </w:num>
  <w:num w:numId="2" w16cid:durableId="159928747">
    <w:abstractNumId w:val="2"/>
  </w:num>
  <w:num w:numId="3" w16cid:durableId="948968837">
    <w:abstractNumId w:val="0"/>
  </w:num>
  <w:num w:numId="4" w16cid:durableId="1786847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CF"/>
    <w:rsid w:val="000173C7"/>
    <w:rsid w:val="00047931"/>
    <w:rsid w:val="0005108D"/>
    <w:rsid w:val="000522C8"/>
    <w:rsid w:val="000A1525"/>
    <w:rsid w:val="001275F0"/>
    <w:rsid w:val="0014035D"/>
    <w:rsid w:val="001541F0"/>
    <w:rsid w:val="00195C0E"/>
    <w:rsid w:val="001D256C"/>
    <w:rsid w:val="00202B0E"/>
    <w:rsid w:val="00207059"/>
    <w:rsid w:val="002557CF"/>
    <w:rsid w:val="00297D85"/>
    <w:rsid w:val="002A0123"/>
    <w:rsid w:val="002A04B0"/>
    <w:rsid w:val="002A056B"/>
    <w:rsid w:val="002A1F6D"/>
    <w:rsid w:val="002A2857"/>
    <w:rsid w:val="002C033E"/>
    <w:rsid w:val="002D166F"/>
    <w:rsid w:val="002F34F9"/>
    <w:rsid w:val="003074BD"/>
    <w:rsid w:val="00331957"/>
    <w:rsid w:val="00425BD0"/>
    <w:rsid w:val="004610B1"/>
    <w:rsid w:val="004F25D1"/>
    <w:rsid w:val="004F7859"/>
    <w:rsid w:val="005104F9"/>
    <w:rsid w:val="00514711"/>
    <w:rsid w:val="00523DBD"/>
    <w:rsid w:val="005243C3"/>
    <w:rsid w:val="00573F06"/>
    <w:rsid w:val="005C2829"/>
    <w:rsid w:val="005D65EB"/>
    <w:rsid w:val="005E0E44"/>
    <w:rsid w:val="005F2718"/>
    <w:rsid w:val="005F41BB"/>
    <w:rsid w:val="00671C17"/>
    <w:rsid w:val="006A55C2"/>
    <w:rsid w:val="006A6299"/>
    <w:rsid w:val="006C763B"/>
    <w:rsid w:val="00723E1B"/>
    <w:rsid w:val="00724D04"/>
    <w:rsid w:val="00753647"/>
    <w:rsid w:val="00762B4D"/>
    <w:rsid w:val="007C139B"/>
    <w:rsid w:val="007D651F"/>
    <w:rsid w:val="00830EEF"/>
    <w:rsid w:val="00844D53"/>
    <w:rsid w:val="008472C9"/>
    <w:rsid w:val="00873A1E"/>
    <w:rsid w:val="008C472F"/>
    <w:rsid w:val="00914F5E"/>
    <w:rsid w:val="00955CEA"/>
    <w:rsid w:val="00973474"/>
    <w:rsid w:val="009A15C5"/>
    <w:rsid w:val="009B6137"/>
    <w:rsid w:val="009C431B"/>
    <w:rsid w:val="009D60D2"/>
    <w:rsid w:val="009E3BD1"/>
    <w:rsid w:val="009F113C"/>
    <w:rsid w:val="00A309F8"/>
    <w:rsid w:val="00A51F29"/>
    <w:rsid w:val="00A61641"/>
    <w:rsid w:val="00A7039F"/>
    <w:rsid w:val="00AA6921"/>
    <w:rsid w:val="00B121A9"/>
    <w:rsid w:val="00B32FC0"/>
    <w:rsid w:val="00B652F1"/>
    <w:rsid w:val="00B808CA"/>
    <w:rsid w:val="00BB392C"/>
    <w:rsid w:val="00BF3D8D"/>
    <w:rsid w:val="00BF3F0E"/>
    <w:rsid w:val="00C01277"/>
    <w:rsid w:val="00C14B77"/>
    <w:rsid w:val="00C45E30"/>
    <w:rsid w:val="00C72FF9"/>
    <w:rsid w:val="00C81B37"/>
    <w:rsid w:val="00CA3E53"/>
    <w:rsid w:val="00CC4B12"/>
    <w:rsid w:val="00D013D1"/>
    <w:rsid w:val="00D12AE3"/>
    <w:rsid w:val="00D2326E"/>
    <w:rsid w:val="00D5285E"/>
    <w:rsid w:val="00D71F39"/>
    <w:rsid w:val="00D927B9"/>
    <w:rsid w:val="00DD4683"/>
    <w:rsid w:val="00DE076D"/>
    <w:rsid w:val="00DF06AE"/>
    <w:rsid w:val="00DF6E4B"/>
    <w:rsid w:val="00E15820"/>
    <w:rsid w:val="00E4043E"/>
    <w:rsid w:val="00E4069D"/>
    <w:rsid w:val="00E43101"/>
    <w:rsid w:val="00EA536C"/>
    <w:rsid w:val="00EC5CEA"/>
    <w:rsid w:val="00EE208A"/>
    <w:rsid w:val="00EE21DB"/>
    <w:rsid w:val="00EF7FED"/>
    <w:rsid w:val="00FB6664"/>
    <w:rsid w:val="00FC0860"/>
    <w:rsid w:val="00FC332C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93960"/>
  <w15:chartTrackingRefBased/>
  <w15:docId w15:val="{8318AFF5-6066-4DD3-9A05-0597FE10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7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1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5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15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s1.worldbank.org/curated/en/102351623838827502/pdf/Environmental-and-Social-Commitment-Plan-ESCP-West-Bengal-Building-State-Capability-for-Inclusive-Social-Protection-PforR-P17456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uments1.worldbank.org/curated/en/383871624411115754/pdf/Environmental-and-Social-Commitment-Plan-ESCP-Promoting-an-Efficient-Education-System-in-Haiti-P1747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OPSES</dc:creator>
  <cp:keywords/>
  <dc:description/>
  <cp:lastModifiedBy>Caroline Van Kampen</cp:lastModifiedBy>
  <cp:revision>3</cp:revision>
  <dcterms:created xsi:type="dcterms:W3CDTF">2023-12-01T14:23:00Z</dcterms:created>
  <dcterms:modified xsi:type="dcterms:W3CDTF">2023-12-01T14:23:00Z</dcterms:modified>
</cp:coreProperties>
</file>