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7CE" w:rsidRDefault="00EE47CE" w:rsidP="00EE47CE">
      <w:pPr>
        <w:pStyle w:val="NormalWeb"/>
        <w:rPr>
          <w:rFonts w:ascii="Tahoma" w:hAnsi="Tahoma" w:cs="Tahoma"/>
          <w:color w:val="000000"/>
          <w:sz w:val="18"/>
          <w:szCs w:val="18"/>
        </w:rPr>
      </w:pPr>
      <w:r>
        <w:rPr>
          <w:rFonts w:ascii="Tahoma" w:hAnsi="Tahoma" w:cs="Tahoma"/>
          <w:i/>
          <w:iCs/>
          <w:color w:val="000000"/>
          <w:sz w:val="18"/>
          <w:szCs w:val="18"/>
        </w:rPr>
        <w:t>a. Sarajevo Canton | b. Emirate of Dubai | c. State of New South Wales | d. Commonwealth of Virginia</w:t>
      </w:r>
    </w:p>
    <w:p w:rsidR="00EE47CE" w:rsidRDefault="00EE47CE" w:rsidP="00EE47CE">
      <w:pPr>
        <w:pStyle w:val="NormalWeb"/>
        <w:rPr>
          <w:rFonts w:ascii="Tahoma" w:hAnsi="Tahoma" w:cs="Tahoma"/>
          <w:color w:val="000000"/>
          <w:sz w:val="18"/>
          <w:szCs w:val="18"/>
        </w:rPr>
      </w:pPr>
      <w:r>
        <w:rPr>
          <w:rFonts w:ascii="Tahoma" w:hAnsi="Tahoma" w:cs="Tahoma"/>
          <w:i/>
          <w:iCs/>
          <w:color w:val="000000"/>
          <w:sz w:val="18"/>
          <w:szCs w:val="18"/>
        </w:rPr>
        <w:t>Note: Procuring Infrastructure PPPs 2018 uses the World Bank Group regional and income group classifications, available </w:t>
      </w:r>
      <w:hyperlink r:id="rId4" w:history="1">
        <w:r>
          <w:rPr>
            <w:rStyle w:val="Hyperlink"/>
            <w:rFonts w:ascii="Tahoma" w:hAnsi="Tahoma" w:cs="Tahoma"/>
            <w:i/>
            <w:iCs/>
            <w:sz w:val="18"/>
            <w:szCs w:val="18"/>
          </w:rPr>
          <w:t>here</w:t>
        </w:r>
      </w:hyperlink>
      <w:r>
        <w:rPr>
          <w:rFonts w:ascii="Tahoma" w:hAnsi="Tahoma" w:cs="Tahoma"/>
          <w:i/>
          <w:iCs/>
          <w:color w:val="000000"/>
          <w:sz w:val="18"/>
          <w:szCs w:val="18"/>
        </w:rPr>
        <w:t>. Regional averages presented in figures and tables in the Procuring Infrastructure PPPs 2018 report include economies from all income groups (low, lower-middle, upper-middle, and high-income), though high-income OECD economies are assigned the “regional” classification OECD high-</w:t>
      </w:r>
      <w:proofErr w:type="spellStart"/>
      <w:proofErr w:type="gramStart"/>
      <w:r>
        <w:rPr>
          <w:rFonts w:ascii="Tahoma" w:hAnsi="Tahoma" w:cs="Tahoma"/>
          <w:i/>
          <w:iCs/>
          <w:color w:val="000000"/>
          <w:sz w:val="18"/>
          <w:szCs w:val="18"/>
        </w:rPr>
        <w:t>income.The</w:t>
      </w:r>
      <w:proofErr w:type="spellEnd"/>
      <w:proofErr w:type="gramEnd"/>
      <w:r>
        <w:rPr>
          <w:rFonts w:ascii="Tahoma" w:hAnsi="Tahoma" w:cs="Tahoma"/>
          <w:i/>
          <w:iCs/>
          <w:color w:val="000000"/>
          <w:sz w:val="18"/>
          <w:szCs w:val="18"/>
        </w:rPr>
        <w:t xml:space="preserve"> scope of the assessment is limited to infrastructure projects developed by procuring authorities at the national or federal level. However, in the cases of Australia, Bosnia and Herzegovina, United Arab Emirates, and the United States, the focus is on subnational units (the State of New South Wales, the Sarajevo Canton within the Federation of Bosnia and Herzegovina, the Emirate of Dubai, and the Commonwealth of Virginia, respectively). PPP = public-private partnership.</w:t>
      </w:r>
    </w:p>
    <w:p w:rsidR="00052F20" w:rsidRDefault="00052F20">
      <w:bookmarkStart w:id="0" w:name="_GoBack"/>
      <w:bookmarkEnd w:id="0"/>
    </w:p>
    <w:sectPr w:rsidR="00052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CE"/>
    <w:rsid w:val="00052F20"/>
    <w:rsid w:val="004A27E7"/>
    <w:rsid w:val="005B7A5C"/>
    <w:rsid w:val="00EE4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C3346-C2B0-44A6-AB31-931AEBB4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47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47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48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ata.worldbank.org/about/country-and-lending-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Nasser Alreshaid</dc:creator>
  <cp:keywords/>
  <dc:description/>
  <cp:lastModifiedBy>Nasser Alreshaid</cp:lastModifiedBy>
  <cp:revision>1</cp:revision>
  <dcterms:created xsi:type="dcterms:W3CDTF">2018-03-30T21:08:00Z</dcterms:created>
  <dcterms:modified xsi:type="dcterms:W3CDTF">2018-03-30T21:09:00Z</dcterms:modified>
</cp:coreProperties>
</file>