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4C42" w14:textId="77777777" w:rsidR="00A002EC" w:rsidRDefault="005828C4" w:rsidP="00BC7045">
      <w:pPr>
        <w:spacing w:before="75"/>
        <w:ind w:left="3665" w:right="3632"/>
        <w:rPr>
          <w:rFonts w:ascii="Arial"/>
          <w:b/>
          <w:sz w:val="20"/>
        </w:rPr>
      </w:pPr>
      <w:r>
        <w:rPr>
          <w:rFonts w:ascii="Arial"/>
          <w:b/>
          <w:sz w:val="20"/>
        </w:rPr>
        <w:t>The World Bank</w:t>
      </w:r>
    </w:p>
    <w:p w14:paraId="0E256548" w14:textId="77777777" w:rsidR="00A002EC" w:rsidRDefault="005828C4" w:rsidP="00BC7045">
      <w:pPr>
        <w:spacing w:before="3"/>
        <w:ind w:left="3614" w:right="3632"/>
        <w:rPr>
          <w:rFonts w:ascii="Arial"/>
          <w:sz w:val="12"/>
        </w:rPr>
      </w:pPr>
      <w:r>
        <w:rPr>
          <w:rFonts w:ascii="Arial"/>
          <w:sz w:val="12"/>
        </w:rPr>
        <w:t>Washington, D.C. 20433 U.S.A.</w:t>
      </w:r>
    </w:p>
    <w:p w14:paraId="4BAB44CF" w14:textId="77777777" w:rsidR="00A002EC" w:rsidRDefault="00A002EC" w:rsidP="00BC7045">
      <w:pPr>
        <w:pStyle w:val="BodyText"/>
        <w:spacing w:before="8"/>
        <w:rPr>
          <w:rFonts w:ascii="Arial"/>
          <w:sz w:val="15"/>
        </w:rPr>
      </w:pPr>
    </w:p>
    <w:p w14:paraId="0DC33A89" w14:textId="77777777" w:rsidR="001C2848" w:rsidRDefault="005828C4" w:rsidP="00BC7045">
      <w:pPr>
        <w:pStyle w:val="BodyText"/>
        <w:spacing w:before="90" w:line="480" w:lineRule="auto"/>
        <w:ind w:right="40"/>
      </w:pPr>
      <w:r>
        <w:t xml:space="preserve">[Date] </w:t>
      </w:r>
    </w:p>
    <w:p w14:paraId="047BA83F" w14:textId="5A01D293" w:rsidR="00A002EC" w:rsidRDefault="005828C4" w:rsidP="00BC7045">
      <w:pPr>
        <w:pStyle w:val="BodyText"/>
        <w:spacing w:before="90" w:line="480" w:lineRule="auto"/>
        <w:ind w:right="40"/>
      </w:pPr>
      <w:r>
        <w:t xml:space="preserve">Dear </w:t>
      </w:r>
      <w:proofErr w:type="gramStart"/>
      <w:r>
        <w:t xml:space="preserve">[ </w:t>
      </w:r>
      <w:r w:rsidR="00652784">
        <w:t xml:space="preserve"> </w:t>
      </w:r>
      <w:r>
        <w:t>]</w:t>
      </w:r>
      <w:proofErr w:type="gramEnd"/>
      <w:r>
        <w:t>:</w:t>
      </w:r>
    </w:p>
    <w:p w14:paraId="16F233B5" w14:textId="5B68AEAC" w:rsidR="00A002EC" w:rsidRDefault="005828C4" w:rsidP="00BC7045">
      <w:pPr>
        <w:pStyle w:val="BodyText"/>
        <w:ind w:right="40"/>
      </w:pPr>
      <w:r>
        <w:t>Re: [Country] – [</w:t>
      </w:r>
      <w:r w:rsidR="00652784">
        <w:t>P</w:t>
      </w:r>
      <w:r>
        <w:t xml:space="preserve">roject </w:t>
      </w:r>
      <w:r w:rsidR="00652784">
        <w:t>N</w:t>
      </w:r>
      <w:r>
        <w:t>ame]</w:t>
      </w:r>
    </w:p>
    <w:p w14:paraId="4611942E" w14:textId="5FF3EEC0" w:rsidR="00A002EC" w:rsidRDefault="00A002EC" w:rsidP="00BC7045">
      <w:pPr>
        <w:pStyle w:val="BodyText"/>
        <w:spacing w:before="5"/>
        <w:ind w:right="40"/>
        <w:rPr>
          <w:sz w:val="22"/>
        </w:rPr>
      </w:pPr>
    </w:p>
    <w:p w14:paraId="2B6E754A" w14:textId="28D9BB6A" w:rsidR="00A002EC" w:rsidRDefault="005828C4" w:rsidP="00BC7045">
      <w:pPr>
        <w:pStyle w:val="Heading1"/>
        <w:ind w:left="0" w:right="40"/>
        <w:jc w:val="left"/>
      </w:pPr>
      <w:r>
        <w:t xml:space="preserve">Financial </w:t>
      </w:r>
      <w:r w:rsidR="001C2848">
        <w:t xml:space="preserve">Terms and Conditions of the </w:t>
      </w:r>
      <w:r>
        <w:t xml:space="preserve">IBRD Flexible Loan </w:t>
      </w:r>
      <w:r w:rsidR="001C2848">
        <w:t>(</w:t>
      </w:r>
      <w:r>
        <w:t>IFL</w:t>
      </w:r>
      <w:r w:rsidR="001C2848">
        <w:t>)</w:t>
      </w:r>
    </w:p>
    <w:p w14:paraId="479663C9" w14:textId="77777777" w:rsidR="00A002EC" w:rsidRDefault="00A002EC" w:rsidP="00BC7045">
      <w:pPr>
        <w:pStyle w:val="BodyText"/>
        <w:spacing w:before="7"/>
        <w:ind w:right="40"/>
        <w:rPr>
          <w:b/>
          <w:sz w:val="23"/>
        </w:rPr>
      </w:pPr>
    </w:p>
    <w:p w14:paraId="6F7EEFEE" w14:textId="71B222B1" w:rsidR="00A002EC" w:rsidRDefault="005828C4" w:rsidP="00BC7045">
      <w:pPr>
        <w:pStyle w:val="BodyText"/>
        <w:ind w:right="40"/>
      </w:pPr>
      <w:r>
        <w:t xml:space="preserve">The International Bank for Reconstruction and Development (IBRD) offers </w:t>
      </w:r>
      <w:r w:rsidR="00377A1D">
        <w:t>b</w:t>
      </w:r>
      <w:r>
        <w:t>orrowers the opportunity to tailor the IFL’s financial terms to meet sovereign debt management and/or project financing needs. Borrowers can select the following financial terms: currency, interest rate</w:t>
      </w:r>
      <w:r w:rsidR="00BC2171">
        <w:t>, disbursement schedule,</w:t>
      </w:r>
      <w:r>
        <w:t xml:space="preserve"> and repayment terms. To best meet your portfolio and/or project needs, IBRD encourages you to consider loan term choices as early as possible during project preparation. This letter provides a summarized description of the loan term choices currently available for the above referenced</w:t>
      </w:r>
      <w:r>
        <w:rPr>
          <w:spacing w:val="-2"/>
        </w:rPr>
        <w:t xml:space="preserve"> </w:t>
      </w:r>
      <w:r>
        <w:t>project.</w:t>
      </w:r>
    </w:p>
    <w:p w14:paraId="73C77C76" w14:textId="77777777" w:rsidR="00A002EC" w:rsidRDefault="00A002EC" w:rsidP="00BC7045">
      <w:pPr>
        <w:pStyle w:val="BodyText"/>
        <w:spacing w:before="5"/>
        <w:ind w:right="40"/>
      </w:pPr>
    </w:p>
    <w:p w14:paraId="46FEB693" w14:textId="21AF285F" w:rsidR="00A002EC" w:rsidRDefault="007918E6" w:rsidP="00BC7045">
      <w:pPr>
        <w:pStyle w:val="Heading1"/>
        <w:spacing w:after="120"/>
        <w:ind w:left="0" w:right="43"/>
        <w:jc w:val="left"/>
      </w:pPr>
      <w:r>
        <w:t>Lending Rate</w:t>
      </w:r>
      <w:r w:rsidR="001C2848">
        <w:t xml:space="preserve"> </w:t>
      </w:r>
    </w:p>
    <w:p w14:paraId="29D08AB0" w14:textId="483E927D" w:rsidR="00317E9A" w:rsidRDefault="00575BFD" w:rsidP="00BC7045">
      <w:pPr>
        <w:pStyle w:val="BodyText"/>
        <w:spacing w:before="120"/>
        <w:ind w:right="43"/>
      </w:pPr>
      <w:r>
        <w:t>The l</w:t>
      </w:r>
      <w:r w:rsidR="007918E6" w:rsidRPr="007918E6">
        <w:t xml:space="preserve">ending rate consists of a variable reference rate plus a variable spread. The lending rate is reset on each interest payment date and applies to interest periods beginning on those dates. </w:t>
      </w:r>
    </w:p>
    <w:p w14:paraId="6B8690AD" w14:textId="7E7AF3DD" w:rsidR="00A002EC" w:rsidRDefault="007918E6" w:rsidP="00BC7045">
      <w:pPr>
        <w:pStyle w:val="BodyText"/>
        <w:spacing w:before="120"/>
        <w:ind w:right="43"/>
      </w:pPr>
      <w:r w:rsidRPr="007918E6">
        <w:t>The reference rate is the value of the applicable market rate for a six</w:t>
      </w:r>
      <w:r w:rsidR="00BC2171">
        <w:t>-</w:t>
      </w:r>
      <w:r w:rsidRPr="007918E6">
        <w:t>month interest rate period (SOFR for USD, TONA for JPY, SONIA for GBP, and EURIBOR for EUR)</w:t>
      </w:r>
      <w:r w:rsidR="00377A1D">
        <w:t>.</w:t>
      </w:r>
    </w:p>
    <w:p w14:paraId="1DBD955B" w14:textId="744C56A4" w:rsidR="004006F6" w:rsidRDefault="009E0FFE" w:rsidP="00BC7045">
      <w:pPr>
        <w:pStyle w:val="BodyText"/>
        <w:spacing w:before="120"/>
        <w:ind w:right="43"/>
      </w:pPr>
      <w:r w:rsidRPr="009E0FFE">
        <w:t xml:space="preserve">The </w:t>
      </w:r>
      <w:r w:rsidR="00317E9A">
        <w:t>v</w:t>
      </w:r>
      <w:r w:rsidRPr="009E0FFE">
        <w:t>ariable spread</w:t>
      </w:r>
      <w:r w:rsidR="00317E9A">
        <w:t xml:space="preserve"> </w:t>
      </w:r>
      <w:r w:rsidR="00793977">
        <w:t>c</w:t>
      </w:r>
      <w:r w:rsidRPr="009E0FFE">
        <w:t>onsists of IBRD's average cost margin on related funding relative to the applicable reference rate plus IBRD’s contractual spread of 0.50% and a maturity premium for loans with average maturities greater than eight years.</w:t>
      </w:r>
      <w:r w:rsidR="00C71B42">
        <w:t xml:space="preserve"> It</w:t>
      </w:r>
      <w:r w:rsidRPr="009E0FFE">
        <w:t xml:space="preserve"> </w:t>
      </w:r>
      <w:r w:rsidR="00C71B42" w:rsidRPr="009E0FFE">
        <w:t>resets semi-annually</w:t>
      </w:r>
      <w:r w:rsidR="008E4BE7">
        <w:t xml:space="preserve">, </w:t>
      </w:r>
      <w:r w:rsidR="00EF6F7E">
        <w:t>is</w:t>
      </w:r>
      <w:r w:rsidR="001455A4">
        <w:t xml:space="preserve"> </w:t>
      </w:r>
      <w:r w:rsidRPr="009E0FFE">
        <w:t xml:space="preserve">recalculated on a quarterly </w:t>
      </w:r>
      <w:proofErr w:type="gramStart"/>
      <w:r w:rsidRPr="009E0FFE">
        <w:t>basis</w:t>
      </w:r>
      <w:proofErr w:type="gramEnd"/>
      <w:r w:rsidRPr="009E0FFE">
        <w:t xml:space="preserve"> and applies to the interest period commencing on the interest payment date falling on, or immediately following the recalculation date, but falling prior to the next recalculation date.</w:t>
      </w:r>
    </w:p>
    <w:p w14:paraId="7A194F34" w14:textId="77777777" w:rsidR="009E0FFE" w:rsidRDefault="009E0FFE" w:rsidP="00BC7045">
      <w:pPr>
        <w:pStyle w:val="Heading1"/>
        <w:spacing w:after="120"/>
        <w:ind w:left="0" w:right="43"/>
        <w:jc w:val="left"/>
      </w:pPr>
    </w:p>
    <w:p w14:paraId="3A3A1C48" w14:textId="558568FB" w:rsidR="004006F6" w:rsidRDefault="004006F6" w:rsidP="00BC7045">
      <w:pPr>
        <w:pStyle w:val="Heading1"/>
        <w:spacing w:after="120"/>
        <w:ind w:left="0" w:right="43"/>
        <w:jc w:val="left"/>
      </w:pPr>
      <w:r>
        <w:t>Repayment Terms</w:t>
      </w:r>
    </w:p>
    <w:p w14:paraId="78864CF3" w14:textId="77777777" w:rsidR="004006F6" w:rsidRPr="0070668E" w:rsidRDefault="004006F6" w:rsidP="00BC7045">
      <w:pPr>
        <w:pStyle w:val="Paragraph"/>
        <w:spacing w:after="240"/>
        <w:jc w:val="left"/>
      </w:pPr>
      <w:r w:rsidRPr="00A61C41">
        <w:rPr>
          <w:rFonts w:ascii="Times New Roman" w:hAnsi="Times New Roman" w:cs="Times New Roman"/>
          <w:sz w:val="24"/>
          <w:szCs w:val="24"/>
        </w:rPr>
        <w:t xml:space="preserve">The final maturity including </w:t>
      </w:r>
      <w:r>
        <w:rPr>
          <w:rFonts w:ascii="Times New Roman" w:hAnsi="Times New Roman" w:cs="Times New Roman"/>
          <w:sz w:val="24"/>
          <w:szCs w:val="24"/>
        </w:rPr>
        <w:t xml:space="preserve">the </w:t>
      </w:r>
      <w:r w:rsidRPr="00A61C41">
        <w:rPr>
          <w:rFonts w:ascii="Times New Roman" w:hAnsi="Times New Roman" w:cs="Times New Roman"/>
          <w:sz w:val="24"/>
          <w:szCs w:val="24"/>
        </w:rPr>
        <w:t>grace period, cannot exceed 35 years. Two types of repayment schedules are available:</w:t>
      </w:r>
    </w:p>
    <w:p w14:paraId="534308F4" w14:textId="77777777" w:rsidR="004006F6" w:rsidRPr="002F0B52" w:rsidRDefault="004006F6" w:rsidP="00BC7045">
      <w:pPr>
        <w:pStyle w:val="ListParagraph"/>
        <w:numPr>
          <w:ilvl w:val="0"/>
          <w:numId w:val="2"/>
        </w:numPr>
        <w:tabs>
          <w:tab w:val="left" w:pos="821"/>
        </w:tabs>
        <w:spacing w:line="237" w:lineRule="auto"/>
        <w:ind w:right="40"/>
        <w:jc w:val="left"/>
        <w:rPr>
          <w:sz w:val="24"/>
        </w:rPr>
      </w:pPr>
      <w:r w:rsidRPr="002F0B52">
        <w:rPr>
          <w:i/>
          <w:sz w:val="24"/>
        </w:rPr>
        <w:t xml:space="preserve">Repayment schedules linked to commitment </w:t>
      </w:r>
      <w:r w:rsidRPr="002F0B52">
        <w:rPr>
          <w:sz w:val="24"/>
        </w:rPr>
        <w:t>- The loan repayment schedule is linked to the timing of loan commitment. Principal repayments are calculated as a share of the total loan amount disbursed and</w:t>
      </w:r>
      <w:r w:rsidRPr="002F0B52">
        <w:rPr>
          <w:spacing w:val="-4"/>
          <w:sz w:val="24"/>
        </w:rPr>
        <w:t xml:space="preserve"> </w:t>
      </w:r>
      <w:r w:rsidRPr="002F0B52">
        <w:rPr>
          <w:sz w:val="24"/>
        </w:rPr>
        <w:t>outstanding.</w:t>
      </w:r>
    </w:p>
    <w:p w14:paraId="4DBB4A16" w14:textId="3103C774" w:rsidR="004006F6" w:rsidRPr="004A1510" w:rsidRDefault="004006F6" w:rsidP="00BC7045">
      <w:pPr>
        <w:pStyle w:val="ListParagraph"/>
        <w:numPr>
          <w:ilvl w:val="0"/>
          <w:numId w:val="2"/>
        </w:numPr>
        <w:tabs>
          <w:tab w:val="left" w:pos="821"/>
        </w:tabs>
        <w:spacing w:before="5"/>
        <w:ind w:right="40"/>
        <w:jc w:val="left"/>
      </w:pPr>
      <w:r w:rsidRPr="002F0B52">
        <w:rPr>
          <w:i/>
          <w:sz w:val="24"/>
        </w:rPr>
        <w:t xml:space="preserve">Repayment schedules linked to disbursement </w:t>
      </w:r>
      <w:r w:rsidRPr="002F0B52">
        <w:rPr>
          <w:sz w:val="24"/>
        </w:rPr>
        <w:t xml:space="preserve">- The loan repayment schedule is linked to </w:t>
      </w:r>
      <w:r w:rsidRPr="0070668E">
        <w:rPr>
          <w:sz w:val="24"/>
          <w:szCs w:val="24"/>
        </w:rPr>
        <w:t>actual disbursements. Each semester’s group of disbursements is treated as a separate tranche with its own repayment terms (</w:t>
      </w:r>
      <w:proofErr w:type="gramStart"/>
      <w:r w:rsidRPr="0070668E">
        <w:rPr>
          <w:sz w:val="24"/>
          <w:szCs w:val="24"/>
        </w:rPr>
        <w:t>i.e.</w:t>
      </w:r>
      <w:proofErr w:type="gramEnd"/>
      <w:r w:rsidRPr="0070668E">
        <w:rPr>
          <w:sz w:val="24"/>
          <w:szCs w:val="24"/>
        </w:rPr>
        <w:t xml:space="preserve"> grace period, final maturity, and amortization profile),</w:t>
      </w:r>
      <w:r w:rsidR="00DB48DB">
        <w:rPr>
          <w:sz w:val="24"/>
          <w:szCs w:val="24"/>
        </w:rPr>
        <w:t xml:space="preserve"> </w:t>
      </w:r>
      <w:r w:rsidRPr="0070668E">
        <w:rPr>
          <w:sz w:val="24"/>
          <w:szCs w:val="24"/>
        </w:rPr>
        <w:t>and must be the same for all tranches within the loan.</w:t>
      </w:r>
      <w:r w:rsidRPr="00A61C41">
        <w:rPr>
          <w:sz w:val="24"/>
          <w:szCs w:val="24"/>
        </w:rPr>
        <w:t xml:space="preserve"> Generally, </w:t>
      </w:r>
      <w:r>
        <w:rPr>
          <w:sz w:val="24"/>
          <w:szCs w:val="24"/>
        </w:rPr>
        <w:t xml:space="preserve">it </w:t>
      </w:r>
      <w:r w:rsidR="00DB48DB">
        <w:rPr>
          <w:sz w:val="24"/>
          <w:szCs w:val="24"/>
        </w:rPr>
        <w:t>is suitable</w:t>
      </w:r>
      <w:r w:rsidRPr="00A61C41">
        <w:rPr>
          <w:sz w:val="24"/>
          <w:szCs w:val="24"/>
        </w:rPr>
        <w:t xml:space="preserve"> for large investment projects or other</w:t>
      </w:r>
      <w:r w:rsidR="00DB48DB">
        <w:rPr>
          <w:sz w:val="24"/>
          <w:szCs w:val="24"/>
        </w:rPr>
        <w:t xml:space="preserve"> projects</w:t>
      </w:r>
      <w:r w:rsidRPr="00A61C41">
        <w:rPr>
          <w:sz w:val="24"/>
          <w:szCs w:val="24"/>
        </w:rPr>
        <w:t xml:space="preserve"> involving on-lending.</w:t>
      </w:r>
    </w:p>
    <w:p w14:paraId="0CCC6B21" w14:textId="6FBE3910" w:rsidR="004006F6" w:rsidRDefault="004006F6" w:rsidP="00BC7045">
      <w:pPr>
        <w:pStyle w:val="BodyText"/>
        <w:ind w:right="40"/>
        <w:rPr>
          <w:sz w:val="25"/>
        </w:rPr>
      </w:pPr>
      <w:r>
        <w:rPr>
          <w:sz w:val="25"/>
        </w:rPr>
        <w:t>______________________________</w:t>
      </w:r>
    </w:p>
    <w:p w14:paraId="19367FE5" w14:textId="77777777" w:rsidR="004006F6" w:rsidRDefault="004006F6" w:rsidP="00BC7045">
      <w:pPr>
        <w:spacing w:before="36" w:line="244" w:lineRule="auto"/>
        <w:ind w:right="40"/>
        <w:rPr>
          <w:sz w:val="20"/>
        </w:rPr>
      </w:pPr>
      <w:r>
        <w:rPr>
          <w:sz w:val="20"/>
        </w:rPr>
        <w:t xml:space="preserve">*For the Deferred Drawdown Option (DDO), the spread applicable to each withdrawal is IBRD’s spread for the loan currency of the withdrawal in effect at 12:01 am Washington DC time, on the </w:t>
      </w:r>
      <w:r>
        <w:rPr>
          <w:i/>
          <w:sz w:val="20"/>
        </w:rPr>
        <w:t>withdrawal date</w:t>
      </w:r>
      <w:r>
        <w:rPr>
          <w:sz w:val="20"/>
        </w:rPr>
        <w:t>.</w:t>
      </w:r>
    </w:p>
    <w:p w14:paraId="47BCE9AE" w14:textId="2ECF66A9" w:rsidR="00A002EC" w:rsidRDefault="005828C4" w:rsidP="00BC7045">
      <w:pPr>
        <w:pStyle w:val="BodyText"/>
        <w:ind w:right="40"/>
        <w:rPr>
          <w:sz w:val="20"/>
        </w:rPr>
      </w:pPr>
      <w:r>
        <w:rPr>
          <w:noProof/>
        </w:rPr>
        <mc:AlternateContent>
          <mc:Choice Requires="wps">
            <w:drawing>
              <wp:anchor distT="0" distB="0" distL="0" distR="0" simplePos="0" relativeHeight="251659776" behindDoc="1" locked="0" layoutInCell="1" allowOverlap="1" wp14:anchorId="3B13AA14" wp14:editId="73A1CE66">
                <wp:simplePos x="0" y="0"/>
                <wp:positionH relativeFrom="page">
                  <wp:posOffset>1143000</wp:posOffset>
                </wp:positionH>
                <wp:positionV relativeFrom="paragraph">
                  <wp:posOffset>212725</wp:posOffset>
                </wp:positionV>
                <wp:extent cx="1829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D9C4" id="Freeform 2" o:spid="_x0000_s1026" style="position:absolute;margin-left:90pt;margin-top:16.75pt;width:144.0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" path="m,l2881,e" filled="f" strokeweight=".72pt">
                <v:path arrowok="t" o:connecttype="custom" o:connectlocs="0,0;1829435,0" o:connectangles="0,0"/>
                <w10:wrap type="topAndBottom" anchorx="page"/>
              </v:shape>
            </w:pict>
          </mc:Fallback>
        </mc:AlternateContent>
      </w:r>
    </w:p>
    <w:p w14:paraId="355D8816" w14:textId="77777777" w:rsidR="00A002EC" w:rsidRDefault="00A002EC" w:rsidP="00BC7045">
      <w:pPr>
        <w:spacing w:line="244" w:lineRule="auto"/>
        <w:ind w:right="40"/>
        <w:rPr>
          <w:sz w:val="20"/>
        </w:rPr>
        <w:sectPr w:rsidR="00A002EC" w:rsidSect="005159FF">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584" w:bottom="1152" w:left="1584" w:header="720" w:footer="1066" w:gutter="0"/>
          <w:pgNumType w:start="1"/>
          <w:cols w:space="720"/>
        </w:sectPr>
      </w:pPr>
    </w:p>
    <w:p w14:paraId="4EEF2BEF" w14:textId="066AC34D" w:rsidR="00C877FB" w:rsidRDefault="000E778E" w:rsidP="00BC7045">
      <w:pPr>
        <w:pStyle w:val="Heading1"/>
        <w:spacing w:after="120"/>
        <w:ind w:left="0" w:right="43"/>
        <w:jc w:val="left"/>
      </w:pPr>
      <w:r w:rsidRPr="000E778E">
        <w:lastRenderedPageBreak/>
        <w:t>Amortization Profile</w:t>
      </w:r>
    </w:p>
    <w:p w14:paraId="135398EE" w14:textId="59E9D530" w:rsidR="004A1510" w:rsidRDefault="004A1510" w:rsidP="00BC7045">
      <w:pPr>
        <w:pStyle w:val="BodyText"/>
        <w:spacing w:before="2"/>
        <w:ind w:right="40"/>
      </w:pPr>
      <w:r>
        <w:t xml:space="preserve">Borrowers may choose a grace period and an amortization profile that best suits the needs of the project and/or </w:t>
      </w:r>
      <w:proofErr w:type="gramStart"/>
      <w:r>
        <w:t>portfolio, and</w:t>
      </w:r>
      <w:proofErr w:type="gramEnd"/>
      <w:r>
        <w:t xml:space="preserve"> meets IBRD’s average maturity limit of 20 years and final maturity limit of 35 years.</w:t>
      </w:r>
      <w:r w:rsidR="000268F6">
        <w:t xml:space="preserve"> Four types of amortization schedule are available:</w:t>
      </w:r>
    </w:p>
    <w:p w14:paraId="370A54B3" w14:textId="14D0ED2C" w:rsidR="00A002EC" w:rsidRDefault="00A002EC" w:rsidP="00BC7045">
      <w:pPr>
        <w:pStyle w:val="BodyText"/>
        <w:spacing w:before="2"/>
        <w:ind w:right="40"/>
      </w:pPr>
    </w:p>
    <w:p w14:paraId="7332AFC2" w14:textId="21755DA3" w:rsidR="000E778E" w:rsidRDefault="000E778E" w:rsidP="00BC7045">
      <w:pPr>
        <w:pStyle w:val="BodyText"/>
        <w:numPr>
          <w:ilvl w:val="0"/>
          <w:numId w:val="3"/>
        </w:numPr>
        <w:spacing w:before="2"/>
        <w:ind w:right="40"/>
      </w:pPr>
      <w:r w:rsidRPr="000E778E">
        <w:rPr>
          <w:i/>
          <w:iCs/>
        </w:rPr>
        <w:t>Level Repayment</w:t>
      </w:r>
      <w:r>
        <w:t>: The principal is repaid in equal installments over time.</w:t>
      </w:r>
    </w:p>
    <w:p w14:paraId="7A8DADD8" w14:textId="1A6C7E2A" w:rsidR="000E778E" w:rsidRDefault="000E778E" w:rsidP="00BC7045">
      <w:pPr>
        <w:pStyle w:val="BodyText"/>
        <w:numPr>
          <w:ilvl w:val="0"/>
          <w:numId w:val="3"/>
        </w:numPr>
        <w:spacing w:before="2"/>
        <w:ind w:right="40"/>
      </w:pPr>
      <w:r w:rsidRPr="000E778E">
        <w:rPr>
          <w:i/>
          <w:iCs/>
        </w:rPr>
        <w:t>Annuity Repayment</w:t>
      </w:r>
      <w:r>
        <w:t xml:space="preserve">: The principal is repaid in increasing installments over time to keep the payments of principal plus interest as equal as possible. </w:t>
      </w:r>
    </w:p>
    <w:p w14:paraId="4F30D943" w14:textId="3FF6F9C6" w:rsidR="000E778E" w:rsidRDefault="000E778E" w:rsidP="00BC7045">
      <w:pPr>
        <w:pStyle w:val="BodyText"/>
        <w:numPr>
          <w:ilvl w:val="0"/>
          <w:numId w:val="3"/>
        </w:numPr>
        <w:spacing w:before="2"/>
        <w:ind w:right="40"/>
      </w:pPr>
      <w:r w:rsidRPr="000E778E">
        <w:rPr>
          <w:i/>
          <w:iCs/>
        </w:rPr>
        <w:t>Bullet Repayment:</w:t>
      </w:r>
      <w:r>
        <w:t xml:space="preserve"> </w:t>
      </w:r>
      <w:r w:rsidRPr="000E778E">
        <w:t>The principal is repaid in one lump sum at the end of the term of the loan</w:t>
      </w:r>
      <w:r w:rsidR="00C877FB">
        <w:t>.</w:t>
      </w:r>
      <w:r w:rsidRPr="000E778E">
        <w:t xml:space="preserve"> Borrowers must specify the repayment date.</w:t>
      </w:r>
    </w:p>
    <w:p w14:paraId="78CC5E3B" w14:textId="7F826D65" w:rsidR="000E778E" w:rsidRDefault="000E778E" w:rsidP="00BC7045">
      <w:pPr>
        <w:pStyle w:val="BodyText"/>
        <w:numPr>
          <w:ilvl w:val="0"/>
          <w:numId w:val="3"/>
        </w:numPr>
        <w:spacing w:before="2"/>
        <w:ind w:right="40"/>
      </w:pPr>
      <w:r w:rsidRPr="000E778E">
        <w:rPr>
          <w:i/>
          <w:iCs/>
        </w:rPr>
        <w:t>Customized Repayment</w:t>
      </w:r>
      <w:r w:rsidRPr="000E778E">
        <w:t xml:space="preserve">: Principal repayments can be customized to meet the </w:t>
      </w:r>
      <w:r w:rsidR="00BB60AC">
        <w:t>b</w:t>
      </w:r>
      <w:r w:rsidRPr="000E778E">
        <w:t>orrower’s needs. Borrowers specify the payment dates and corresponding amounts.</w:t>
      </w:r>
    </w:p>
    <w:p w14:paraId="24D409FA" w14:textId="77777777" w:rsidR="000E778E" w:rsidRDefault="000E778E" w:rsidP="00BC7045">
      <w:pPr>
        <w:pStyle w:val="BodyText"/>
        <w:spacing w:before="2"/>
        <w:ind w:right="40"/>
      </w:pPr>
    </w:p>
    <w:p w14:paraId="2260337E" w14:textId="38017129" w:rsidR="00A002EC" w:rsidRDefault="005828C4" w:rsidP="00BC7045">
      <w:pPr>
        <w:pStyle w:val="Heading1"/>
        <w:spacing w:after="120"/>
        <w:ind w:left="0" w:right="43"/>
        <w:jc w:val="left"/>
      </w:pPr>
      <w:r>
        <w:t xml:space="preserve">Embedded </w:t>
      </w:r>
      <w:r w:rsidR="001C2848">
        <w:t>Risk Management Tools</w:t>
      </w:r>
    </w:p>
    <w:p w14:paraId="36B14B5A" w14:textId="49ABBC7E" w:rsidR="00A002EC" w:rsidRDefault="005828C4" w:rsidP="00BC7045">
      <w:pPr>
        <w:pStyle w:val="BodyText"/>
        <w:ind w:right="40"/>
      </w:pPr>
      <w:r>
        <w:t xml:space="preserve">IFLs have built-in flexibility to allow </w:t>
      </w:r>
      <w:r w:rsidR="0071396F">
        <w:t>b</w:t>
      </w:r>
      <w:r>
        <w:t xml:space="preserve">orrowers to manage interest rate and currency risks throughout the life of the loan. Borrowers may choose the embedded conversion options, namely currency conversions, interest rate conversions, and caps and collars. Borrowers may also choose Automatic Rate Fixing which operates as a standing order, as amounts are disbursed, to convert the </w:t>
      </w:r>
      <w:r w:rsidR="00796C8E">
        <w:t>reference</w:t>
      </w:r>
      <w:r w:rsidR="00CA2158">
        <w:t xml:space="preserve"> rate portion of the lending</w:t>
      </w:r>
      <w:r>
        <w:t xml:space="preserve"> rate from variable to</w:t>
      </w:r>
      <w:r>
        <w:rPr>
          <w:spacing w:val="-5"/>
        </w:rPr>
        <w:t xml:space="preserve"> </w:t>
      </w:r>
      <w:r>
        <w:t>fixed.</w:t>
      </w:r>
    </w:p>
    <w:p w14:paraId="4AA49708" w14:textId="77777777" w:rsidR="00A002EC" w:rsidRDefault="00A002EC" w:rsidP="00BC7045">
      <w:pPr>
        <w:pStyle w:val="BodyText"/>
        <w:ind w:right="40"/>
      </w:pPr>
    </w:p>
    <w:p w14:paraId="2742F7DB" w14:textId="5C6B10E7" w:rsidR="00A002EC" w:rsidRDefault="005828C4" w:rsidP="00BC7045">
      <w:pPr>
        <w:pStyle w:val="BodyText"/>
        <w:spacing w:before="1"/>
        <w:ind w:right="40"/>
      </w:pPr>
      <w:r>
        <w:t xml:space="preserve">Enclosed please find the Loan Choice Worksheet which we ask you to complete and return to us so that we can reflect your choice of loan terms in preparing the draft legal documentation for this project. Borrowers may also download this form on-line. In addition to the loan worksheet, </w:t>
      </w:r>
      <w:r w:rsidR="0071396F">
        <w:t>b</w:t>
      </w:r>
      <w:r>
        <w:t xml:space="preserve">orrowers can access more detailed information on financial terms of IFLs, current </w:t>
      </w:r>
      <w:r w:rsidR="00BC2171">
        <w:t xml:space="preserve">pricing for </w:t>
      </w:r>
      <w:r>
        <w:t xml:space="preserve">variable </w:t>
      </w:r>
      <w:r w:rsidR="00BC2171">
        <w:t xml:space="preserve">spread and applicable pricing for legacy </w:t>
      </w:r>
      <w:r>
        <w:t>fixed spreads</w:t>
      </w:r>
      <w:r w:rsidR="005202A3">
        <w:rPr>
          <w:rStyle w:val="FootnoteReference"/>
        </w:rPr>
        <w:footnoteReference w:id="1"/>
      </w:r>
      <w:r>
        <w:t xml:space="preserve">, useful tools for weighing loan term choices, risk management options and transaction fees on the World Bank Treasury website at: </w:t>
      </w:r>
      <w:hyperlink r:id="rId14" w:history="1">
        <w:r w:rsidR="00A7570E" w:rsidRPr="00771AAB">
          <w:rPr>
            <w:rStyle w:val="Hyperlink"/>
          </w:rPr>
          <w:t>https://treasury.worldbank.org/en/about/unit/treasury/ibrd-financial-products</w:t>
        </w:r>
      </w:hyperlink>
      <w:hyperlink r:id="rId15">
        <w:r>
          <w:t>.</w:t>
        </w:r>
      </w:hyperlink>
    </w:p>
    <w:p w14:paraId="4F2B6041" w14:textId="77777777" w:rsidR="00A002EC" w:rsidRDefault="00A002EC" w:rsidP="00BC7045">
      <w:pPr>
        <w:pStyle w:val="BodyText"/>
        <w:ind w:right="40"/>
      </w:pPr>
    </w:p>
    <w:p w14:paraId="4E187355" w14:textId="55D8ED7A" w:rsidR="00A002EC" w:rsidRDefault="005828C4" w:rsidP="00BC7045">
      <w:pPr>
        <w:pStyle w:val="BodyText"/>
        <w:ind w:right="40"/>
      </w:pPr>
      <w:r>
        <w:t xml:space="preserve">The World Bank Treasury is available to assist you in the selection of financial terms for this project. Please do not hesitate to contact Miguel Navarro-Martin, </w:t>
      </w:r>
      <w:r w:rsidR="00835586">
        <w:t>Manager, Financial Products and Client Solutions</w:t>
      </w:r>
      <w:r>
        <w:t xml:space="preserve">, +1 202 458-4722, </w:t>
      </w:r>
      <w:hyperlink r:id="rId16">
        <w:r>
          <w:rPr>
            <w:color w:val="0000FF"/>
            <w:u w:val="single" w:color="0000FF"/>
          </w:rPr>
          <w:t>mnavarromartin@worldbank.org</w:t>
        </w:r>
      </w:hyperlink>
      <w:r>
        <w:t>.</w:t>
      </w:r>
    </w:p>
    <w:p w14:paraId="1AE7A1C2" w14:textId="6DBE7F2B" w:rsidR="001C2848" w:rsidRDefault="001C2848" w:rsidP="00BC7045">
      <w:pPr>
        <w:pStyle w:val="BodyText"/>
        <w:ind w:right="40"/>
      </w:pPr>
    </w:p>
    <w:p w14:paraId="40218A55" w14:textId="77777777" w:rsidR="00835586" w:rsidRDefault="00835586" w:rsidP="00BC7045">
      <w:pPr>
        <w:pStyle w:val="BodyText"/>
        <w:ind w:right="40"/>
      </w:pPr>
    </w:p>
    <w:p w14:paraId="69A63AF7" w14:textId="77777777" w:rsidR="00A002EC" w:rsidRDefault="005828C4" w:rsidP="00BC7045">
      <w:pPr>
        <w:pStyle w:val="BodyText"/>
        <w:ind w:right="40"/>
      </w:pPr>
      <w:r>
        <w:t>Sincerely,</w:t>
      </w:r>
    </w:p>
    <w:p w14:paraId="2930F5B7" w14:textId="77777777" w:rsidR="00A002EC" w:rsidRDefault="00A002EC" w:rsidP="00BC7045">
      <w:pPr>
        <w:pStyle w:val="BodyText"/>
        <w:ind w:right="40"/>
        <w:rPr>
          <w:sz w:val="26"/>
        </w:rPr>
      </w:pPr>
    </w:p>
    <w:p w14:paraId="6D1FBEC4" w14:textId="75E66687" w:rsidR="001C2848" w:rsidRDefault="001C2848" w:rsidP="00BC7045">
      <w:pPr>
        <w:pStyle w:val="BodyText"/>
        <w:ind w:right="40"/>
        <w:rPr>
          <w:sz w:val="22"/>
        </w:rPr>
      </w:pPr>
    </w:p>
    <w:p w14:paraId="22F836AA" w14:textId="7AF5F99F" w:rsidR="001C2848" w:rsidRDefault="001C2848" w:rsidP="00BC7045">
      <w:pPr>
        <w:pStyle w:val="BodyText"/>
        <w:ind w:right="40"/>
        <w:rPr>
          <w:sz w:val="22"/>
        </w:rPr>
      </w:pPr>
    </w:p>
    <w:p w14:paraId="49764BD0" w14:textId="77777777" w:rsidR="001C2848" w:rsidRDefault="001C2848" w:rsidP="00BC7045">
      <w:pPr>
        <w:pStyle w:val="BodyText"/>
        <w:ind w:right="40"/>
        <w:rPr>
          <w:sz w:val="22"/>
        </w:rPr>
      </w:pPr>
    </w:p>
    <w:p w14:paraId="389B5B8B" w14:textId="77777777" w:rsidR="00A002EC" w:rsidRDefault="005828C4" w:rsidP="00BC7045">
      <w:pPr>
        <w:pStyle w:val="BodyText"/>
        <w:spacing w:before="1"/>
        <w:ind w:right="40"/>
      </w:pPr>
      <w:r>
        <w:t>Attachments: Loan Choice Worksheet</w:t>
      </w:r>
    </w:p>
    <w:sectPr w:rsidR="00A002EC">
      <w:headerReference w:type="even" r:id="rId17"/>
      <w:headerReference w:type="default" r:id="rId18"/>
      <w:footerReference w:type="even" r:id="rId19"/>
      <w:footerReference w:type="default" r:id="rId20"/>
      <w:headerReference w:type="first" r:id="rId21"/>
      <w:footerReference w:type="first" r:id="rId22"/>
      <w:pgSz w:w="12240" w:h="15840"/>
      <w:pgMar w:top="1500" w:right="1680" w:bottom="1260" w:left="17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9930E" w14:textId="77777777" w:rsidR="00C31BBE" w:rsidRDefault="00C31BBE">
      <w:r>
        <w:separator/>
      </w:r>
    </w:p>
  </w:endnote>
  <w:endnote w:type="continuationSeparator" w:id="0">
    <w:p w14:paraId="3FD8F85E" w14:textId="77777777" w:rsidR="00C31BBE" w:rsidRDefault="00C3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E627" w14:textId="77777777" w:rsidR="00824297" w:rsidRDefault="0082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917E" w14:textId="7576F408" w:rsidR="00A002EC" w:rsidRDefault="005828C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7F153662" wp14:editId="6453948E">
              <wp:simplePos x="0" y="0"/>
              <wp:positionH relativeFrom="page">
                <wp:posOffset>5927725</wp:posOffset>
              </wp:positionH>
              <wp:positionV relativeFrom="page">
                <wp:posOffset>9240520</wp:posOffset>
              </wp:positionV>
              <wp:extent cx="7143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421D" w14:textId="77777777" w:rsidR="00A002EC" w:rsidRPr="00835586" w:rsidRDefault="005828C4">
                          <w:pPr>
                            <w:spacing w:before="10"/>
                            <w:ind w:left="20"/>
                            <w:rPr>
                              <w:b/>
                              <w:sz w:val="24"/>
                              <w:szCs w:val="24"/>
                            </w:rPr>
                          </w:pPr>
                          <w:r w:rsidRPr="00835586">
                            <w:rPr>
                              <w:sz w:val="24"/>
                              <w:szCs w:val="24"/>
                            </w:rPr>
                            <w:t xml:space="preserve">Page </w:t>
                          </w:r>
                          <w:r w:rsidRPr="00835586">
                            <w:rPr>
                              <w:sz w:val="24"/>
                              <w:szCs w:val="24"/>
                            </w:rPr>
                            <w:fldChar w:fldCharType="begin"/>
                          </w:r>
                          <w:r w:rsidRPr="00835586">
                            <w:rPr>
                              <w:b/>
                              <w:sz w:val="24"/>
                              <w:szCs w:val="24"/>
                            </w:rPr>
                            <w:instrText xml:space="preserve"> PAGE </w:instrText>
                          </w:r>
                          <w:r w:rsidRPr="00835586">
                            <w:rPr>
                              <w:sz w:val="24"/>
                              <w:szCs w:val="24"/>
                            </w:rPr>
                            <w:fldChar w:fldCharType="separate"/>
                          </w:r>
                          <w:r w:rsidRPr="00835586">
                            <w:rPr>
                              <w:sz w:val="24"/>
                              <w:szCs w:val="24"/>
                            </w:rPr>
                            <w:t>1</w:t>
                          </w:r>
                          <w:r w:rsidRPr="00835586">
                            <w:rPr>
                              <w:sz w:val="24"/>
                              <w:szCs w:val="24"/>
                            </w:rPr>
                            <w:fldChar w:fldCharType="end"/>
                          </w:r>
                          <w:r w:rsidRPr="00835586">
                            <w:rPr>
                              <w:b/>
                              <w:sz w:val="24"/>
                              <w:szCs w:val="24"/>
                            </w:rPr>
                            <w:t xml:space="preserve"> </w:t>
                          </w:r>
                          <w:r w:rsidRPr="00835586">
                            <w:rPr>
                              <w:sz w:val="24"/>
                              <w:szCs w:val="24"/>
                            </w:rPr>
                            <w:t xml:space="preserve">of </w:t>
                          </w:r>
                          <w:r w:rsidRPr="00835586">
                            <w:rPr>
                              <w:b/>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662" id="_x0000_t202" coordsize="21600,21600" o:spt="202" path="m,l,21600r21600,l21600,xe">
              <v:stroke joinstyle="miter"/>
              <v:path gradientshapeok="t" o:connecttype="rect"/>
            </v:shapetype>
            <v:shape id="Text Box 1" o:spid="_x0000_s1026" type="#_x0000_t202" style="position:absolute;margin-left:466.75pt;margin-top:727.6pt;width:56.25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" filled="f" stroked="f">
              <v:textbox inset="0,0,0,0">
                <w:txbxContent>
                  <w:p w14:paraId="6BD4421D" w14:textId="77777777" w:rsidR="00A002EC" w:rsidRPr="00835586" w:rsidRDefault="005828C4">
                    <w:pPr>
                      <w:spacing w:before="10"/>
                      <w:ind w:left="20"/>
                      <w:rPr>
                        <w:b/>
                        <w:sz w:val="24"/>
                        <w:szCs w:val="24"/>
                      </w:rPr>
                    </w:pPr>
                    <w:r w:rsidRPr="00835586">
                      <w:rPr>
                        <w:sz w:val="24"/>
                        <w:szCs w:val="24"/>
                      </w:rPr>
                      <w:t xml:space="preserve">Page </w:t>
                    </w:r>
                    <w:r w:rsidRPr="00835586">
                      <w:rPr>
                        <w:sz w:val="24"/>
                        <w:szCs w:val="24"/>
                      </w:rPr>
                      <w:fldChar w:fldCharType="begin"/>
                    </w:r>
                    <w:r w:rsidRPr="00835586">
                      <w:rPr>
                        <w:b/>
                        <w:sz w:val="24"/>
                        <w:szCs w:val="24"/>
                      </w:rPr>
                      <w:instrText xml:space="preserve"> PAGE </w:instrText>
                    </w:r>
                    <w:r w:rsidRPr="00835586">
                      <w:rPr>
                        <w:sz w:val="24"/>
                        <w:szCs w:val="24"/>
                      </w:rPr>
                      <w:fldChar w:fldCharType="separate"/>
                    </w:r>
                    <w:r w:rsidRPr="00835586">
                      <w:rPr>
                        <w:sz w:val="24"/>
                        <w:szCs w:val="24"/>
                      </w:rPr>
                      <w:t>1</w:t>
                    </w:r>
                    <w:r w:rsidRPr="00835586">
                      <w:rPr>
                        <w:sz w:val="24"/>
                        <w:szCs w:val="24"/>
                      </w:rPr>
                      <w:fldChar w:fldCharType="end"/>
                    </w:r>
                    <w:r w:rsidRPr="00835586">
                      <w:rPr>
                        <w:b/>
                        <w:sz w:val="24"/>
                        <w:szCs w:val="24"/>
                      </w:rPr>
                      <w:t xml:space="preserve"> </w:t>
                    </w:r>
                    <w:r w:rsidRPr="00835586">
                      <w:rPr>
                        <w:sz w:val="24"/>
                        <w:szCs w:val="24"/>
                      </w:rPr>
                      <w:t xml:space="preserve">of </w:t>
                    </w:r>
                    <w:r w:rsidRPr="00835586">
                      <w:rPr>
                        <w:b/>
                        <w:sz w:val="24"/>
                        <w:szCs w:val="24"/>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0A6E" w14:textId="77777777" w:rsidR="00824297" w:rsidRDefault="008242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2C71" w14:textId="77777777" w:rsidR="00A61C41" w:rsidRDefault="00A61C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8FDA" w14:textId="77777777" w:rsidR="00A61C41" w:rsidRDefault="00A61C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CE65" w14:textId="77777777" w:rsidR="00A61C41" w:rsidRDefault="00A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31B6" w14:textId="77777777" w:rsidR="00C31BBE" w:rsidRDefault="00C31BBE">
      <w:r>
        <w:separator/>
      </w:r>
    </w:p>
  </w:footnote>
  <w:footnote w:type="continuationSeparator" w:id="0">
    <w:p w14:paraId="5B616D36" w14:textId="77777777" w:rsidR="00C31BBE" w:rsidRDefault="00C31BBE">
      <w:r>
        <w:continuationSeparator/>
      </w:r>
    </w:p>
  </w:footnote>
  <w:footnote w:id="1">
    <w:p w14:paraId="49E4EF90" w14:textId="0F52E846" w:rsidR="005202A3" w:rsidRDefault="005202A3">
      <w:pPr>
        <w:pStyle w:val="FootnoteText"/>
      </w:pPr>
      <w:r>
        <w:rPr>
          <w:rStyle w:val="FootnoteReference"/>
        </w:rPr>
        <w:footnoteRef/>
      </w:r>
      <w:r>
        <w:t xml:space="preserve"> </w:t>
      </w:r>
      <w:r w:rsidR="009D6FD0" w:rsidRPr="00377A1D">
        <w:rPr>
          <w:sz w:val="24"/>
          <w:szCs w:val="24"/>
        </w:rPr>
        <w:t>T</w:t>
      </w:r>
      <w:r w:rsidR="009D6FD0" w:rsidRPr="00377A1D">
        <w:rPr>
          <w:sz w:val="24"/>
          <w:szCs w:val="24"/>
        </w:rPr>
        <w:t>he fixed spread term under the IFL is suspended effective April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72E" w14:textId="77777777" w:rsidR="00824297" w:rsidRDefault="00824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2BF6" w14:textId="77777777" w:rsidR="00824297" w:rsidRDefault="00824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D8EA" w14:textId="77777777" w:rsidR="00824297" w:rsidRDefault="00824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CA7F" w14:textId="77777777" w:rsidR="00A61C41" w:rsidRDefault="00A61C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816E" w14:textId="77777777" w:rsidR="00A61C41" w:rsidRDefault="00A61C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C538" w14:textId="77777777" w:rsidR="00A61C41" w:rsidRDefault="00A6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4001D"/>
    <w:multiLevelType w:val="hybridMultilevel"/>
    <w:tmpl w:val="224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E0B38"/>
    <w:multiLevelType w:val="hybridMultilevel"/>
    <w:tmpl w:val="28D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5762E"/>
    <w:multiLevelType w:val="hybridMultilevel"/>
    <w:tmpl w:val="363617B4"/>
    <w:lvl w:ilvl="0" w:tplc="B8004686">
      <w:numFmt w:val="bullet"/>
      <w:lvlText w:val=""/>
      <w:lvlJc w:val="left"/>
      <w:pPr>
        <w:ind w:left="820" w:hanging="360"/>
      </w:pPr>
      <w:rPr>
        <w:rFonts w:ascii="Symbol" w:eastAsia="Symbol" w:hAnsi="Symbol" w:cs="Symbol" w:hint="default"/>
        <w:w w:val="100"/>
        <w:sz w:val="24"/>
        <w:szCs w:val="24"/>
        <w:lang w:val="en-US" w:eastAsia="en-US" w:bidi="en-US"/>
      </w:rPr>
    </w:lvl>
    <w:lvl w:ilvl="1" w:tplc="E2A6B92C">
      <w:numFmt w:val="bullet"/>
      <w:lvlText w:val="•"/>
      <w:lvlJc w:val="left"/>
      <w:pPr>
        <w:ind w:left="1624" w:hanging="360"/>
      </w:pPr>
      <w:rPr>
        <w:rFonts w:hint="default"/>
        <w:lang w:val="en-US" w:eastAsia="en-US" w:bidi="en-US"/>
      </w:rPr>
    </w:lvl>
    <w:lvl w:ilvl="2" w:tplc="40A20630">
      <w:numFmt w:val="bullet"/>
      <w:lvlText w:val="•"/>
      <w:lvlJc w:val="left"/>
      <w:pPr>
        <w:ind w:left="2428" w:hanging="360"/>
      </w:pPr>
      <w:rPr>
        <w:rFonts w:hint="default"/>
        <w:lang w:val="en-US" w:eastAsia="en-US" w:bidi="en-US"/>
      </w:rPr>
    </w:lvl>
    <w:lvl w:ilvl="3" w:tplc="9B3CD98C">
      <w:numFmt w:val="bullet"/>
      <w:lvlText w:val="•"/>
      <w:lvlJc w:val="left"/>
      <w:pPr>
        <w:ind w:left="3232" w:hanging="360"/>
      </w:pPr>
      <w:rPr>
        <w:rFonts w:hint="default"/>
        <w:lang w:val="en-US" w:eastAsia="en-US" w:bidi="en-US"/>
      </w:rPr>
    </w:lvl>
    <w:lvl w:ilvl="4" w:tplc="858A6A74">
      <w:numFmt w:val="bullet"/>
      <w:lvlText w:val="•"/>
      <w:lvlJc w:val="left"/>
      <w:pPr>
        <w:ind w:left="4036" w:hanging="360"/>
      </w:pPr>
      <w:rPr>
        <w:rFonts w:hint="default"/>
        <w:lang w:val="en-US" w:eastAsia="en-US" w:bidi="en-US"/>
      </w:rPr>
    </w:lvl>
    <w:lvl w:ilvl="5" w:tplc="437EA4F0">
      <w:numFmt w:val="bullet"/>
      <w:lvlText w:val="•"/>
      <w:lvlJc w:val="left"/>
      <w:pPr>
        <w:ind w:left="4840" w:hanging="360"/>
      </w:pPr>
      <w:rPr>
        <w:rFonts w:hint="default"/>
        <w:lang w:val="en-US" w:eastAsia="en-US" w:bidi="en-US"/>
      </w:rPr>
    </w:lvl>
    <w:lvl w:ilvl="6" w:tplc="22709560">
      <w:numFmt w:val="bullet"/>
      <w:lvlText w:val="•"/>
      <w:lvlJc w:val="left"/>
      <w:pPr>
        <w:ind w:left="5644" w:hanging="360"/>
      </w:pPr>
      <w:rPr>
        <w:rFonts w:hint="default"/>
        <w:lang w:val="en-US" w:eastAsia="en-US" w:bidi="en-US"/>
      </w:rPr>
    </w:lvl>
    <w:lvl w:ilvl="7" w:tplc="2352425A">
      <w:numFmt w:val="bullet"/>
      <w:lvlText w:val="•"/>
      <w:lvlJc w:val="left"/>
      <w:pPr>
        <w:ind w:left="6448" w:hanging="360"/>
      </w:pPr>
      <w:rPr>
        <w:rFonts w:hint="default"/>
        <w:lang w:val="en-US" w:eastAsia="en-US" w:bidi="en-US"/>
      </w:rPr>
    </w:lvl>
    <w:lvl w:ilvl="8" w:tplc="DF5C5DD4">
      <w:numFmt w:val="bullet"/>
      <w:lvlText w:val="•"/>
      <w:lvlJc w:val="left"/>
      <w:pPr>
        <w:ind w:left="7252"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MbMwNjA0MTK0MDJW0lEKTi0uzszPAykwNKoFAJKKcS8tAAAA"/>
  </w:docVars>
  <w:rsids>
    <w:rsidRoot w:val="00A002EC"/>
    <w:rsid w:val="000268F6"/>
    <w:rsid w:val="000724E2"/>
    <w:rsid w:val="000A5137"/>
    <w:rsid w:val="000E778E"/>
    <w:rsid w:val="00100CD1"/>
    <w:rsid w:val="00111F5B"/>
    <w:rsid w:val="00125B24"/>
    <w:rsid w:val="001347EF"/>
    <w:rsid w:val="0014169C"/>
    <w:rsid w:val="001455A4"/>
    <w:rsid w:val="00154574"/>
    <w:rsid w:val="001C2848"/>
    <w:rsid w:val="001D329A"/>
    <w:rsid w:val="00250940"/>
    <w:rsid w:val="002760D7"/>
    <w:rsid w:val="002F0B52"/>
    <w:rsid w:val="00317E9A"/>
    <w:rsid w:val="00346F35"/>
    <w:rsid w:val="00377A1D"/>
    <w:rsid w:val="003818B8"/>
    <w:rsid w:val="004006F6"/>
    <w:rsid w:val="004A1510"/>
    <w:rsid w:val="005159FF"/>
    <w:rsid w:val="005202A3"/>
    <w:rsid w:val="00575BFD"/>
    <w:rsid w:val="005828C4"/>
    <w:rsid w:val="00652784"/>
    <w:rsid w:val="00666C14"/>
    <w:rsid w:val="00674CC8"/>
    <w:rsid w:val="0070668E"/>
    <w:rsid w:val="0071396F"/>
    <w:rsid w:val="00715BF9"/>
    <w:rsid w:val="00721ECD"/>
    <w:rsid w:val="00745AEB"/>
    <w:rsid w:val="00771AAB"/>
    <w:rsid w:val="007918E6"/>
    <w:rsid w:val="00793977"/>
    <w:rsid w:val="00796C8E"/>
    <w:rsid w:val="00824297"/>
    <w:rsid w:val="00835586"/>
    <w:rsid w:val="00876701"/>
    <w:rsid w:val="008E4BE7"/>
    <w:rsid w:val="00994E13"/>
    <w:rsid w:val="009B2E27"/>
    <w:rsid w:val="009D6FD0"/>
    <w:rsid w:val="009E0FFE"/>
    <w:rsid w:val="00A002EC"/>
    <w:rsid w:val="00A159FB"/>
    <w:rsid w:val="00A61C41"/>
    <w:rsid w:val="00A7570E"/>
    <w:rsid w:val="00AA05CB"/>
    <w:rsid w:val="00AB0733"/>
    <w:rsid w:val="00B0253B"/>
    <w:rsid w:val="00B63550"/>
    <w:rsid w:val="00BB60AC"/>
    <w:rsid w:val="00BC2171"/>
    <w:rsid w:val="00BC7045"/>
    <w:rsid w:val="00BD4349"/>
    <w:rsid w:val="00C31BBE"/>
    <w:rsid w:val="00C71B42"/>
    <w:rsid w:val="00C7652E"/>
    <w:rsid w:val="00C877FB"/>
    <w:rsid w:val="00CA2158"/>
    <w:rsid w:val="00D804DC"/>
    <w:rsid w:val="00DB48DB"/>
    <w:rsid w:val="00DD5F16"/>
    <w:rsid w:val="00E63727"/>
    <w:rsid w:val="00E653CF"/>
    <w:rsid w:val="00EF6F7E"/>
    <w:rsid w:val="00F3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53268"/>
  <w15:docId w15:val="{E9458ABE-0C74-4279-BAB5-235B768D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4"/>
      <w:ind w:left="820" w:right="11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28C4"/>
    <w:pPr>
      <w:tabs>
        <w:tab w:val="center" w:pos="4680"/>
        <w:tab w:val="right" w:pos="9360"/>
      </w:tabs>
    </w:pPr>
  </w:style>
  <w:style w:type="character" w:customStyle="1" w:styleId="HeaderChar">
    <w:name w:val="Header Char"/>
    <w:basedOn w:val="DefaultParagraphFont"/>
    <w:link w:val="Header"/>
    <w:uiPriority w:val="99"/>
    <w:rsid w:val="005828C4"/>
    <w:rPr>
      <w:rFonts w:ascii="Times New Roman" w:eastAsia="Times New Roman" w:hAnsi="Times New Roman" w:cs="Times New Roman"/>
      <w:lang w:bidi="en-US"/>
    </w:rPr>
  </w:style>
  <w:style w:type="paragraph" w:styleId="Footer">
    <w:name w:val="footer"/>
    <w:basedOn w:val="Normal"/>
    <w:link w:val="FooterChar"/>
    <w:uiPriority w:val="99"/>
    <w:unhideWhenUsed/>
    <w:rsid w:val="005828C4"/>
    <w:pPr>
      <w:tabs>
        <w:tab w:val="center" w:pos="4680"/>
        <w:tab w:val="right" w:pos="9360"/>
      </w:tabs>
    </w:pPr>
  </w:style>
  <w:style w:type="character" w:customStyle="1" w:styleId="FooterChar">
    <w:name w:val="Footer Char"/>
    <w:basedOn w:val="DefaultParagraphFont"/>
    <w:link w:val="Footer"/>
    <w:uiPriority w:val="99"/>
    <w:rsid w:val="005828C4"/>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A1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510"/>
    <w:rPr>
      <w:rFonts w:ascii="Segoe UI" w:eastAsia="Times New Roman" w:hAnsi="Segoe UI" w:cs="Segoe UI"/>
      <w:sz w:val="18"/>
      <w:szCs w:val="18"/>
      <w:lang w:bidi="en-US"/>
    </w:rPr>
  </w:style>
  <w:style w:type="paragraph" w:customStyle="1" w:styleId="Paragraph">
    <w:name w:val="Paragraph"/>
    <w:basedOn w:val="Normal"/>
    <w:link w:val="ParagraphChar"/>
    <w:qFormat/>
    <w:rsid w:val="004A1510"/>
    <w:pPr>
      <w:widowControl/>
      <w:autoSpaceDE/>
      <w:autoSpaceDN/>
      <w:spacing w:before="120" w:line="216" w:lineRule="auto"/>
      <w:jc w:val="both"/>
    </w:pPr>
    <w:rPr>
      <w:rFonts w:ascii="Open Sans" w:eastAsiaTheme="minorHAnsi" w:hAnsi="Open Sans" w:cs="Open Sans"/>
      <w:sz w:val="18"/>
      <w:szCs w:val="18"/>
      <w:lang w:bidi="ar-SA"/>
    </w:rPr>
  </w:style>
  <w:style w:type="character" w:customStyle="1" w:styleId="ParagraphChar">
    <w:name w:val="Paragraph Char"/>
    <w:basedOn w:val="DefaultParagraphFont"/>
    <w:link w:val="Paragraph"/>
    <w:rsid w:val="004A1510"/>
    <w:rPr>
      <w:rFonts w:ascii="Open Sans" w:hAnsi="Open Sans" w:cs="Open Sans"/>
      <w:sz w:val="18"/>
      <w:szCs w:val="18"/>
    </w:rPr>
  </w:style>
  <w:style w:type="paragraph" w:styleId="NormalWeb">
    <w:name w:val="Normal (Web)"/>
    <w:basedOn w:val="Normal"/>
    <w:uiPriority w:val="99"/>
    <w:semiHidden/>
    <w:unhideWhenUsed/>
    <w:rsid w:val="004A1510"/>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4006F6"/>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666C14"/>
    <w:rPr>
      <w:sz w:val="16"/>
      <w:szCs w:val="16"/>
    </w:rPr>
  </w:style>
  <w:style w:type="paragraph" w:styleId="CommentText">
    <w:name w:val="annotation text"/>
    <w:basedOn w:val="Normal"/>
    <w:link w:val="CommentTextChar"/>
    <w:uiPriority w:val="99"/>
    <w:semiHidden/>
    <w:unhideWhenUsed/>
    <w:rsid w:val="00666C14"/>
    <w:rPr>
      <w:sz w:val="20"/>
      <w:szCs w:val="20"/>
    </w:rPr>
  </w:style>
  <w:style w:type="character" w:customStyle="1" w:styleId="CommentTextChar">
    <w:name w:val="Comment Text Char"/>
    <w:basedOn w:val="DefaultParagraphFont"/>
    <w:link w:val="CommentText"/>
    <w:uiPriority w:val="99"/>
    <w:semiHidden/>
    <w:rsid w:val="00666C1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6C14"/>
    <w:rPr>
      <w:b/>
      <w:bCs/>
    </w:rPr>
  </w:style>
  <w:style w:type="character" w:customStyle="1" w:styleId="CommentSubjectChar">
    <w:name w:val="Comment Subject Char"/>
    <w:basedOn w:val="CommentTextChar"/>
    <w:link w:val="CommentSubject"/>
    <w:uiPriority w:val="99"/>
    <w:semiHidden/>
    <w:rsid w:val="00666C14"/>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771AAB"/>
    <w:rPr>
      <w:color w:val="0000FF" w:themeColor="hyperlink"/>
      <w:u w:val="single"/>
    </w:rPr>
  </w:style>
  <w:style w:type="character" w:styleId="UnresolvedMention">
    <w:name w:val="Unresolved Mention"/>
    <w:basedOn w:val="DefaultParagraphFont"/>
    <w:uiPriority w:val="99"/>
    <w:semiHidden/>
    <w:unhideWhenUsed/>
    <w:rsid w:val="00771AAB"/>
    <w:rPr>
      <w:color w:val="605E5C"/>
      <w:shd w:val="clear" w:color="auto" w:fill="E1DFDD"/>
    </w:rPr>
  </w:style>
  <w:style w:type="paragraph" w:styleId="FootnoteText">
    <w:name w:val="footnote text"/>
    <w:basedOn w:val="Normal"/>
    <w:link w:val="FootnoteTextChar"/>
    <w:uiPriority w:val="99"/>
    <w:semiHidden/>
    <w:unhideWhenUsed/>
    <w:rsid w:val="005202A3"/>
    <w:rPr>
      <w:sz w:val="20"/>
      <w:szCs w:val="20"/>
    </w:rPr>
  </w:style>
  <w:style w:type="character" w:customStyle="1" w:styleId="FootnoteTextChar">
    <w:name w:val="Footnote Text Char"/>
    <w:basedOn w:val="DefaultParagraphFont"/>
    <w:link w:val="FootnoteText"/>
    <w:uiPriority w:val="99"/>
    <w:semiHidden/>
    <w:rsid w:val="005202A3"/>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520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2007">
      <w:bodyDiv w:val="1"/>
      <w:marLeft w:val="0"/>
      <w:marRight w:val="0"/>
      <w:marTop w:val="0"/>
      <w:marBottom w:val="0"/>
      <w:divBdr>
        <w:top w:val="none" w:sz="0" w:space="0" w:color="auto"/>
        <w:left w:val="none" w:sz="0" w:space="0" w:color="auto"/>
        <w:bottom w:val="none" w:sz="0" w:space="0" w:color="auto"/>
        <w:right w:val="none" w:sz="0" w:space="0" w:color="auto"/>
      </w:divBdr>
    </w:div>
    <w:div w:id="192946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navarromartin@worldbank.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easury.worldbank.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easury.worldbank.org/en/about/unit/treasury/ibrd-financial-product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CC06-DDFF-42AD-BE46-B4676A74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wb297777</dc:creator>
  <cp:lastModifiedBy>Banu Turhan Kayaalp</cp:lastModifiedBy>
  <cp:revision>2</cp:revision>
  <dcterms:created xsi:type="dcterms:W3CDTF">2021-12-14T16:16:00Z</dcterms:created>
  <dcterms:modified xsi:type="dcterms:W3CDTF">2021-12-14T16:16:00Z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Creator">
    <vt:lpwstr>Microsoft® Office Word 2007</vt:lpwstr>
  </property>
  <property fmtid="{D5CDD505-2E9C-101B-9397-08002B2CF9AE}" pid="4" name="LastSaved">
    <vt:filetime>2021-02-25T00:00:00Z</vt:filetime>
  </property>
</Properties>
</file>