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30" w:firstLine="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Additional information on questions</w:t>
      </w:r>
    </w:p>
    <w:tbl>
      <w:tblPr>
        <w:tblStyle w:val="Table1"/>
        <w:tblW w:w="15135.0" w:type="dxa"/>
        <w:jc w:val="left"/>
        <w:tblInd w:w="-3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2130"/>
        <w:gridCol w:w="3390"/>
        <w:gridCol w:w="4200"/>
        <w:gridCol w:w="4620"/>
        <w:tblGridChange w:id="0">
          <w:tblGrid>
            <w:gridCol w:w="795"/>
            <w:gridCol w:w="2130"/>
            <w:gridCol w:w="3390"/>
            <w:gridCol w:w="4200"/>
            <w:gridCol w:w="4620"/>
          </w:tblGrid>
        </w:tblGridChange>
      </w:tblGrid>
      <w:tr>
        <w:trPr>
          <w:cantSplit w:val="0"/>
          <w:trHeight w:val="411" w:hRule="atLeast"/>
          <w:tblHeader w:val="0"/>
        </w:trPr>
        <w:tc>
          <w:tcPr>
            <w:shd w:fill="f2f2f2" w:val="clear"/>
          </w:tcPr>
          <w:p w:rsidR="00000000" w:rsidDel="00000000" w:rsidP="00000000" w:rsidRDefault="00000000" w:rsidRPr="00000000" w14:paraId="00000002">
            <w:pPr>
              <w:jc w:val="center"/>
              <w:rPr>
                <w:b w:val="1"/>
                <w:color w:val="44546a"/>
                <w:sz w:val="32"/>
                <w:szCs w:val="32"/>
              </w:rPr>
            </w:pPr>
            <w:r w:rsidDel="00000000" w:rsidR="00000000" w:rsidRPr="00000000">
              <w:rPr>
                <w:b w:val="1"/>
                <w:color w:val="44546a"/>
                <w:sz w:val="32"/>
                <w:szCs w:val="32"/>
                <w:rtl w:val="0"/>
              </w:rPr>
              <w:t xml:space="preserve">N</w:t>
            </w:r>
          </w:p>
        </w:tc>
        <w:tc>
          <w:tcPr>
            <w:shd w:fill="f2f2f2" w:val="clear"/>
          </w:tcPr>
          <w:p w:rsidR="00000000" w:rsidDel="00000000" w:rsidP="00000000" w:rsidRDefault="00000000" w:rsidRPr="00000000" w14:paraId="00000003">
            <w:pPr>
              <w:jc w:val="center"/>
              <w:rPr>
                <w:b w:val="1"/>
                <w:color w:val="44546a"/>
                <w:sz w:val="32"/>
                <w:szCs w:val="32"/>
              </w:rPr>
            </w:pPr>
            <w:r w:rsidDel="00000000" w:rsidR="00000000" w:rsidRPr="00000000">
              <w:rPr>
                <w:b w:val="1"/>
                <w:color w:val="44546a"/>
                <w:sz w:val="32"/>
                <w:szCs w:val="32"/>
                <w:rtl w:val="0"/>
              </w:rPr>
              <w:t xml:space="preserve">Question</w:t>
            </w:r>
          </w:p>
        </w:tc>
        <w:tc>
          <w:tcPr>
            <w:shd w:fill="f2f2f2" w:val="clear"/>
          </w:tcPr>
          <w:p w:rsidR="00000000" w:rsidDel="00000000" w:rsidP="00000000" w:rsidRDefault="00000000" w:rsidRPr="00000000" w14:paraId="00000004">
            <w:pPr>
              <w:jc w:val="center"/>
              <w:rPr>
                <w:b w:val="1"/>
                <w:color w:val="44546a"/>
                <w:sz w:val="32"/>
                <w:szCs w:val="32"/>
              </w:rPr>
            </w:pPr>
            <w:r w:rsidDel="00000000" w:rsidR="00000000" w:rsidRPr="00000000">
              <w:rPr>
                <w:b w:val="1"/>
                <w:color w:val="44546a"/>
                <w:sz w:val="32"/>
                <w:szCs w:val="32"/>
                <w:rtl w:val="0"/>
              </w:rPr>
              <w:t xml:space="preserve">Clarifications (EKENG)</w:t>
            </w:r>
          </w:p>
        </w:tc>
        <w:tc>
          <w:tcPr>
            <w:shd w:fill="f2f2f2" w:val="clear"/>
          </w:tcPr>
          <w:p w:rsidR="00000000" w:rsidDel="00000000" w:rsidP="00000000" w:rsidRDefault="00000000" w:rsidRPr="00000000" w14:paraId="00000005">
            <w:pPr>
              <w:jc w:val="center"/>
              <w:rPr>
                <w:b w:val="1"/>
                <w:color w:val="44546a"/>
                <w:sz w:val="32"/>
                <w:szCs w:val="32"/>
              </w:rPr>
            </w:pPr>
            <w:r w:rsidDel="00000000" w:rsidR="00000000" w:rsidRPr="00000000">
              <w:rPr>
                <w:b w:val="1"/>
                <w:color w:val="44546a"/>
                <w:sz w:val="32"/>
                <w:szCs w:val="32"/>
                <w:rtl w:val="0"/>
              </w:rPr>
              <w:t xml:space="preserve">Responses (GTMI team)</w:t>
            </w:r>
          </w:p>
        </w:tc>
        <w:tc>
          <w:tcPr>
            <w:shd w:fill="f2f2f2" w:val="clear"/>
          </w:tcPr>
          <w:p w:rsidR="00000000" w:rsidDel="00000000" w:rsidP="00000000" w:rsidRDefault="00000000" w:rsidRPr="00000000" w14:paraId="00000006">
            <w:pPr>
              <w:jc w:val="center"/>
              <w:rPr>
                <w:b w:val="1"/>
                <w:color w:val="44546a"/>
                <w:sz w:val="32"/>
                <w:szCs w:val="32"/>
              </w:rPr>
            </w:pPr>
            <w:r w:rsidDel="00000000" w:rsidR="00000000" w:rsidRPr="00000000">
              <w:rPr>
                <w:b w:val="1"/>
                <w:color w:val="44546a"/>
                <w:sz w:val="32"/>
                <w:szCs w:val="32"/>
                <w:rtl w:val="0"/>
              </w:rPr>
              <w:t xml:space="preserve">EKENG answers</w:t>
            </w:r>
          </w:p>
        </w:tc>
      </w:tr>
      <w:tr>
        <w:trPr>
          <w:cantSplit w:val="0"/>
          <w:tblHeader w:val="0"/>
        </w:trPr>
        <w:tc>
          <w:tcPr>
            <w:shd w:fill="f2f2f2" w:val="clear"/>
          </w:tcPr>
          <w:p w:rsidR="00000000" w:rsidDel="00000000" w:rsidP="00000000" w:rsidRDefault="00000000" w:rsidRPr="00000000" w14:paraId="00000007">
            <w:pPr>
              <w:jc w:val="center"/>
              <w:rPr>
                <w:b w:val="1"/>
                <w:color w:val="44546a"/>
              </w:rPr>
            </w:pPr>
            <w:r w:rsidDel="00000000" w:rsidR="00000000" w:rsidRPr="00000000">
              <w:rPr>
                <w:b w:val="1"/>
                <w:color w:val="44546a"/>
                <w:rtl w:val="0"/>
              </w:rPr>
              <w:t xml:space="preserve">I-1.6</w:t>
            </w:r>
          </w:p>
        </w:tc>
        <w:tc>
          <w:tcPr/>
          <w:p w:rsidR="00000000" w:rsidDel="00000000" w:rsidP="00000000" w:rsidRDefault="00000000" w:rsidRPr="00000000" w14:paraId="00000008">
            <w:pPr>
              <w:rPr/>
            </w:pPr>
            <w:r w:rsidDel="00000000" w:rsidR="00000000" w:rsidRPr="00000000">
              <w:rPr>
                <w:rtl w:val="0"/>
              </w:rPr>
              <w:t xml:space="preserve">Government Cloud data hosting policy?</w:t>
            </w:r>
          </w:p>
        </w:tc>
        <w:tc>
          <w:tcPr/>
          <w:p w:rsidR="00000000" w:rsidDel="00000000" w:rsidP="00000000" w:rsidRDefault="00000000" w:rsidRPr="00000000" w14:paraId="00000009">
            <w:pPr>
              <w:rPr/>
            </w:pPr>
            <w:r w:rsidDel="00000000" w:rsidR="00000000" w:rsidRPr="00000000">
              <w:rPr>
                <w:rtl w:val="0"/>
              </w:rPr>
              <w:t xml:space="preserve">There is no officially adopted policy for Cloud data hosting, however, the Government ensures that the data of state importance is kept inside the country. </w:t>
            </w:r>
          </w:p>
        </w:tc>
        <w:tc>
          <w:tcPr/>
          <w:p w:rsidR="00000000" w:rsidDel="00000000" w:rsidP="00000000" w:rsidRDefault="00000000" w:rsidRPr="00000000" w14:paraId="0000000A">
            <w:pPr>
              <w:rPr/>
            </w:pPr>
            <w:r w:rsidDel="00000000" w:rsidR="00000000" w:rsidRPr="00000000">
              <w:rPr>
                <w:rtl w:val="0"/>
              </w:rPr>
              <w:t xml:space="preserve">This is a sub-indicator linked to the key indicator I-1. </w:t>
            </w:r>
            <w:r w:rsidDel="00000000" w:rsidR="00000000" w:rsidRPr="00000000">
              <w:rPr>
                <w:color w:val="0000cc"/>
                <w:rtl w:val="0"/>
              </w:rPr>
              <w:t xml:space="preserve">Since there is no government cloud platform in Armenia yet, the response to I-6 is expected to be “No” (or 0).</w:t>
            </w:r>
            <w:r w:rsidDel="00000000" w:rsidR="00000000" w:rsidRPr="00000000">
              <w:rPr>
                <w:rtl w:val="0"/>
              </w:rPr>
              <w:t xml:space="preserve"> If there is a draft or approved strategy or policy that is publicly available (with a document title and URL) you can select “Only cloud strategy/policy (no platform yet)” (or 1). However, this doesn’t appear to be the case. In case of “No”, there is no need to answer the sub-indicators, including I-1.6. </w:t>
            </w:r>
          </w:p>
        </w:tc>
        <w:tc>
          <w:tcPr/>
          <w:p w:rsidR="00000000" w:rsidDel="00000000" w:rsidP="00000000" w:rsidRDefault="00000000" w:rsidRPr="00000000" w14:paraId="0000000B">
            <w:pPr>
              <w:rPr/>
            </w:pPr>
            <w:r w:rsidDel="00000000" w:rsidR="00000000" w:rsidRPr="00000000">
              <w:rPr>
                <w:rtl w:val="0"/>
              </w:rPr>
              <w:t xml:space="preserve">However, with the absence of Cloud data hosting policy, there actually are cloud platform services in use for Governmental institutions, which imply specific regulations and conditions followed by EKENG. Therefore the answer on I-1 question should be Yes, as there is a shared cloud platform available for all governmental entities. Meanwhile, we will mention that the regulations still are not in place. </w:t>
            </w:r>
          </w:p>
        </w:tc>
      </w:tr>
      <w:tr>
        <w:trPr>
          <w:cantSplit w:val="0"/>
          <w:tblHeader w:val="0"/>
        </w:trPr>
        <w:tc>
          <w:tcPr>
            <w:shd w:fill="f2f2f2" w:val="clear"/>
          </w:tcPr>
          <w:p w:rsidR="00000000" w:rsidDel="00000000" w:rsidP="00000000" w:rsidRDefault="00000000" w:rsidRPr="00000000" w14:paraId="0000000C">
            <w:pPr>
              <w:jc w:val="center"/>
              <w:rPr>
                <w:b w:val="1"/>
                <w:color w:val="44546a"/>
              </w:rPr>
            </w:pPr>
            <w:r w:rsidDel="00000000" w:rsidR="00000000" w:rsidRPr="00000000">
              <w:rPr>
                <w:b w:val="1"/>
                <w:color w:val="44546a"/>
                <w:rtl w:val="0"/>
              </w:rPr>
              <w:t xml:space="preserve">I-3.6</w:t>
            </w:r>
          </w:p>
        </w:tc>
        <w:tc>
          <w:tcPr/>
          <w:p w:rsidR="00000000" w:rsidDel="00000000" w:rsidP="00000000" w:rsidRDefault="00000000" w:rsidRPr="00000000" w14:paraId="0000000D">
            <w:pPr>
              <w:rPr/>
            </w:pPr>
            <w:r w:rsidDel="00000000" w:rsidR="00000000" w:rsidRPr="00000000">
              <w:rPr>
                <w:rtl w:val="0"/>
              </w:rPr>
              <w:t xml:space="preserve">Is there a data quality framework?</w:t>
            </w:r>
          </w:p>
        </w:tc>
        <w:tc>
          <w:tcPr/>
          <w:p w:rsidR="00000000" w:rsidDel="00000000" w:rsidP="00000000" w:rsidRDefault="00000000" w:rsidRPr="00000000" w14:paraId="0000000E">
            <w:pPr>
              <w:rPr/>
            </w:pPr>
            <w:r w:rsidDel="00000000" w:rsidR="00000000" w:rsidRPr="00000000">
              <w:rPr>
                <w:rtl w:val="0"/>
              </w:rPr>
              <w:t xml:space="preserve">There is no adopted data quality framework, however, all newly developed systems are designed to be integrated into the Government Interoperability platform, thus extensively use data from different state registers. This helps to reveal any incompliances and quality issues with databases and correct them. </w:t>
            </w:r>
          </w:p>
        </w:tc>
        <w:tc>
          <w:tcPr/>
          <w:p w:rsidR="00000000" w:rsidDel="00000000" w:rsidP="00000000" w:rsidRDefault="00000000" w:rsidRPr="00000000" w14:paraId="0000000F">
            <w:pPr>
              <w:rPr/>
            </w:pPr>
            <w:r w:rsidDel="00000000" w:rsidR="00000000" w:rsidRPr="00000000">
              <w:rPr>
                <w:rtl w:val="0"/>
              </w:rPr>
              <w:t xml:space="preserve">This is a sub-indicator linked to the key indicator I-3. Similar to the above response, if there is a document or web site explaining the data quality framework, the answer can be “Yes” Interoperability framework alone may not be adequate without a specific guidance/framework on how to ensure data quality for different applications. </w:t>
            </w:r>
          </w:p>
        </w:tc>
        <w:tc>
          <w:tcPr/>
          <w:p w:rsidR="00000000" w:rsidDel="00000000" w:rsidP="00000000" w:rsidRDefault="00000000" w:rsidRPr="00000000" w14:paraId="00000010">
            <w:pPr>
              <w:rPr/>
            </w:pPr>
            <w:bookmarkStart w:colFirst="0" w:colLast="0" w:name="_heading=h.gjdgxs" w:id="0"/>
            <w:bookmarkEnd w:id="0"/>
            <w:r w:rsidDel="00000000" w:rsidR="00000000" w:rsidRPr="00000000">
              <w:rPr>
                <w:rtl w:val="0"/>
              </w:rPr>
              <w:t xml:space="preserve">Well noted. </w:t>
            </w:r>
          </w:p>
        </w:tc>
      </w:tr>
      <w:tr>
        <w:trPr>
          <w:cantSplit w:val="0"/>
          <w:tblHeader w:val="0"/>
        </w:trPr>
        <w:tc>
          <w:tcPr>
            <w:shd w:fill="f2f2f2" w:val="clear"/>
          </w:tcPr>
          <w:p w:rsidR="00000000" w:rsidDel="00000000" w:rsidP="00000000" w:rsidRDefault="00000000" w:rsidRPr="00000000" w14:paraId="00000011">
            <w:pPr>
              <w:jc w:val="center"/>
              <w:rPr>
                <w:b w:val="1"/>
                <w:color w:val="44546a"/>
              </w:rPr>
            </w:pPr>
            <w:r w:rsidDel="00000000" w:rsidR="00000000" w:rsidRPr="00000000">
              <w:rPr>
                <w:b w:val="1"/>
                <w:color w:val="44546a"/>
                <w:rtl w:val="0"/>
              </w:rPr>
              <w:t xml:space="preserve">I-5</w:t>
            </w:r>
          </w:p>
        </w:tc>
        <w:tc>
          <w:tcPr/>
          <w:p w:rsidR="00000000" w:rsidDel="00000000" w:rsidP="00000000" w:rsidRDefault="00000000" w:rsidRPr="00000000" w14:paraId="00000012">
            <w:pPr>
              <w:rPr/>
            </w:pPr>
            <w:r w:rsidDel="00000000" w:rsidR="00000000" w:rsidRPr="00000000">
              <w:rPr>
                <w:rtl w:val="0"/>
              </w:rPr>
              <w:t xml:space="preserve">Is there an operational FMIS in place to support core PFM functions?</w:t>
            </w:r>
          </w:p>
        </w:tc>
        <w:tc>
          <w:tcPr/>
          <w:p w:rsidR="00000000" w:rsidDel="00000000" w:rsidP="00000000" w:rsidRDefault="00000000" w:rsidRPr="00000000" w14:paraId="00000013">
            <w:pPr>
              <w:rPr/>
            </w:pPr>
            <w:r w:rsidDel="00000000" w:rsidR="00000000" w:rsidRPr="00000000">
              <w:rPr>
                <w:rtl w:val="0"/>
              </w:rPr>
              <w:t xml:space="preserve">It is important to note that several separate platforms for the exercise of different functions of the Ministry of Finance are in place. Some of them are based on outdated technologies, limiting the possibilities of integrations with other systems, while some of them are extensively in use. Those platforms include public procurements, debt management, treasury, budget planning, public sector accounting, etc. </w:t>
            </w:r>
          </w:p>
        </w:tc>
        <w:tc>
          <w:tcPr/>
          <w:p w:rsidR="00000000" w:rsidDel="00000000" w:rsidP="00000000" w:rsidRDefault="00000000" w:rsidRPr="00000000" w14:paraId="00000014">
            <w:pPr>
              <w:rPr/>
            </w:pPr>
            <w:r w:rsidDel="00000000" w:rsidR="00000000" w:rsidRPr="00000000">
              <w:rPr>
                <w:rtl w:val="0"/>
              </w:rPr>
              <w:t xml:space="preserve">You can select “Yes” for I-5 and respond to relevant sub-indicators. Additionally, you can provide a summary of existing FMIS platform using the “Attachments” form of the survey. In further clarifications section, you can include a few lines starting with “Clarifications on I-5 (FMIS): “ and continue with your explanation.</w:t>
            </w:r>
          </w:p>
        </w:tc>
        <w:tc>
          <w:tcPr/>
          <w:p w:rsidR="00000000" w:rsidDel="00000000" w:rsidP="00000000" w:rsidRDefault="00000000" w:rsidRPr="00000000" w14:paraId="00000015">
            <w:pPr>
              <w:rPr/>
            </w:pPr>
            <w:r w:rsidDel="00000000" w:rsidR="00000000" w:rsidRPr="00000000">
              <w:rPr>
                <w:rtl w:val="0"/>
              </w:rPr>
              <w:t xml:space="preserve">Different platforms which are used by Ministry of Finance are: </w:t>
            </w:r>
          </w:p>
          <w:p w:rsidR="00000000" w:rsidDel="00000000" w:rsidP="00000000" w:rsidRDefault="00000000" w:rsidRPr="00000000" w14:paraId="00000016">
            <w:pPr>
              <w:numPr>
                <w:ilvl w:val="0"/>
                <w:numId w:val="1"/>
              </w:numPr>
              <w:ind w:left="720" w:hanging="360"/>
              <w:rPr>
                <w:sz w:val="20"/>
                <w:szCs w:val="20"/>
              </w:rPr>
            </w:pPr>
            <w:hyperlink r:id="rId7">
              <w:r w:rsidDel="00000000" w:rsidR="00000000" w:rsidRPr="00000000">
                <w:rPr>
                  <w:color w:val="337ab7"/>
                  <w:sz w:val="20"/>
                  <w:szCs w:val="20"/>
                  <w:highlight w:val="white"/>
                  <w:rtl w:val="0"/>
                </w:rPr>
                <w:t xml:space="preserve">https://www.armeps.am</w:t>
              </w:r>
            </w:hyperlink>
            <w:r w:rsidDel="00000000" w:rsidR="00000000" w:rsidRPr="00000000">
              <w:rPr>
                <w:sz w:val="20"/>
                <w:szCs w:val="20"/>
                <w:rtl w:val="0"/>
              </w:rPr>
              <w:t xml:space="preserve"> - </w:t>
            </w:r>
            <w:r w:rsidDel="00000000" w:rsidR="00000000" w:rsidRPr="00000000">
              <w:rPr>
                <w:color w:val="333333"/>
                <w:sz w:val="20"/>
                <w:szCs w:val="20"/>
                <w:highlight w:val="white"/>
                <w:rtl w:val="0"/>
              </w:rPr>
              <w:t xml:space="preserve">e-procurement system</w:t>
            </w:r>
            <w:r w:rsidDel="00000000" w:rsidR="00000000" w:rsidRPr="00000000">
              <w:rPr>
                <w:rtl w:val="0"/>
              </w:rPr>
            </w:r>
          </w:p>
          <w:p w:rsidR="00000000" w:rsidDel="00000000" w:rsidP="00000000" w:rsidRDefault="00000000" w:rsidRPr="00000000" w14:paraId="00000017">
            <w:pPr>
              <w:numPr>
                <w:ilvl w:val="0"/>
                <w:numId w:val="1"/>
              </w:numPr>
              <w:ind w:left="720" w:hanging="360"/>
              <w:rPr>
                <w:sz w:val="20"/>
                <w:szCs w:val="20"/>
              </w:rPr>
            </w:pPr>
            <w:hyperlink r:id="rId8">
              <w:r w:rsidDel="00000000" w:rsidR="00000000" w:rsidRPr="00000000">
                <w:rPr>
                  <w:color w:val="1155cc"/>
                  <w:sz w:val="20"/>
                  <w:szCs w:val="20"/>
                  <w:u w:val="single"/>
                  <w:rtl w:val="0"/>
                </w:rPr>
                <w:t xml:space="preserve">https://eauction.armeps.am</w:t>
              </w:r>
            </w:hyperlink>
            <w:r w:rsidDel="00000000" w:rsidR="00000000" w:rsidRPr="00000000">
              <w:rPr>
                <w:sz w:val="20"/>
                <w:szCs w:val="20"/>
                <w:rtl w:val="0"/>
              </w:rPr>
              <w:t xml:space="preserve"> - </w:t>
            </w:r>
            <w:r w:rsidDel="00000000" w:rsidR="00000000" w:rsidRPr="00000000">
              <w:rPr>
                <w:color w:val="333333"/>
                <w:sz w:val="20"/>
                <w:szCs w:val="20"/>
                <w:highlight w:val="white"/>
                <w:rtl w:val="0"/>
              </w:rPr>
              <w:t xml:space="preserve">e-Auction system</w:t>
            </w:r>
            <w:r w:rsidDel="00000000" w:rsidR="00000000" w:rsidRPr="00000000">
              <w:rPr>
                <w:rtl w:val="0"/>
              </w:rPr>
            </w:r>
          </w:p>
          <w:p w:rsidR="00000000" w:rsidDel="00000000" w:rsidP="00000000" w:rsidRDefault="00000000" w:rsidRPr="00000000" w14:paraId="00000018">
            <w:pPr>
              <w:numPr>
                <w:ilvl w:val="0"/>
                <w:numId w:val="1"/>
              </w:numPr>
              <w:ind w:left="720" w:hanging="360"/>
              <w:rPr>
                <w:sz w:val="20"/>
                <w:szCs w:val="20"/>
              </w:rPr>
            </w:pPr>
            <w:r w:rsidDel="00000000" w:rsidR="00000000" w:rsidRPr="00000000">
              <w:rPr>
                <w:color w:val="333333"/>
                <w:sz w:val="20"/>
                <w:szCs w:val="20"/>
                <w:highlight w:val="white"/>
                <w:rtl w:val="0"/>
              </w:rPr>
              <w:t xml:space="preserve">Hash-test - Accountants testing system</w:t>
            </w:r>
          </w:p>
          <w:p w:rsidR="00000000" w:rsidDel="00000000" w:rsidP="00000000" w:rsidRDefault="00000000" w:rsidRPr="00000000" w14:paraId="00000019">
            <w:pPr>
              <w:numPr>
                <w:ilvl w:val="0"/>
                <w:numId w:val="1"/>
              </w:numPr>
              <w:ind w:left="720" w:hanging="360"/>
              <w:rPr>
                <w:color w:val="333333"/>
                <w:sz w:val="20"/>
                <w:szCs w:val="20"/>
                <w:highlight w:val="white"/>
              </w:rPr>
            </w:pPr>
            <w:r w:rsidDel="00000000" w:rsidR="00000000" w:rsidRPr="00000000">
              <w:rPr>
                <w:color w:val="333333"/>
                <w:sz w:val="20"/>
                <w:szCs w:val="20"/>
                <w:highlight w:val="white"/>
                <w:rtl w:val="0"/>
              </w:rPr>
              <w:t xml:space="preserve">Dmfas - Public debt management system</w:t>
            </w:r>
          </w:p>
          <w:p w:rsidR="00000000" w:rsidDel="00000000" w:rsidP="00000000" w:rsidRDefault="00000000" w:rsidRPr="00000000" w14:paraId="0000001A">
            <w:pPr>
              <w:numPr>
                <w:ilvl w:val="0"/>
                <w:numId w:val="1"/>
              </w:numPr>
              <w:ind w:left="720" w:hanging="360"/>
              <w:rPr>
                <w:color w:val="333333"/>
                <w:sz w:val="20"/>
                <w:szCs w:val="20"/>
                <w:highlight w:val="white"/>
              </w:rPr>
            </w:pPr>
            <w:r w:rsidDel="00000000" w:rsidR="00000000" w:rsidRPr="00000000">
              <w:rPr>
                <w:color w:val="333333"/>
                <w:sz w:val="20"/>
                <w:szCs w:val="20"/>
                <w:highlight w:val="white"/>
                <w:rtl w:val="0"/>
              </w:rPr>
              <w:t xml:space="preserve">PPCM - Contract Management and Procurement Accounting System</w:t>
            </w:r>
          </w:p>
          <w:p w:rsidR="00000000" w:rsidDel="00000000" w:rsidP="00000000" w:rsidRDefault="00000000" w:rsidRPr="00000000" w14:paraId="0000001B">
            <w:pPr>
              <w:numPr>
                <w:ilvl w:val="0"/>
                <w:numId w:val="1"/>
              </w:numPr>
              <w:ind w:left="720" w:hanging="360"/>
              <w:rPr>
                <w:color w:val="333333"/>
                <w:sz w:val="20"/>
                <w:szCs w:val="20"/>
                <w:highlight w:val="white"/>
              </w:rPr>
            </w:pPr>
            <w:r w:rsidDel="00000000" w:rsidR="00000000" w:rsidRPr="00000000">
              <w:rPr>
                <w:color w:val="333333"/>
                <w:sz w:val="20"/>
                <w:szCs w:val="20"/>
                <w:highlight w:val="white"/>
                <w:rtl w:val="0"/>
              </w:rPr>
              <w:t xml:space="preserve">LsFinance - Managing accounts in real time as required by law, as well as monitoring the budget allocation of subordinate bailiffs.</w:t>
            </w:r>
          </w:p>
          <w:p w:rsidR="00000000" w:rsidDel="00000000" w:rsidP="00000000" w:rsidRDefault="00000000" w:rsidRPr="00000000" w14:paraId="0000001C">
            <w:pPr>
              <w:numPr>
                <w:ilvl w:val="0"/>
                <w:numId w:val="1"/>
              </w:numPr>
              <w:ind w:left="720" w:hanging="360"/>
              <w:rPr>
                <w:color w:val="333333"/>
                <w:sz w:val="20"/>
                <w:szCs w:val="20"/>
                <w:highlight w:val="white"/>
              </w:rPr>
            </w:pPr>
            <w:r w:rsidDel="00000000" w:rsidR="00000000" w:rsidRPr="00000000">
              <w:rPr>
                <w:color w:val="333333"/>
                <w:sz w:val="20"/>
                <w:szCs w:val="20"/>
                <w:highlight w:val="white"/>
                <w:rtl w:val="0"/>
              </w:rPr>
              <w:t xml:space="preserve">LSRep - Budget reporting system</w:t>
            </w:r>
          </w:p>
        </w:tc>
      </w:tr>
      <w:tr>
        <w:trPr>
          <w:cantSplit w:val="0"/>
          <w:tblHeader w:val="0"/>
        </w:trPr>
        <w:tc>
          <w:tcPr>
            <w:shd w:fill="f2f2f2" w:val="clear"/>
          </w:tcPr>
          <w:p w:rsidR="00000000" w:rsidDel="00000000" w:rsidP="00000000" w:rsidRDefault="00000000" w:rsidRPr="00000000" w14:paraId="0000001D">
            <w:pPr>
              <w:jc w:val="center"/>
              <w:rPr>
                <w:b w:val="1"/>
                <w:color w:val="44546a"/>
              </w:rPr>
            </w:pPr>
            <w:r w:rsidDel="00000000" w:rsidR="00000000" w:rsidRPr="00000000">
              <w:rPr>
                <w:b w:val="1"/>
                <w:color w:val="44546a"/>
                <w:rtl w:val="0"/>
              </w:rPr>
              <w:t xml:space="preserve">I-11.11</w:t>
            </w:r>
          </w:p>
        </w:tc>
        <w:tc>
          <w:tcPr/>
          <w:p w:rsidR="00000000" w:rsidDel="00000000" w:rsidP="00000000" w:rsidRDefault="00000000" w:rsidRPr="00000000" w14:paraId="0000001E">
            <w:pPr>
              <w:rPr/>
            </w:pPr>
            <w:r w:rsidDel="00000000" w:rsidR="00000000" w:rsidRPr="00000000">
              <w:rPr>
                <w:rtl w:val="0"/>
              </w:rPr>
              <w:t xml:space="preserve">Are all SI / Pension beneficiary records fully digitized?</w:t>
            </w:r>
          </w:p>
        </w:tc>
        <w:tc>
          <w:tcPr/>
          <w:p w:rsidR="00000000" w:rsidDel="00000000" w:rsidP="00000000" w:rsidRDefault="00000000" w:rsidRPr="00000000" w14:paraId="0000001F">
            <w:pPr>
              <w:rPr/>
            </w:pPr>
            <w:r w:rsidDel="00000000" w:rsidR="00000000" w:rsidRPr="00000000">
              <w:rPr>
                <w:rtl w:val="0"/>
              </w:rPr>
              <w:t xml:space="preserve">The Pension beneficiary records are used also for calculating family benefits.</w:t>
            </w:r>
          </w:p>
        </w:tc>
        <w:tc>
          <w:tcPr/>
          <w:p w:rsidR="00000000" w:rsidDel="00000000" w:rsidP="00000000" w:rsidRDefault="00000000" w:rsidRPr="00000000" w14:paraId="00000020">
            <w:pPr>
              <w:rPr/>
            </w:pPr>
            <w:r w:rsidDel="00000000" w:rsidR="00000000" w:rsidRPr="00000000">
              <w:rPr>
                <w:rtl w:val="0"/>
              </w:rPr>
              <w:t xml:space="preserve">This sub-indicator is to clarify the level of digitization of the beneficiary records. Do you have a registry/database capturing and maintaining the details of all SI Pension beneficiary records? (No / Partially / Yes, fully)</w:t>
            </w:r>
          </w:p>
        </w:tc>
        <w:tc>
          <w:tcPr/>
          <w:p w:rsidR="00000000" w:rsidDel="00000000" w:rsidP="00000000" w:rsidRDefault="00000000" w:rsidRPr="00000000" w14:paraId="00000021">
            <w:pPr>
              <w:rPr/>
            </w:pPr>
            <w:r w:rsidDel="00000000" w:rsidR="00000000" w:rsidRPr="00000000">
              <w:rPr>
                <w:rtl w:val="0"/>
              </w:rPr>
              <w:t xml:space="preserve">Well noted, and changes were done accordingly </w:t>
            </w:r>
          </w:p>
        </w:tc>
      </w:tr>
      <w:tr>
        <w:trPr>
          <w:cantSplit w:val="0"/>
          <w:tblHeader w:val="0"/>
        </w:trPr>
        <w:tc>
          <w:tcPr>
            <w:shd w:fill="f2f2f2" w:val="clear"/>
          </w:tcPr>
          <w:p w:rsidR="00000000" w:rsidDel="00000000" w:rsidP="00000000" w:rsidRDefault="00000000" w:rsidRPr="00000000" w14:paraId="00000022">
            <w:pPr>
              <w:jc w:val="center"/>
              <w:rPr>
                <w:b w:val="1"/>
                <w:color w:val="44546a"/>
              </w:rPr>
            </w:pPr>
            <w:r w:rsidDel="00000000" w:rsidR="00000000" w:rsidRPr="00000000">
              <w:rPr>
                <w:b w:val="1"/>
                <w:color w:val="44546a"/>
                <w:rtl w:val="0"/>
              </w:rPr>
              <w:t xml:space="preserve">I-11.13.1</w:t>
            </w:r>
          </w:p>
        </w:tc>
        <w:tc>
          <w:tcPr/>
          <w:p w:rsidR="00000000" w:rsidDel="00000000" w:rsidP="00000000" w:rsidRDefault="00000000" w:rsidRPr="00000000" w14:paraId="00000023">
            <w:pPr>
              <w:rPr/>
            </w:pPr>
            <w:r w:rsidDel="00000000" w:rsidR="00000000" w:rsidRPr="00000000">
              <w:rPr>
                <w:rtl w:val="0"/>
              </w:rPr>
              <w:t xml:space="preserve">If Digitized &gt; In what year was digitization introduced for the contribution records? (year)</w:t>
            </w:r>
          </w:p>
        </w:tc>
        <w:tc>
          <w:tcPr/>
          <w:p w:rsidR="00000000" w:rsidDel="00000000" w:rsidP="00000000" w:rsidRDefault="00000000" w:rsidRPr="00000000" w14:paraId="00000024">
            <w:pPr>
              <w:rPr/>
            </w:pPr>
            <w:r w:rsidDel="00000000" w:rsidR="00000000" w:rsidRPr="00000000">
              <w:rPr>
                <w:rtl w:val="0"/>
              </w:rPr>
              <w:t xml:space="preserve">Needs clarification: share in what?</w:t>
            </w:r>
          </w:p>
        </w:tc>
        <w:tc>
          <w:tcPr/>
          <w:p w:rsidR="00000000" w:rsidDel="00000000" w:rsidP="00000000" w:rsidRDefault="00000000" w:rsidRPr="00000000" w14:paraId="00000025">
            <w:pPr>
              <w:rPr/>
            </w:pPr>
            <w:r w:rsidDel="00000000" w:rsidR="00000000" w:rsidRPr="00000000">
              <w:rPr>
                <w:rtl w:val="0"/>
              </w:rPr>
              <w:t xml:space="preserve">There is no “share” question in this sub-indicator. I-11.13.1 is to indicate the Year of digitization, in case your response to I-11.13 is Partially or Yes.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If you are referring to I-11.12, it is, measuring the  “Share of all SI / Pension benefit payments deposited digitally to individual bank accounts of beneficiaries (percentage)”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We also noted that your response to I-11.15 was “Yes” but there is no evidence presented in I-11.15.1. In this case, the response should be “No”, if there is no relevant URL or report to include.</w:t>
            </w:r>
          </w:p>
        </w:tc>
        <w:tc>
          <w:tcPr/>
          <w:p w:rsidR="00000000" w:rsidDel="00000000" w:rsidP="00000000" w:rsidRDefault="00000000" w:rsidRPr="00000000" w14:paraId="0000002A">
            <w:pPr>
              <w:rPr/>
            </w:pPr>
            <w:r w:rsidDel="00000000" w:rsidR="00000000" w:rsidRPr="00000000">
              <w:rPr>
                <w:rtl w:val="0"/>
              </w:rPr>
              <w:t xml:space="preserve">Responses related to the I-11.13 indicator and I-11.13.1 sub-indicator require additional clarification, which is that there is no insurance system in place, however the payments which are collected from public and private employees to be returned to them in certain circumstances are done through revenue tax.  And it was implemented in 2013 (as it is mentioned in the survey). </w:t>
            </w:r>
          </w:p>
        </w:tc>
      </w:tr>
      <w:tr>
        <w:trPr>
          <w:cantSplit w:val="0"/>
          <w:tblHeader w:val="0"/>
        </w:trPr>
        <w:tc>
          <w:tcPr>
            <w:shd w:fill="f2f2f2" w:val="clear"/>
          </w:tcPr>
          <w:p w:rsidR="00000000" w:rsidDel="00000000" w:rsidP="00000000" w:rsidRDefault="00000000" w:rsidRPr="00000000" w14:paraId="0000002B">
            <w:pPr>
              <w:jc w:val="center"/>
              <w:rPr>
                <w:b w:val="1"/>
                <w:color w:val="44546a"/>
              </w:rPr>
            </w:pPr>
            <w:r w:rsidDel="00000000" w:rsidR="00000000" w:rsidRPr="00000000">
              <w:rPr>
                <w:b w:val="1"/>
                <w:color w:val="44546a"/>
                <w:rtl w:val="0"/>
              </w:rPr>
              <w:t xml:space="preserve">I-12.2</w:t>
            </w:r>
          </w:p>
        </w:tc>
        <w:tc>
          <w:tcPr/>
          <w:p w:rsidR="00000000" w:rsidDel="00000000" w:rsidP="00000000" w:rsidRDefault="00000000" w:rsidRPr="00000000" w14:paraId="0000002C">
            <w:pPr>
              <w:rPr/>
            </w:pPr>
            <w:r w:rsidDel="00000000" w:rsidR="00000000" w:rsidRPr="00000000">
              <w:rPr>
                <w:rtl w:val="0"/>
              </w:rPr>
              <w:t xml:space="preserve">e-Procurement Portal URL</w:t>
            </w:r>
          </w:p>
        </w:tc>
        <w:tc>
          <w:tcPr/>
          <w:p w:rsidR="00000000" w:rsidDel="00000000" w:rsidP="00000000" w:rsidRDefault="00000000" w:rsidRPr="00000000" w14:paraId="0000002D">
            <w:pPr>
              <w:rPr/>
            </w:pPr>
            <w:r w:rsidDel="00000000" w:rsidR="00000000" w:rsidRPr="00000000">
              <w:rPr>
                <w:rtl w:val="0"/>
              </w:rPr>
              <w:t xml:space="preserve">Three links are provided (ARMEPS, PPCM, e-auction)</w:t>
            </w:r>
          </w:p>
        </w:tc>
        <w:tc>
          <w:tcPr/>
          <w:p w:rsidR="00000000" w:rsidDel="00000000" w:rsidP="00000000" w:rsidRDefault="00000000" w:rsidRPr="00000000" w14:paraId="0000002E">
            <w:pPr>
              <w:rPr/>
            </w:pPr>
            <w:r w:rsidDel="00000000" w:rsidR="00000000" w:rsidRPr="00000000">
              <w:rPr>
                <w:rtl w:val="0"/>
              </w:rPr>
              <w:t xml:space="preserve">Thanks. Noted.</w:t>
            </w:r>
          </w:p>
        </w:tc>
        <w:tc>
          <w:tcPr/>
          <w:p w:rsidR="00000000" w:rsidDel="00000000" w:rsidP="00000000" w:rsidRDefault="00000000" w:rsidRPr="00000000" w14:paraId="0000002F">
            <w:pPr>
              <w:rPr/>
            </w:pPr>
            <w:r w:rsidDel="00000000" w:rsidR="00000000" w:rsidRPr="00000000">
              <w:rPr>
                <w:rtl w:val="0"/>
              </w:rPr>
              <w:t xml:space="preserve">Good to be on the same page. </w:t>
            </w:r>
          </w:p>
        </w:tc>
      </w:tr>
      <w:tr>
        <w:trPr>
          <w:cantSplit w:val="0"/>
          <w:tblHeader w:val="0"/>
        </w:trPr>
        <w:tc>
          <w:tcPr>
            <w:shd w:fill="f2f2f2" w:val="clear"/>
          </w:tcPr>
          <w:p w:rsidR="00000000" w:rsidDel="00000000" w:rsidP="00000000" w:rsidRDefault="00000000" w:rsidRPr="00000000" w14:paraId="00000030">
            <w:pPr>
              <w:jc w:val="center"/>
              <w:rPr>
                <w:b w:val="1"/>
                <w:color w:val="44546a"/>
              </w:rPr>
            </w:pPr>
            <w:r w:rsidDel="00000000" w:rsidR="00000000" w:rsidRPr="00000000">
              <w:rPr>
                <w:b w:val="1"/>
                <w:color w:val="44546a"/>
                <w:rtl w:val="0"/>
              </w:rPr>
              <w:t xml:space="preserve">I-12.3</w:t>
            </w:r>
          </w:p>
        </w:tc>
        <w:tc>
          <w:tcPr/>
          <w:p w:rsidR="00000000" w:rsidDel="00000000" w:rsidP="00000000" w:rsidRDefault="00000000" w:rsidRPr="00000000" w14:paraId="00000031">
            <w:pPr>
              <w:rPr/>
            </w:pPr>
            <w:r w:rsidDel="00000000" w:rsidR="00000000" w:rsidRPr="00000000">
              <w:rPr>
                <w:rtl w:val="0"/>
              </w:rPr>
              <w:t xml:space="preserve">e-Procurement Portal was launched / will be launched in (year)</w:t>
            </w:r>
          </w:p>
        </w:tc>
        <w:tc>
          <w:tcPr/>
          <w:p w:rsidR="00000000" w:rsidDel="00000000" w:rsidP="00000000" w:rsidRDefault="00000000" w:rsidRPr="00000000" w14:paraId="00000032">
            <w:pPr>
              <w:rPr/>
            </w:pPr>
            <w:r w:rsidDel="00000000" w:rsidR="00000000" w:rsidRPr="00000000">
              <w:rPr>
                <w:rtl w:val="0"/>
              </w:rPr>
              <w:t xml:space="preserve">Accordingly, the systems were launched: 2012, 2016, 2020</w:t>
            </w:r>
          </w:p>
        </w:tc>
        <w:tc>
          <w:tcPr/>
          <w:p w:rsidR="00000000" w:rsidDel="00000000" w:rsidP="00000000" w:rsidRDefault="00000000" w:rsidRPr="00000000" w14:paraId="00000033">
            <w:pPr>
              <w:rPr/>
            </w:pPr>
            <w:r w:rsidDel="00000000" w:rsidR="00000000" w:rsidRPr="00000000">
              <w:rPr>
                <w:rtl w:val="0"/>
              </w:rPr>
              <w:t xml:space="preserve">In case of multiple systems, you may wish to use the “Attachments” form and provide additional clarifications on I-12.3 indicating the establishment of each system separately.</w:t>
            </w:r>
          </w:p>
        </w:tc>
        <w:tc>
          <w:tcPr/>
          <w:p w:rsidR="00000000" w:rsidDel="00000000" w:rsidP="00000000" w:rsidRDefault="00000000" w:rsidRPr="00000000" w14:paraId="00000034">
            <w:pPr>
              <w:rPr/>
            </w:pPr>
            <w:r w:rsidDel="00000000" w:rsidR="00000000" w:rsidRPr="00000000">
              <w:rPr>
                <w:rtl w:val="0"/>
              </w:rPr>
              <w:t xml:space="preserve">e-Procurement which are available are ARMEPS which was launched in 2012. PPCM was launched in 2016. and the  e-auction platform which is available only on the Firefox browser was launched in 2020.</w:t>
            </w:r>
          </w:p>
        </w:tc>
      </w:tr>
      <w:tr>
        <w:trPr>
          <w:cantSplit w:val="0"/>
          <w:tblHeader w:val="0"/>
        </w:trPr>
        <w:tc>
          <w:tcPr>
            <w:shd w:fill="f2f2f2" w:val="clear"/>
          </w:tcPr>
          <w:p w:rsidR="00000000" w:rsidDel="00000000" w:rsidP="00000000" w:rsidRDefault="00000000" w:rsidRPr="00000000" w14:paraId="00000035">
            <w:pPr>
              <w:jc w:val="center"/>
              <w:rPr>
                <w:b w:val="1"/>
                <w:color w:val="44546a"/>
              </w:rPr>
            </w:pPr>
            <w:r w:rsidDel="00000000" w:rsidR="00000000" w:rsidRPr="00000000">
              <w:rPr>
                <w:b w:val="1"/>
                <w:color w:val="44546a"/>
                <w:rtl w:val="0"/>
              </w:rPr>
              <w:t xml:space="preserve">I-14</w:t>
            </w:r>
          </w:p>
        </w:tc>
        <w:tc>
          <w:tcPr/>
          <w:p w:rsidR="00000000" w:rsidDel="00000000" w:rsidP="00000000" w:rsidRDefault="00000000" w:rsidRPr="00000000" w14:paraId="00000036">
            <w:pPr>
              <w:rPr/>
            </w:pPr>
            <w:r w:rsidDel="00000000" w:rsidR="00000000" w:rsidRPr="00000000">
              <w:rPr>
                <w:rFonts w:ascii="Roboto" w:cs="Roboto" w:eastAsia="Roboto" w:hAnsi="Roboto"/>
                <w:color w:val="212121"/>
                <w:sz w:val="21"/>
                <w:szCs w:val="21"/>
                <w:shd w:fill="f9fafe" w:val="clear"/>
                <w:rtl w:val="0"/>
              </w:rPr>
              <w:t xml:space="preserve">I</w:t>
            </w:r>
            <w:r w:rsidDel="00000000" w:rsidR="00000000" w:rsidRPr="00000000">
              <w:rPr>
                <w:rtl w:val="0"/>
              </w:rPr>
              <w:t xml:space="preserve">s there a Public Investment Management System (PIMS) in place?</w:t>
            </w: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t xml:space="preserve">The establishment of the PIM system is underway. It will be launched within a year. The platform is not available yet, but the Ministry of Economy will be responsible for the operation of the system.</w:t>
            </w:r>
          </w:p>
        </w:tc>
      </w:tr>
      <w:tr>
        <w:trPr>
          <w:cantSplit w:val="0"/>
          <w:tblHeader w:val="0"/>
        </w:trPr>
        <w:tc>
          <w:tcPr>
            <w:shd w:fill="f2f2f2" w:val="clear"/>
          </w:tcPr>
          <w:p w:rsidR="00000000" w:rsidDel="00000000" w:rsidP="00000000" w:rsidRDefault="00000000" w:rsidRPr="00000000" w14:paraId="0000003A">
            <w:pPr>
              <w:jc w:val="center"/>
              <w:rPr>
                <w:b w:val="1"/>
                <w:color w:val="44546a"/>
              </w:rPr>
            </w:pPr>
            <w:r w:rsidDel="00000000" w:rsidR="00000000" w:rsidRPr="00000000">
              <w:rPr>
                <w:b w:val="1"/>
                <w:color w:val="44546a"/>
                <w:rtl w:val="0"/>
              </w:rPr>
              <w:t xml:space="preserve">I-19</w:t>
            </w:r>
          </w:p>
        </w:tc>
        <w:tc>
          <w:tcPr/>
          <w:p w:rsidR="00000000" w:rsidDel="00000000" w:rsidP="00000000" w:rsidRDefault="00000000" w:rsidRPr="00000000" w14:paraId="0000003B">
            <w:pPr>
              <w:rPr/>
            </w:pPr>
            <w:r w:rsidDel="00000000" w:rsidR="00000000" w:rsidRPr="00000000">
              <w:rPr>
                <w:rtl w:val="0"/>
              </w:rPr>
              <w:t xml:space="preserve">Is there an online public service portal? (also called "One-Stop Shop" or similar)</w:t>
            </w:r>
          </w:p>
        </w:tc>
        <w:tc>
          <w:tcPr/>
          <w:p w:rsidR="00000000" w:rsidDel="00000000" w:rsidP="00000000" w:rsidRDefault="00000000" w:rsidRPr="00000000" w14:paraId="0000003C">
            <w:pPr>
              <w:rPr/>
            </w:pPr>
            <w:r w:rsidDel="00000000" w:rsidR="00000000" w:rsidRPr="00000000">
              <w:rPr>
                <w:rtl w:val="0"/>
              </w:rPr>
              <w:t xml:space="preserve">Current e-gov platform is mostly informational and the development of the platform, which will be mostly transactional, is in progress. The final roll out of the system is planned for October 2022. </w:t>
            </w:r>
          </w:p>
        </w:tc>
        <w:tc>
          <w:tcPr/>
          <w:p w:rsidR="00000000" w:rsidDel="00000000" w:rsidP="00000000" w:rsidRDefault="00000000" w:rsidRPr="00000000" w14:paraId="0000003D">
            <w:pPr>
              <w:rPr/>
            </w:pPr>
            <w:r w:rsidDel="00000000" w:rsidR="00000000" w:rsidRPr="00000000">
              <w:rPr>
                <w:rtl w:val="0"/>
              </w:rPr>
              <w:t xml:space="preserve">You may wish to select “ Yes (Informational: Level 1 or 2)” for the existing platform and use the “Attachments” form to provide a clarification on I-19 summarizing the upcoming upgrade for the portal.</w:t>
            </w:r>
          </w:p>
        </w:tc>
        <w:tc>
          <w:tcPr/>
          <w:p w:rsidR="00000000" w:rsidDel="00000000" w:rsidP="00000000" w:rsidRDefault="00000000" w:rsidRPr="00000000" w14:paraId="0000003E">
            <w:pPr>
              <w:rPr/>
            </w:pPr>
            <w:r w:rsidDel="00000000" w:rsidR="00000000" w:rsidRPr="00000000">
              <w:rPr>
                <w:rtl w:val="0"/>
              </w:rPr>
              <w:t xml:space="preserve">We selected “ Yes (Informational: Level 1 or 2)” for the question I-19. At the same time, the development of the platform, which will be mostly transactional, is in progress. The final roll out of the system is planned for October 2022. It is envisaged that around 80 licenses and permits will be possible to apply  through the platform. Additional 40 services, considered as priorital for the Government will be fully digitized and integrated into the platform. </w:t>
            </w:r>
          </w:p>
        </w:tc>
      </w:tr>
      <w:tr>
        <w:trPr>
          <w:cantSplit w:val="0"/>
          <w:tblHeader w:val="0"/>
        </w:trPr>
        <w:tc>
          <w:tcPr>
            <w:shd w:fill="f2f2f2" w:val="clear"/>
          </w:tcPr>
          <w:p w:rsidR="00000000" w:rsidDel="00000000" w:rsidP="00000000" w:rsidRDefault="00000000" w:rsidRPr="00000000" w14:paraId="0000003F">
            <w:pPr>
              <w:jc w:val="center"/>
              <w:rPr>
                <w:b w:val="1"/>
                <w:color w:val="44546a"/>
              </w:rPr>
            </w:pPr>
            <w:r w:rsidDel="00000000" w:rsidR="00000000" w:rsidRPr="00000000">
              <w:rPr>
                <w:b w:val="1"/>
                <w:color w:val="44546a"/>
                <w:rtl w:val="0"/>
              </w:rPr>
              <w:t xml:space="preserve">I-19.6</w:t>
            </w:r>
          </w:p>
        </w:tc>
        <w:tc>
          <w:tcPr/>
          <w:p w:rsidR="00000000" w:rsidDel="00000000" w:rsidP="00000000" w:rsidRDefault="00000000" w:rsidRPr="00000000" w14:paraId="00000040">
            <w:pPr>
              <w:rPr/>
            </w:pPr>
            <w:r w:rsidDel="00000000" w:rsidR="00000000" w:rsidRPr="00000000">
              <w:rPr>
                <w:rtl w:val="0"/>
              </w:rPr>
              <w:t xml:space="preserve">Can individuals establish an e-residency through an online service portal?</w:t>
            </w:r>
          </w:p>
        </w:tc>
        <w:tc>
          <w:tcPr/>
          <w:p w:rsidR="00000000" w:rsidDel="00000000" w:rsidP="00000000" w:rsidRDefault="00000000" w:rsidRPr="00000000" w14:paraId="00000041">
            <w:pPr>
              <w:rPr/>
            </w:pPr>
            <w:r w:rsidDel="00000000" w:rsidR="00000000" w:rsidRPr="00000000">
              <w:rPr>
                <w:rtl w:val="0"/>
              </w:rPr>
              <w:t xml:space="preserve">The residency on the basis of work permits is processed via a special platform starting 2022 January. </w:t>
            </w:r>
          </w:p>
        </w:tc>
        <w:tc>
          <w:tcPr/>
          <w:p w:rsidR="00000000" w:rsidDel="00000000" w:rsidP="00000000" w:rsidRDefault="00000000" w:rsidRPr="00000000" w14:paraId="00000042">
            <w:pPr>
              <w:rPr/>
            </w:pPr>
            <w:r w:rsidDel="00000000" w:rsidR="00000000" w:rsidRPr="00000000">
              <w:rPr>
                <w:rtl w:val="0"/>
              </w:rPr>
              <w:t xml:space="preserve">Again, this can be included as a part of the clarifications that can be presented through the “Attachments” form.</w:t>
            </w:r>
          </w:p>
        </w:tc>
        <w:tc>
          <w:tcPr/>
          <w:p w:rsidR="00000000" w:rsidDel="00000000" w:rsidP="00000000" w:rsidRDefault="00000000" w:rsidRPr="00000000" w14:paraId="00000043">
            <w:pPr>
              <w:rPr>
                <w:rFonts w:ascii="Roboto" w:cs="Roboto" w:eastAsia="Roboto" w:hAnsi="Roboto"/>
                <w:color w:val="333333"/>
                <w:sz w:val="21"/>
                <w:szCs w:val="21"/>
                <w:highlight w:val="white"/>
              </w:rPr>
            </w:pPr>
            <w:r w:rsidDel="00000000" w:rsidR="00000000" w:rsidRPr="00000000">
              <w:rPr>
                <w:rtl w:val="0"/>
              </w:rPr>
              <w:t xml:space="preserve">The residency on the basis of work permits is processed via a special platform starting 2022 January. Available at </w:t>
            </w:r>
            <w:hyperlink r:id="rId9">
              <w:r w:rsidDel="00000000" w:rsidR="00000000" w:rsidRPr="00000000">
                <w:rPr>
                  <w:rtl w:val="0"/>
                </w:rPr>
                <w:t xml:space="preserve">https://workpermit.am/</w:t>
              </w:r>
            </w:hyperlink>
            <w:r w:rsidDel="00000000" w:rsidR="00000000" w:rsidRPr="00000000">
              <w:rPr>
                <w:rtl w:val="0"/>
              </w:rPr>
            </w:r>
          </w:p>
          <w:p w:rsidR="00000000" w:rsidDel="00000000" w:rsidP="00000000" w:rsidRDefault="00000000" w:rsidRPr="00000000" w14:paraId="00000044">
            <w:pPr>
              <w:rPr>
                <w:rFonts w:ascii="Roboto" w:cs="Roboto" w:eastAsia="Roboto" w:hAnsi="Roboto"/>
                <w:color w:val="333333"/>
                <w:sz w:val="21"/>
                <w:szCs w:val="21"/>
                <w:highlight w:val="white"/>
              </w:rPr>
            </w:pPr>
            <w:r w:rsidDel="00000000" w:rsidR="00000000" w:rsidRPr="00000000">
              <w:rPr>
                <w:rtl w:val="0"/>
              </w:rPr>
            </w:r>
          </w:p>
        </w:tc>
      </w:tr>
      <w:tr>
        <w:trPr>
          <w:cantSplit w:val="0"/>
          <w:trHeight w:val="480" w:hRule="atLeast"/>
          <w:tblHeader w:val="0"/>
        </w:trPr>
        <w:tc>
          <w:tcPr>
            <w:shd w:fill="f2f2f2" w:val="clear"/>
          </w:tcPr>
          <w:p w:rsidR="00000000" w:rsidDel="00000000" w:rsidP="00000000" w:rsidRDefault="00000000" w:rsidRPr="00000000" w14:paraId="00000045">
            <w:pPr>
              <w:jc w:val="center"/>
              <w:rPr>
                <w:b w:val="1"/>
                <w:color w:val="44546a"/>
              </w:rPr>
            </w:pPr>
            <w:r w:rsidDel="00000000" w:rsidR="00000000" w:rsidRPr="00000000">
              <w:rPr>
                <w:b w:val="1"/>
                <w:color w:val="44546a"/>
                <w:rtl w:val="0"/>
              </w:rPr>
              <w:t xml:space="preserve">I-25</w:t>
            </w:r>
          </w:p>
        </w:tc>
        <w:tc>
          <w:tcPr/>
          <w:p w:rsidR="00000000" w:rsidDel="00000000" w:rsidP="00000000" w:rsidRDefault="00000000" w:rsidRPr="00000000" w14:paraId="00000046">
            <w:pPr>
              <w:rPr/>
            </w:pPr>
            <w:r w:rsidDel="00000000" w:rsidR="00000000" w:rsidRPr="00000000">
              <w:rPr>
                <w:rtl w:val="0"/>
              </w:rPr>
              <w:t xml:space="preserve">Is there a Job portal?</w:t>
            </w:r>
          </w:p>
        </w:tc>
        <w:tc>
          <w:tcPr/>
          <w:p w:rsidR="00000000" w:rsidDel="00000000" w:rsidP="00000000" w:rsidRDefault="00000000" w:rsidRPr="00000000" w14:paraId="00000047">
            <w:pPr>
              <w:rPr/>
            </w:pPr>
            <w:r w:rsidDel="00000000" w:rsidR="00000000" w:rsidRPr="00000000">
              <w:rPr>
                <w:rtl w:val="0"/>
              </w:rPr>
              <w:t xml:space="preserve">There are a number of job portals, the links of which are available on the website of the State employment agency. </w:t>
            </w:r>
          </w:p>
        </w:tc>
        <w:tc>
          <w:tcPr/>
          <w:p w:rsidR="00000000" w:rsidDel="00000000" w:rsidP="00000000" w:rsidRDefault="00000000" w:rsidRPr="00000000" w14:paraId="00000048">
            <w:pPr>
              <w:rPr/>
            </w:pPr>
            <w:r w:rsidDel="00000000" w:rsidR="00000000" w:rsidRPr="00000000">
              <w:rPr>
                <w:rtl w:val="0"/>
              </w:rPr>
              <w:t xml:space="preserve">Thanks. Noted. Any additional info on multiple platforms can be provided through “Attachments” form as suggested above.</w:t>
            </w:r>
          </w:p>
        </w:tc>
        <w:tc>
          <w:tcPr/>
          <w:p w:rsidR="00000000" w:rsidDel="00000000" w:rsidP="00000000" w:rsidRDefault="00000000" w:rsidRPr="00000000" w14:paraId="00000049">
            <w:pPr>
              <w:rPr/>
            </w:pPr>
            <w:r w:rsidDel="00000000" w:rsidR="00000000" w:rsidRPr="00000000">
              <w:rPr>
                <w:rtl w:val="0"/>
              </w:rPr>
              <w:t xml:space="preserve">Job opportunities including governmental occupations can be obtained through ministry of labor and social issues. as well as in each information center of every district. </w:t>
            </w:r>
          </w:p>
        </w:tc>
      </w:tr>
      <w:tr>
        <w:trPr>
          <w:cantSplit w:val="0"/>
          <w:trHeight w:val="480" w:hRule="atLeast"/>
          <w:tblHeader w:val="0"/>
        </w:trPr>
        <w:tc>
          <w:tcPr>
            <w:shd w:fill="f2f2f2" w:val="clear"/>
          </w:tcPr>
          <w:p w:rsidR="00000000" w:rsidDel="00000000" w:rsidP="00000000" w:rsidRDefault="00000000" w:rsidRPr="00000000" w14:paraId="0000004A">
            <w:pPr>
              <w:jc w:val="center"/>
              <w:rPr>
                <w:b w:val="1"/>
                <w:color w:val="44546a"/>
              </w:rPr>
            </w:pPr>
            <w:r w:rsidDel="00000000" w:rsidR="00000000" w:rsidRPr="00000000">
              <w:rPr>
                <w:b w:val="1"/>
                <w:color w:val="44546a"/>
                <w:rtl w:val="0"/>
              </w:rPr>
              <w:t xml:space="preserve">I-31.3</w:t>
            </w:r>
          </w:p>
        </w:tc>
        <w:tc>
          <w:tcPr/>
          <w:p w:rsidR="00000000" w:rsidDel="00000000" w:rsidP="00000000" w:rsidRDefault="00000000" w:rsidRPr="00000000" w14:paraId="0000004B">
            <w:pPr>
              <w:rPr/>
            </w:pPr>
            <w:r w:rsidDel="00000000" w:rsidR="00000000" w:rsidRPr="00000000">
              <w:rPr>
                <w:rtl w:val="0"/>
              </w:rPr>
              <w:t xml:space="preserve">Are these platforms universally accessible or provide support for users with disabilities (e.g., e-services, availability of voice commands)?</w:t>
            </w:r>
          </w:p>
        </w:tc>
        <w:tc>
          <w:tcPr/>
          <w:p w:rsidR="00000000" w:rsidDel="00000000" w:rsidP="00000000" w:rsidRDefault="00000000" w:rsidRPr="00000000" w14:paraId="0000004C">
            <w:pPr>
              <w:rPr/>
            </w:pPr>
            <w:r w:rsidDel="00000000" w:rsidR="00000000" w:rsidRPr="00000000">
              <w:rPr>
                <w:rtl w:val="0"/>
              </w:rPr>
              <w:t xml:space="preserve">There are several platforms, which provide support for people with disabilities, however, it is not a common practice. A regulation defining disability support requirements for state websites is under development. </w:t>
            </w:r>
          </w:p>
        </w:tc>
        <w:tc>
          <w:tcPr/>
          <w:p w:rsidR="00000000" w:rsidDel="00000000" w:rsidP="00000000" w:rsidRDefault="00000000" w:rsidRPr="00000000" w14:paraId="0000004D">
            <w:pPr>
              <w:rPr/>
            </w:pPr>
            <w:r w:rsidDel="00000000" w:rsidR="00000000" w:rsidRPr="00000000">
              <w:rPr>
                <w:rtl w:val="0"/>
              </w:rPr>
              <w:t xml:space="preserve">Thanks. You can select “Yes” and provide additional info using the “Attachments” form.</w:t>
            </w:r>
          </w:p>
        </w:tc>
        <w:tc>
          <w:tcPr/>
          <w:p w:rsidR="00000000" w:rsidDel="00000000" w:rsidP="00000000" w:rsidRDefault="00000000" w:rsidRPr="00000000" w14:paraId="0000004E">
            <w:pPr>
              <w:rPr/>
            </w:pPr>
            <w:r w:rsidDel="00000000" w:rsidR="00000000" w:rsidRPr="00000000">
              <w:rPr>
                <w:rtl w:val="0"/>
              </w:rPr>
              <w:t xml:space="preserve">Thank you. The changes will be made accordingly. </w:t>
            </w:r>
          </w:p>
          <w:p w:rsidR="00000000" w:rsidDel="00000000" w:rsidP="00000000" w:rsidRDefault="00000000" w:rsidRPr="00000000" w14:paraId="0000004F">
            <w:pPr>
              <w:rPr/>
            </w:pPr>
            <w:r w:rsidDel="00000000" w:rsidR="00000000" w:rsidRPr="00000000">
              <w:rPr>
                <w:rtl w:val="0"/>
              </w:rPr>
              <w:t xml:space="preserve">There are several platforms, which provide support for people with disabilities, however, it is not a common practice. A regulation defining disability support requirements for state websites is under development. </w:t>
            </w:r>
          </w:p>
        </w:tc>
      </w:tr>
      <w:tr>
        <w:trPr>
          <w:cantSplit w:val="0"/>
          <w:trHeight w:val="836" w:hRule="atLeast"/>
          <w:tblHeader w:val="0"/>
        </w:trPr>
        <w:tc>
          <w:tcPr>
            <w:shd w:fill="f2f2f2" w:val="clear"/>
          </w:tcPr>
          <w:p w:rsidR="00000000" w:rsidDel="00000000" w:rsidP="00000000" w:rsidRDefault="00000000" w:rsidRPr="00000000" w14:paraId="00000050">
            <w:pPr>
              <w:jc w:val="center"/>
              <w:rPr>
                <w:b w:val="1"/>
                <w:color w:val="44546a"/>
              </w:rPr>
            </w:pPr>
            <w:r w:rsidDel="00000000" w:rsidR="00000000" w:rsidRPr="00000000">
              <w:rPr>
                <w:b w:val="1"/>
                <w:color w:val="44546a"/>
                <w:rtl w:val="0"/>
              </w:rPr>
              <w:t xml:space="preserve">I-32.4</w:t>
            </w:r>
          </w:p>
        </w:tc>
        <w:tc>
          <w:tcPr/>
          <w:p w:rsidR="00000000" w:rsidDel="00000000" w:rsidP="00000000" w:rsidRDefault="00000000" w:rsidRPr="00000000" w14:paraId="00000051">
            <w:pPr>
              <w:rPr/>
            </w:pPr>
            <w:r w:rsidDel="00000000" w:rsidR="00000000" w:rsidRPr="00000000">
              <w:rPr>
                <w:rtl w:val="0"/>
              </w:rPr>
              <w:t xml:space="preserve">Any government initiative to improve the representation of vulnerable groups?</w:t>
            </w:r>
          </w:p>
        </w:tc>
        <w:tc>
          <w:tcPr/>
          <w:p w:rsidR="00000000" w:rsidDel="00000000" w:rsidP="00000000" w:rsidRDefault="00000000" w:rsidRPr="00000000" w14:paraId="00000052">
            <w:pPr>
              <w:rPr/>
            </w:pPr>
            <w:r w:rsidDel="00000000" w:rsidR="00000000" w:rsidRPr="00000000">
              <w:rPr>
                <w:rtl w:val="0"/>
              </w:rPr>
              <w:t xml:space="preserve">See the answer for I-31.3</w:t>
            </w:r>
          </w:p>
        </w:tc>
        <w:tc>
          <w:tcPr/>
          <w:p w:rsidR="00000000" w:rsidDel="00000000" w:rsidP="00000000" w:rsidRDefault="00000000" w:rsidRPr="00000000" w14:paraId="00000053">
            <w:pPr>
              <w:rPr/>
            </w:pPr>
            <w:r w:rsidDel="00000000" w:rsidR="00000000" w:rsidRPr="00000000">
              <w:rPr>
                <w:rtl w:val="0"/>
              </w:rPr>
              <w:t xml:space="preserve">If a regulation is under development at this moment and there is no government initiative to improve the representation of vulnerable groups, you can select “No”. And you can provide additional info of your plan to develop the regulation in the “Attachments” form. </w:t>
            </w:r>
          </w:p>
        </w:tc>
        <w:tc>
          <w:tcPr/>
          <w:p w:rsidR="00000000" w:rsidDel="00000000" w:rsidP="00000000" w:rsidRDefault="00000000" w:rsidRPr="00000000" w14:paraId="00000054">
            <w:pPr>
              <w:rPr/>
            </w:pPr>
            <w:r w:rsidDel="00000000" w:rsidR="00000000" w:rsidRPr="00000000">
              <w:rPr>
                <w:rtl w:val="0"/>
              </w:rPr>
              <w:t xml:space="preserve">Well noted, corrections will be made.</w:t>
            </w:r>
          </w:p>
          <w:p w:rsidR="00000000" w:rsidDel="00000000" w:rsidP="00000000" w:rsidRDefault="00000000" w:rsidRPr="00000000" w14:paraId="00000055">
            <w:pPr>
              <w:rPr/>
            </w:pPr>
            <w:r w:rsidDel="00000000" w:rsidR="00000000" w:rsidRPr="00000000">
              <w:rPr>
                <w:rtl w:val="0"/>
              </w:rPr>
              <w:t xml:space="preserve">See the answer for I-31.3</w:t>
            </w:r>
          </w:p>
        </w:tc>
      </w:tr>
      <w:tr>
        <w:trPr>
          <w:cantSplit w:val="0"/>
          <w:trHeight w:val="836" w:hRule="atLeast"/>
          <w:tblHeader w:val="0"/>
        </w:trPr>
        <w:tc>
          <w:tcPr>
            <w:shd w:fill="f2f2f2" w:val="clear"/>
          </w:tcPr>
          <w:p w:rsidR="00000000" w:rsidDel="00000000" w:rsidP="00000000" w:rsidRDefault="00000000" w:rsidRPr="00000000" w14:paraId="00000056">
            <w:pPr>
              <w:jc w:val="center"/>
              <w:rPr>
                <w:b w:val="1"/>
                <w:color w:val="44546a"/>
              </w:rPr>
            </w:pPr>
            <w:r w:rsidDel="00000000" w:rsidR="00000000" w:rsidRPr="00000000">
              <w:rPr>
                <w:b w:val="1"/>
                <w:color w:val="44546a"/>
                <w:rtl w:val="0"/>
              </w:rPr>
              <w:t xml:space="preserve">I-34</w:t>
            </w:r>
          </w:p>
        </w:tc>
        <w:tc>
          <w:tcPr/>
          <w:p w:rsidR="00000000" w:rsidDel="00000000" w:rsidP="00000000" w:rsidRDefault="00000000" w:rsidRPr="00000000" w14:paraId="00000057">
            <w:pPr>
              <w:rPr/>
            </w:pPr>
            <w:r w:rsidDel="00000000" w:rsidR="00000000" w:rsidRPr="00000000">
              <w:rPr>
                <w:rtl w:val="0"/>
              </w:rPr>
              <w:t xml:space="preserve">Is there a dedicated government entity in charge of data governance or data management?</w:t>
            </w:r>
          </w:p>
        </w:tc>
        <w:tc>
          <w:tcPr/>
          <w:p w:rsidR="00000000" w:rsidDel="00000000" w:rsidP="00000000" w:rsidRDefault="00000000" w:rsidRPr="00000000" w14:paraId="00000058">
            <w:pPr>
              <w:rPr/>
            </w:pPr>
            <w:r w:rsidDel="00000000" w:rsidR="00000000" w:rsidRPr="00000000">
              <w:rPr>
                <w:rtl w:val="0"/>
              </w:rPr>
              <w:t xml:space="preserve">The operator of the Government interoperability platform is in charge of data governance, however there is still no comprehensive regulation. Works to define the regulation have already commenced. </w:t>
            </w:r>
          </w:p>
        </w:tc>
        <w:tc>
          <w:tcPr/>
          <w:p w:rsidR="00000000" w:rsidDel="00000000" w:rsidP="00000000" w:rsidRDefault="00000000" w:rsidRPr="00000000" w14:paraId="00000059">
            <w:pPr>
              <w:rPr/>
            </w:pPr>
            <w:r w:rsidDel="00000000" w:rsidR="00000000" w:rsidRPr="00000000">
              <w:rPr>
                <w:rtl w:val="0"/>
              </w:rPr>
              <w:t xml:space="preserve">Thanks. Noted. It is important to clearly identify the entity in charge of the data governance and provide related evidence (name of the organization, URL, and other info requested in related sub-indicators of I-34.</w:t>
            </w:r>
          </w:p>
        </w:tc>
        <w:tc>
          <w:tcPr/>
          <w:p w:rsidR="00000000" w:rsidDel="00000000" w:rsidP="00000000" w:rsidRDefault="00000000" w:rsidRPr="00000000" w14:paraId="0000005A">
            <w:pPr>
              <w:rPr/>
            </w:pPr>
            <w:r w:rsidDel="00000000" w:rsidR="00000000" w:rsidRPr="00000000">
              <w:rPr>
                <w:rtl w:val="0"/>
              </w:rPr>
              <w:t xml:space="preserve">The indicator, as well as sub-indicators are all filled in detail. Additional information is related to the regulations which are still in process of amendments.</w:t>
            </w:r>
          </w:p>
        </w:tc>
      </w:tr>
      <w:tr>
        <w:trPr>
          <w:cantSplit w:val="0"/>
          <w:trHeight w:val="836" w:hRule="atLeast"/>
          <w:tblHeader w:val="0"/>
        </w:trPr>
        <w:tc>
          <w:tcPr>
            <w:shd w:fill="f2f2f2" w:val="clear"/>
          </w:tcPr>
          <w:p w:rsidR="00000000" w:rsidDel="00000000" w:rsidP="00000000" w:rsidRDefault="00000000" w:rsidRPr="00000000" w14:paraId="0000005B">
            <w:pPr>
              <w:jc w:val="center"/>
              <w:rPr>
                <w:b w:val="1"/>
                <w:color w:val="44546a"/>
              </w:rPr>
            </w:pPr>
            <w:r w:rsidDel="00000000" w:rsidR="00000000" w:rsidRPr="00000000">
              <w:rPr>
                <w:b w:val="1"/>
                <w:color w:val="44546a"/>
                <w:rtl w:val="0"/>
              </w:rPr>
              <w:t xml:space="preserve">I-48.7</w:t>
            </w:r>
          </w:p>
        </w:tc>
        <w:tc>
          <w:tcPr/>
          <w:p w:rsidR="00000000" w:rsidDel="00000000" w:rsidP="00000000" w:rsidRDefault="00000000" w:rsidRPr="00000000" w14:paraId="0000005C">
            <w:pPr>
              <w:rPr/>
            </w:pPr>
            <w:r w:rsidDel="00000000" w:rsidR="00000000" w:rsidRPr="00000000">
              <w:rPr>
                <w:rtl w:val="0"/>
              </w:rPr>
              <w:t xml:space="preserve">Publishing of the results/progress in supporting startups/SMEs for innovation</w:t>
            </w: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t xml:space="preserve">The answer on this subindicater is Yes, and the next sub-indicator for proving URL is provided with two separate links. The first link is for the official statement of the Ministry of high-tech industry related to implementation of innovative projects. And the second link  provides the list of public innovation oriented  start-ups which were provided with support.</w:t>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sectPr>
      <w:pgSz w:h="12240" w:w="15840" w:orient="landscape"/>
      <w:pgMar w:bottom="1440" w:top="1440" w:left="81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065C7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8B524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B5242"/>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orkpermit.a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rmeps.am/" TargetMode="External"/><Relationship Id="rId8" Type="http://schemas.openxmlformats.org/officeDocument/2006/relationships/hyperlink" Target="https://eauction.armeps.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Twsq34uSZxAU5N825QOC/x160w==">AMUW2mVukwP36wpZJqcmxVQS6kRXXQcAgv7YyOcc9ztBIL6pokBwx99WUcduQGBDZ2lCv57AFqdZQGllL8CIYfyihXpLH8P207m79bavsJlRTWfooZmeQbU30ztVXHXxWgMJvlqtco7i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2022-05-09T12:01:00Z</dcterms:created>
  <dc:creator>EKENG</dc:creator>
</cp:coreProperties>
</file>