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DBEB" w14:textId="3BA98A0A" w:rsidR="002557CF" w:rsidRPr="00091255" w:rsidRDefault="00BB2AA3" w:rsidP="002557CF">
      <w:pPr>
        <w:jc w:val="center"/>
        <w:rPr>
          <w:b/>
          <w:bCs/>
          <w:lang w:val="fr-FR"/>
        </w:rPr>
      </w:pPr>
      <w:r>
        <w:rPr>
          <w:b/>
          <w:bCs/>
          <w:lang w:val="fr-FR"/>
        </w:rPr>
        <w:t>NOTE EXPLICATIVE</w:t>
      </w:r>
      <w:r w:rsidR="00091255" w:rsidRPr="00091255">
        <w:rPr>
          <w:b/>
          <w:bCs/>
          <w:lang w:val="fr-FR"/>
        </w:rPr>
        <w:t xml:space="preserve"> SUR LA PRÉPARATION DES </w:t>
      </w:r>
      <w:r w:rsidR="00DB5441">
        <w:rPr>
          <w:b/>
          <w:bCs/>
          <w:lang w:val="fr-FR"/>
        </w:rPr>
        <w:t>PLANS DE MOBILISATION DES PARTIES PRENANTES</w:t>
      </w:r>
      <w:r w:rsidR="00CC4E7C">
        <w:rPr>
          <w:b/>
          <w:bCs/>
          <w:lang w:val="fr-FR"/>
        </w:rPr>
        <w:t xml:space="preserve"> (PMPP)</w:t>
      </w:r>
      <w:r w:rsidR="00091255" w:rsidRPr="00091255">
        <w:rPr>
          <w:b/>
          <w:bCs/>
          <w:lang w:val="fr-FR"/>
        </w:rPr>
        <w:t xml:space="preserve"> EN FONCTION DES NIVEAUX DE RISQUE</w:t>
      </w:r>
    </w:p>
    <w:p w14:paraId="443C1BDB" w14:textId="4CA7AEC1" w:rsidR="00CC4B12" w:rsidRPr="00091255" w:rsidRDefault="00091255" w:rsidP="002557CF">
      <w:pPr>
        <w:jc w:val="center"/>
        <w:rPr>
          <w:b/>
          <w:bCs/>
          <w:lang w:val="fr-FR"/>
        </w:rPr>
      </w:pPr>
      <w:r w:rsidRPr="00091255">
        <w:rPr>
          <w:b/>
          <w:bCs/>
          <w:lang w:val="fr-FR"/>
        </w:rPr>
        <w:t xml:space="preserve">Norme environnementale et sociale n° 10 : </w:t>
      </w:r>
      <w:r w:rsidR="00DB5441">
        <w:rPr>
          <w:b/>
          <w:bCs/>
          <w:lang w:val="fr-FR"/>
        </w:rPr>
        <w:t>Mobilisation</w:t>
      </w:r>
      <w:r w:rsidRPr="00091255">
        <w:rPr>
          <w:b/>
          <w:bCs/>
          <w:lang w:val="fr-FR"/>
        </w:rPr>
        <w:t xml:space="preserve"> </w:t>
      </w:r>
      <w:r w:rsidR="00BB2AA3" w:rsidRPr="00091255">
        <w:rPr>
          <w:b/>
          <w:bCs/>
          <w:lang w:val="fr-FR"/>
        </w:rPr>
        <w:t xml:space="preserve">et information </w:t>
      </w:r>
      <w:r w:rsidRPr="00091255">
        <w:rPr>
          <w:b/>
          <w:bCs/>
          <w:lang w:val="fr-FR"/>
        </w:rPr>
        <w:t>des parties prenantes</w:t>
      </w:r>
    </w:p>
    <w:p w14:paraId="0782A4E1" w14:textId="710C0F4F" w:rsidR="0014035D" w:rsidRPr="00DB5441" w:rsidRDefault="009B1B2A" w:rsidP="002557CF">
      <w:pPr>
        <w:jc w:val="center"/>
        <w:rPr>
          <w:b/>
          <w:bCs/>
          <w:lang w:val="fr-FR"/>
        </w:rPr>
      </w:pPr>
      <w:r>
        <w:rPr>
          <w:b/>
          <w:bCs/>
          <w:lang w:val="fr-FR"/>
        </w:rPr>
        <w:t xml:space="preserve">Novembre </w:t>
      </w:r>
      <w:r w:rsidR="0005108D" w:rsidRPr="00DB5441">
        <w:rPr>
          <w:b/>
          <w:bCs/>
          <w:lang w:val="fr-FR"/>
        </w:rPr>
        <w:t>2023</w:t>
      </w:r>
    </w:p>
    <w:p w14:paraId="78BE9425" w14:textId="53DDC0B1" w:rsidR="002557CF" w:rsidRPr="00DB5441" w:rsidRDefault="002557CF" w:rsidP="002557CF">
      <w:pPr>
        <w:jc w:val="center"/>
        <w:rPr>
          <w:lang w:val="fr-FR"/>
        </w:rPr>
      </w:pPr>
    </w:p>
    <w:p w14:paraId="77F1796F" w14:textId="086F0E2C" w:rsidR="0014035D" w:rsidRPr="00091255" w:rsidRDefault="00091255" w:rsidP="004F7859">
      <w:pPr>
        <w:jc w:val="both"/>
        <w:rPr>
          <w:b/>
          <w:bCs/>
          <w:lang w:val="fr-FR"/>
        </w:rPr>
      </w:pPr>
      <w:r w:rsidRPr="00091255">
        <w:rPr>
          <w:lang w:val="fr-FR"/>
        </w:rPr>
        <w:t>La NES n° 10 souligne l'importance d'un</w:t>
      </w:r>
      <w:r w:rsidR="00DB5441">
        <w:rPr>
          <w:lang w:val="fr-FR"/>
        </w:rPr>
        <w:t>e</w:t>
      </w:r>
      <w:r w:rsidRPr="00091255">
        <w:rPr>
          <w:lang w:val="fr-FR"/>
        </w:rPr>
        <w:t xml:space="preserve"> </w:t>
      </w:r>
      <w:r w:rsidR="00DB5441">
        <w:rPr>
          <w:lang w:val="fr-FR"/>
        </w:rPr>
        <w:t>collaboration</w:t>
      </w:r>
      <w:r w:rsidRPr="00091255">
        <w:rPr>
          <w:lang w:val="fr-FR"/>
        </w:rPr>
        <w:t xml:space="preserve"> ouvert</w:t>
      </w:r>
      <w:r w:rsidR="00DB5441">
        <w:rPr>
          <w:lang w:val="fr-FR"/>
        </w:rPr>
        <w:t>e</w:t>
      </w:r>
      <w:r w:rsidRPr="00091255">
        <w:rPr>
          <w:lang w:val="fr-FR"/>
        </w:rPr>
        <w:t xml:space="preserve"> et transparent</w:t>
      </w:r>
      <w:r w:rsidR="00DB5441">
        <w:rPr>
          <w:lang w:val="fr-FR"/>
        </w:rPr>
        <w:t>e</w:t>
      </w:r>
      <w:r w:rsidRPr="00091255">
        <w:rPr>
          <w:lang w:val="fr-FR"/>
        </w:rPr>
        <w:t xml:space="preserve"> entre l'Emprunteur et les parties prenantes.  En consultation avec la Banque, l'</w:t>
      </w:r>
      <w:r w:rsidR="00DB5441">
        <w:rPr>
          <w:lang w:val="fr-FR"/>
        </w:rPr>
        <w:t>E</w:t>
      </w:r>
      <w:r w:rsidRPr="00091255">
        <w:rPr>
          <w:lang w:val="fr-FR"/>
        </w:rPr>
        <w:t>mprunteur élaborera un P</w:t>
      </w:r>
      <w:r w:rsidR="00CC4E7C">
        <w:rPr>
          <w:lang w:val="fr-FR"/>
        </w:rPr>
        <w:t xml:space="preserve">MPP </w:t>
      </w:r>
      <w:r w:rsidRPr="00091255">
        <w:rPr>
          <w:lang w:val="fr-FR"/>
        </w:rPr>
        <w:t>en fonction de la nature et de l'</w:t>
      </w:r>
      <w:r w:rsidR="00DB5441">
        <w:rPr>
          <w:lang w:val="fr-FR"/>
        </w:rPr>
        <w:t>ampleur</w:t>
      </w:r>
      <w:r w:rsidRPr="00091255">
        <w:rPr>
          <w:lang w:val="fr-FR"/>
        </w:rPr>
        <w:t xml:space="preserve"> du projet, ainsi que de ses risques et impacts potentiels. Ce plan définira les modalités de communication avec les parties prenantes, y compris les personnes touchées par le projet, tout au long de la préparation et de la mise en œuvre du projet.</w:t>
      </w:r>
      <w:r w:rsidR="0014035D" w:rsidRPr="00091255">
        <w:rPr>
          <w:lang w:val="fr-FR"/>
        </w:rPr>
        <w:t xml:space="preserve"> </w:t>
      </w:r>
    </w:p>
    <w:p w14:paraId="24991C7C" w14:textId="2AFE0B65" w:rsidR="002F34F9" w:rsidRPr="00BA233B" w:rsidRDefault="00BA233B" w:rsidP="004F7859">
      <w:pPr>
        <w:jc w:val="both"/>
        <w:rPr>
          <w:lang w:val="fr-FR"/>
        </w:rPr>
      </w:pPr>
      <w:r w:rsidRPr="00BA233B">
        <w:rPr>
          <w:lang w:val="fr-FR"/>
        </w:rPr>
        <w:t>La décision de préparer ou non un P</w:t>
      </w:r>
      <w:r w:rsidR="00CC4E7C">
        <w:rPr>
          <w:lang w:val="fr-FR"/>
        </w:rPr>
        <w:t>MPP</w:t>
      </w:r>
      <w:r w:rsidRPr="00BA233B">
        <w:rPr>
          <w:lang w:val="fr-FR"/>
        </w:rPr>
        <w:t xml:space="preserve"> autonome dépend de la nature, de la portée et de l'ampleur du projet, ainsi que de ses risques et impacts potentiels.</w:t>
      </w:r>
    </w:p>
    <w:p w14:paraId="4F42FA92" w14:textId="57E8059E" w:rsidR="005104F9" w:rsidRPr="00DB5441" w:rsidRDefault="00BA233B" w:rsidP="004F7859">
      <w:pPr>
        <w:pStyle w:val="ListParagraph"/>
        <w:numPr>
          <w:ilvl w:val="0"/>
          <w:numId w:val="3"/>
        </w:numPr>
        <w:jc w:val="both"/>
        <w:rPr>
          <w:lang w:val="fr-FR"/>
        </w:rPr>
      </w:pPr>
      <w:r w:rsidRPr="00BA233B">
        <w:rPr>
          <w:b/>
          <w:bCs/>
          <w:lang w:val="fr-FR"/>
        </w:rPr>
        <w:t>Pour les projets à risque élevé et substantiel</w:t>
      </w:r>
      <w:r w:rsidRPr="00BA233B">
        <w:rPr>
          <w:lang w:val="fr-FR"/>
        </w:rPr>
        <w:t xml:space="preserve">, où les risques environnementaux et sociaux peuvent être plus complexes et où le processus d'engagement des parties prenantes peut donc être plus </w:t>
      </w:r>
      <w:r w:rsidR="00BB2AA3">
        <w:rPr>
          <w:lang w:val="fr-FR"/>
        </w:rPr>
        <w:t>délicats</w:t>
      </w:r>
      <w:r w:rsidRPr="00BA233B">
        <w:rPr>
          <w:lang w:val="fr-FR"/>
        </w:rPr>
        <w:t xml:space="preserve">, il </w:t>
      </w:r>
      <w:r>
        <w:rPr>
          <w:lang w:val="fr-FR"/>
        </w:rPr>
        <w:t xml:space="preserve">serait </w:t>
      </w:r>
      <w:r w:rsidRPr="00BA233B">
        <w:rPr>
          <w:lang w:val="fr-FR"/>
        </w:rPr>
        <w:t xml:space="preserve">judicieux de préparer un </w:t>
      </w:r>
      <w:r w:rsidR="00CC4E7C">
        <w:rPr>
          <w:lang w:val="fr-FR"/>
        </w:rPr>
        <w:t>PMPP</w:t>
      </w:r>
      <w:r w:rsidRPr="00BA233B">
        <w:rPr>
          <w:lang w:val="fr-FR"/>
        </w:rPr>
        <w:t xml:space="preserve"> autonome décrivant plus en détail l'analyse des parties prenantes, le processus de consultation et le retour d'information reçu.</w:t>
      </w:r>
      <w:r w:rsidR="000522C8" w:rsidRPr="00BA233B">
        <w:rPr>
          <w:lang w:val="fr-FR"/>
        </w:rPr>
        <w:t xml:space="preserve"> </w:t>
      </w:r>
      <w:r w:rsidRPr="00BA233B">
        <w:rPr>
          <w:lang w:val="fr-FR"/>
        </w:rPr>
        <w:t>Par exemple, dans les opérations à haut risque où il peut y avoir différents types de parties prenantes sur plusieurs sites, un plan autonome est probablement nécessaire.</w:t>
      </w:r>
      <w:r w:rsidR="00CC4E7C">
        <w:rPr>
          <w:lang w:val="fr-FR"/>
        </w:rPr>
        <w:t xml:space="preserve"> </w:t>
      </w:r>
      <w:r w:rsidRPr="00BA233B">
        <w:rPr>
          <w:lang w:val="fr-FR"/>
        </w:rPr>
        <w:t>De même, dans certains contextes nationaux tels que les situations de fragilité, de conflit et de violence (FCV), les consultations et l'accès sont difficiles et des dispositions spéciales doivent être prises pour garantir des consultations significatives auprès d'une variété d'acteurs.</w:t>
      </w:r>
      <w:r>
        <w:rPr>
          <w:lang w:val="fr-FR"/>
        </w:rPr>
        <w:t xml:space="preserve"> </w:t>
      </w:r>
      <w:r w:rsidR="00DB5441" w:rsidRPr="00DB5441">
        <w:rPr>
          <w:lang w:val="fr-FR"/>
        </w:rPr>
        <w:t xml:space="preserve">Un </w:t>
      </w:r>
      <w:r w:rsidR="00CC4E7C">
        <w:rPr>
          <w:lang w:val="fr-FR"/>
        </w:rPr>
        <w:t>PMPP</w:t>
      </w:r>
      <w:r w:rsidR="00DB5441" w:rsidRPr="00DB5441">
        <w:rPr>
          <w:lang w:val="fr-FR"/>
        </w:rPr>
        <w:t xml:space="preserve"> doit être clair et concis (on recommande 40 pages au plus). Il doit contenir toutes les informations clés sur la participation des parties prenantes et la divulgation au public des informations relatives au projet.</w:t>
      </w:r>
    </w:p>
    <w:p w14:paraId="4AA2E844" w14:textId="77777777" w:rsidR="00D5285E" w:rsidRPr="00DB5441" w:rsidRDefault="00D5285E" w:rsidP="004F7859">
      <w:pPr>
        <w:pStyle w:val="ListParagraph"/>
        <w:ind w:left="360"/>
        <w:jc w:val="both"/>
        <w:rPr>
          <w:lang w:val="fr-FR"/>
        </w:rPr>
      </w:pPr>
    </w:p>
    <w:p w14:paraId="4C4EC647" w14:textId="76B442C8" w:rsidR="0014035D" w:rsidRPr="00DB5441" w:rsidRDefault="00DB5441" w:rsidP="004F7859">
      <w:pPr>
        <w:pStyle w:val="ListParagraph"/>
        <w:numPr>
          <w:ilvl w:val="0"/>
          <w:numId w:val="3"/>
        </w:numPr>
        <w:jc w:val="both"/>
        <w:rPr>
          <w:lang w:val="fr-FR"/>
        </w:rPr>
      </w:pPr>
      <w:r w:rsidRPr="00DB5441">
        <w:rPr>
          <w:b/>
          <w:bCs/>
          <w:lang w:val="fr-FR"/>
        </w:rPr>
        <w:t>Pour certains projets à risque modéré</w:t>
      </w:r>
      <w:r w:rsidRPr="00DB5441">
        <w:rPr>
          <w:lang w:val="fr-FR"/>
        </w:rPr>
        <w:t>, où les risques environnementaux et sociaux peuvent être moins complexes que pour les projets à risque élevé</w:t>
      </w:r>
      <w:r w:rsidR="005D5C7E">
        <w:rPr>
          <w:lang w:val="fr-FR"/>
        </w:rPr>
        <w:t xml:space="preserve"> ou </w:t>
      </w:r>
      <w:r w:rsidR="005D5C7E" w:rsidRPr="005D5C7E">
        <w:rPr>
          <w:lang w:val="fr-FR"/>
        </w:rPr>
        <w:t>substantiel</w:t>
      </w:r>
      <w:r w:rsidRPr="00DB5441">
        <w:rPr>
          <w:lang w:val="fr-FR"/>
        </w:rPr>
        <w:t xml:space="preserve">, on peut utiliser le modèle de </w:t>
      </w:r>
      <w:r w:rsidR="00CC4E7C">
        <w:rPr>
          <w:lang w:val="fr-FR"/>
        </w:rPr>
        <w:t>PMPP</w:t>
      </w:r>
      <w:r w:rsidRPr="00DB5441">
        <w:rPr>
          <w:lang w:val="fr-FR"/>
        </w:rPr>
        <w:t xml:space="preserve"> simplifié. Là encore, le plan doit être clair et concis (pas plus de 20 pages, annexe comprise).</w:t>
      </w:r>
    </w:p>
    <w:p w14:paraId="05197261" w14:textId="77777777" w:rsidR="0014035D" w:rsidRPr="00DB5441" w:rsidRDefault="0014035D" w:rsidP="004F7859">
      <w:pPr>
        <w:pStyle w:val="ListParagraph"/>
        <w:jc w:val="both"/>
        <w:rPr>
          <w:b/>
          <w:bCs/>
          <w:lang w:val="fr-FR"/>
        </w:rPr>
      </w:pPr>
    </w:p>
    <w:p w14:paraId="54D22B6A" w14:textId="735614A8" w:rsidR="005104F9" w:rsidRPr="00CC4E7C" w:rsidRDefault="00CC4E7C" w:rsidP="004F7859">
      <w:pPr>
        <w:pStyle w:val="ListParagraph"/>
        <w:numPr>
          <w:ilvl w:val="0"/>
          <w:numId w:val="3"/>
        </w:numPr>
        <w:jc w:val="both"/>
        <w:rPr>
          <w:lang w:val="fr-FR"/>
        </w:rPr>
      </w:pPr>
      <w:r w:rsidRPr="00CC4E7C">
        <w:rPr>
          <w:b/>
          <w:bCs/>
          <w:lang w:val="fr-FR"/>
        </w:rPr>
        <w:t>Pour les projets à faible risque</w:t>
      </w:r>
    </w:p>
    <w:p w14:paraId="42463E1C" w14:textId="06F83D6B" w:rsidR="002557CF" w:rsidRPr="00CC4E7C" w:rsidRDefault="00CC4E7C" w:rsidP="004F7859">
      <w:pPr>
        <w:pStyle w:val="ListParagraph"/>
        <w:numPr>
          <w:ilvl w:val="0"/>
          <w:numId w:val="2"/>
        </w:numPr>
        <w:jc w:val="both"/>
        <w:rPr>
          <w:lang w:val="fr-FR"/>
        </w:rPr>
      </w:pPr>
      <w:r w:rsidRPr="00CC4E7C">
        <w:rPr>
          <w:lang w:val="fr-FR"/>
        </w:rPr>
        <w:t>La note de bas de page 3 du paragraphe 13 de la NES n° 10 est libellée comme suit :</w:t>
      </w:r>
      <w:r w:rsidR="002557CF" w:rsidRPr="00CC4E7C">
        <w:rPr>
          <w:lang w:val="fr-FR"/>
        </w:rPr>
        <w:t xml:space="preserve"> </w:t>
      </w:r>
      <w:r>
        <w:rPr>
          <w:lang w:val="fr-FR"/>
        </w:rPr>
        <w:t>« </w:t>
      </w:r>
      <w:r w:rsidRPr="00CC4E7C">
        <w:rPr>
          <w:i/>
          <w:iCs/>
          <w:lang w:val="fr-FR"/>
        </w:rPr>
        <w:t>En fonction de la nature et de l’importance des risques et des effets du projet, les éléments d’un PMPP peuvent être inclus dans le PEES, et il ne sera dès lors pas nécessaire d’élaborer un PMPP</w:t>
      </w:r>
      <w:r>
        <w:rPr>
          <w:i/>
          <w:iCs/>
          <w:lang w:val="fr-FR"/>
        </w:rPr>
        <w:t> »</w:t>
      </w:r>
      <w:r w:rsidRPr="00CC4E7C">
        <w:rPr>
          <w:lang w:val="fr-FR"/>
        </w:rPr>
        <w:t xml:space="preserve"> </w:t>
      </w:r>
    </w:p>
    <w:p w14:paraId="10656265" w14:textId="77777777" w:rsidR="00C72FF9" w:rsidRPr="00CC4E7C" w:rsidRDefault="00C72FF9" w:rsidP="004F7859">
      <w:pPr>
        <w:pStyle w:val="ListParagraph"/>
        <w:jc w:val="both"/>
        <w:rPr>
          <w:lang w:val="fr-FR"/>
        </w:rPr>
      </w:pPr>
    </w:p>
    <w:p w14:paraId="4A92824A" w14:textId="1D6828C8" w:rsidR="002A2857" w:rsidRPr="00C813B2" w:rsidRDefault="00C813B2" w:rsidP="004F7859">
      <w:pPr>
        <w:pStyle w:val="ListParagraph"/>
        <w:numPr>
          <w:ilvl w:val="0"/>
          <w:numId w:val="2"/>
        </w:numPr>
        <w:jc w:val="both"/>
        <w:rPr>
          <w:lang w:val="fr-FR"/>
        </w:rPr>
      </w:pPr>
      <w:r w:rsidRPr="00C813B2">
        <w:rPr>
          <w:b/>
          <w:bCs/>
          <w:lang w:val="fr-FR"/>
        </w:rPr>
        <w:t>Exemples d'intégration des PMPP dans les PEES :</w:t>
      </w:r>
      <w:r w:rsidRPr="00C813B2">
        <w:rPr>
          <w:lang w:val="fr-FR"/>
        </w:rPr>
        <w:t xml:space="preserve">  En règle générale, les PMPP peuvent être intégrés dans les PEES pour les projets présentant de faibles risques environnementaux et sociaux. Une description de l'engagement des parties prenantes, de la divulgation d'informations et du mécanisme de règlement des plaintes peut être incluse dans la partie du PEES consacrée à la NES n° 10.</w:t>
      </w:r>
      <w:r>
        <w:rPr>
          <w:lang w:val="fr-FR"/>
        </w:rPr>
        <w:t xml:space="preserve"> Comme</w:t>
      </w:r>
      <w:r w:rsidR="00D12AE3" w:rsidRPr="00C813B2">
        <w:rPr>
          <w:lang w:val="fr-FR"/>
        </w:rPr>
        <w:t xml:space="preserve"> ex</w:t>
      </w:r>
      <w:r>
        <w:rPr>
          <w:lang w:val="fr-FR"/>
        </w:rPr>
        <w:t>e</w:t>
      </w:r>
      <w:r w:rsidR="00D12AE3" w:rsidRPr="00C813B2">
        <w:rPr>
          <w:lang w:val="fr-FR"/>
        </w:rPr>
        <w:t>mple</w:t>
      </w:r>
      <w:r>
        <w:rPr>
          <w:lang w:val="fr-FR"/>
        </w:rPr>
        <w:t>s, voir </w:t>
      </w:r>
      <w:r w:rsidR="00BB2AA3">
        <w:rPr>
          <w:lang w:val="fr-FR"/>
        </w:rPr>
        <w:t>les projets suivants</w:t>
      </w:r>
      <w:r w:rsidR="00D12AE3" w:rsidRPr="00C813B2">
        <w:rPr>
          <w:lang w:val="fr-FR"/>
        </w:rPr>
        <w:t xml:space="preserve">:  </w:t>
      </w:r>
      <w:hyperlink r:id="rId7" w:history="1">
        <w:r w:rsidR="00EA536C" w:rsidRPr="00C813B2">
          <w:rPr>
            <w:rStyle w:val="Hyperlink"/>
            <w:lang w:val="fr-FR"/>
          </w:rPr>
          <w:t>P174707</w:t>
        </w:r>
      </w:hyperlink>
      <w:r w:rsidR="002A2857" w:rsidRPr="00C813B2">
        <w:rPr>
          <w:lang w:val="fr-FR"/>
        </w:rPr>
        <w:t xml:space="preserve">  </w:t>
      </w:r>
      <w:r>
        <w:rPr>
          <w:lang w:val="fr-FR"/>
        </w:rPr>
        <w:t>et</w:t>
      </w:r>
      <w:r w:rsidR="002A2857" w:rsidRPr="00C813B2">
        <w:rPr>
          <w:lang w:val="fr-FR"/>
        </w:rPr>
        <w:t xml:space="preserve"> </w:t>
      </w:r>
      <w:hyperlink r:id="rId8" w:history="1">
        <w:r w:rsidR="002A2857" w:rsidRPr="00C813B2">
          <w:rPr>
            <w:rStyle w:val="Hyperlink"/>
            <w:lang w:val="fr-FR"/>
          </w:rPr>
          <w:t>P174564</w:t>
        </w:r>
      </w:hyperlink>
    </w:p>
    <w:p w14:paraId="719D3FC6" w14:textId="77777777" w:rsidR="002A2857" w:rsidRPr="00C813B2" w:rsidRDefault="002A2857" w:rsidP="004F7859">
      <w:pPr>
        <w:pStyle w:val="ListParagraph"/>
        <w:jc w:val="both"/>
        <w:rPr>
          <w:lang w:val="fr-FR"/>
        </w:rPr>
      </w:pPr>
    </w:p>
    <w:p w14:paraId="2096FBE2" w14:textId="4E0FDF08" w:rsidR="002557CF" w:rsidRPr="005F13B9" w:rsidRDefault="006C763B" w:rsidP="004F7859">
      <w:pPr>
        <w:pStyle w:val="ListParagraph"/>
        <w:numPr>
          <w:ilvl w:val="0"/>
          <w:numId w:val="2"/>
        </w:numPr>
        <w:jc w:val="both"/>
        <w:rPr>
          <w:lang w:val="fr-FR"/>
        </w:rPr>
      </w:pPr>
      <w:r w:rsidRPr="00C813B2">
        <w:rPr>
          <w:lang w:val="fr-FR"/>
        </w:rPr>
        <w:t xml:space="preserve"> </w:t>
      </w:r>
      <w:r w:rsidR="005F13B9" w:rsidRPr="005F13B9">
        <w:rPr>
          <w:lang w:val="fr-FR"/>
        </w:rPr>
        <w:t>Parmi les exemples de projets à faible risque, on peut citer, sans s'y limiter, les projets suivants</w:t>
      </w:r>
      <w:r w:rsidR="005F13B9">
        <w:rPr>
          <w:lang w:val="fr-FR"/>
        </w:rPr>
        <w:t> :</w:t>
      </w:r>
    </w:p>
    <w:p w14:paraId="5B49CC44" w14:textId="71A3C8CD" w:rsidR="002557CF" w:rsidRPr="005F13B9" w:rsidRDefault="005F13B9" w:rsidP="004F7859">
      <w:pPr>
        <w:pStyle w:val="ListParagraph"/>
        <w:numPr>
          <w:ilvl w:val="0"/>
          <w:numId w:val="1"/>
        </w:numPr>
        <w:ind w:left="1080"/>
        <w:jc w:val="both"/>
        <w:rPr>
          <w:lang w:val="fr-FR"/>
        </w:rPr>
      </w:pPr>
      <w:r w:rsidRPr="005F13B9">
        <w:rPr>
          <w:lang w:val="fr-FR"/>
        </w:rPr>
        <w:lastRenderedPageBreak/>
        <w:t>Petites opérations de fonds fiduciaire exécutées par les bénéficiaires (RE), principalement liées à des études et au renforcement des capacités</w:t>
      </w:r>
    </w:p>
    <w:p w14:paraId="392E2B43" w14:textId="5AF3F986" w:rsidR="002557CF" w:rsidRPr="005F13B9" w:rsidRDefault="005F13B9" w:rsidP="004F7859">
      <w:pPr>
        <w:pStyle w:val="ListParagraph"/>
        <w:numPr>
          <w:ilvl w:val="0"/>
          <w:numId w:val="1"/>
        </w:numPr>
        <w:ind w:left="1080"/>
        <w:jc w:val="both"/>
        <w:rPr>
          <w:lang w:val="fr-FR"/>
        </w:rPr>
      </w:pPr>
      <w:r w:rsidRPr="005F13B9">
        <w:rPr>
          <w:lang w:val="fr-FR"/>
        </w:rPr>
        <w:t>Garanties financières ou de crédit</w:t>
      </w:r>
    </w:p>
    <w:p w14:paraId="3B3E8C05" w14:textId="34FA6943" w:rsidR="002557CF" w:rsidRPr="005F13B9" w:rsidRDefault="005F13B9" w:rsidP="004F7859">
      <w:pPr>
        <w:pStyle w:val="ListParagraph"/>
        <w:numPr>
          <w:ilvl w:val="0"/>
          <w:numId w:val="1"/>
        </w:numPr>
        <w:ind w:left="1080"/>
        <w:jc w:val="both"/>
        <w:rPr>
          <w:lang w:val="fr-FR"/>
        </w:rPr>
      </w:pPr>
      <w:r w:rsidRPr="005F13B9">
        <w:rPr>
          <w:lang w:val="fr-FR"/>
        </w:rPr>
        <w:t>Systèmes informatiques, soutien à l'administration en ligne</w:t>
      </w:r>
    </w:p>
    <w:p w14:paraId="698E7E1F" w14:textId="124CDE0C" w:rsidR="002557CF" w:rsidRPr="005F13B9" w:rsidRDefault="005F13B9" w:rsidP="004F7859">
      <w:pPr>
        <w:pStyle w:val="ListParagraph"/>
        <w:numPr>
          <w:ilvl w:val="0"/>
          <w:numId w:val="1"/>
        </w:numPr>
        <w:ind w:left="1080"/>
        <w:jc w:val="both"/>
        <w:rPr>
          <w:lang w:val="fr-FR"/>
        </w:rPr>
      </w:pPr>
      <w:r w:rsidRPr="005F13B9">
        <w:rPr>
          <w:lang w:val="fr-FR"/>
        </w:rPr>
        <w:t>Programmes de réforme de l'administration publique</w:t>
      </w:r>
    </w:p>
    <w:p w14:paraId="25AD1780" w14:textId="4A6272AB" w:rsidR="00C01277" w:rsidRPr="005F13B9" w:rsidRDefault="005F13B9" w:rsidP="004F7859">
      <w:pPr>
        <w:pStyle w:val="ListParagraph"/>
        <w:numPr>
          <w:ilvl w:val="0"/>
          <w:numId w:val="4"/>
        </w:numPr>
        <w:spacing w:line="252" w:lineRule="auto"/>
        <w:ind w:left="1080"/>
        <w:jc w:val="both"/>
        <w:rPr>
          <w:rFonts w:eastAsia="Times New Roman"/>
          <w:lang w:val="fr-FR"/>
        </w:rPr>
      </w:pPr>
      <w:r w:rsidRPr="005F13B9">
        <w:rPr>
          <w:rFonts w:eastAsia="Times New Roman"/>
          <w:lang w:val="fr-FR"/>
        </w:rPr>
        <w:t>Renforcement des systèmes éducatifs (lorsque de nouveaux matériels de formation, l'embauche et la formation d'enseignants, ou la construction ou la rénovation d'écoles ne sont pas concernés)</w:t>
      </w:r>
    </w:p>
    <w:p w14:paraId="20F8B36D" w14:textId="48F0F106" w:rsidR="002557CF" w:rsidRPr="005F13B9" w:rsidRDefault="005F13B9" w:rsidP="004F7859">
      <w:pPr>
        <w:pStyle w:val="ListParagraph"/>
        <w:numPr>
          <w:ilvl w:val="0"/>
          <w:numId w:val="1"/>
        </w:numPr>
        <w:ind w:left="1080"/>
        <w:jc w:val="both"/>
        <w:rPr>
          <w:lang w:val="fr-FR"/>
        </w:rPr>
      </w:pPr>
      <w:r w:rsidRPr="005F13B9">
        <w:rPr>
          <w:lang w:val="fr-FR"/>
        </w:rPr>
        <w:t>Projets de renforcement des capacités de suivi et d'évaluation</w:t>
      </w:r>
    </w:p>
    <w:p w14:paraId="0C57F9AE" w14:textId="4BAC6F4C" w:rsidR="00C01277" w:rsidRPr="005F13B9" w:rsidRDefault="005F13B9" w:rsidP="004F7859">
      <w:pPr>
        <w:pStyle w:val="ListParagraph"/>
        <w:numPr>
          <w:ilvl w:val="0"/>
          <w:numId w:val="1"/>
        </w:numPr>
        <w:spacing w:line="252" w:lineRule="auto"/>
        <w:ind w:left="1080"/>
        <w:jc w:val="both"/>
        <w:rPr>
          <w:rFonts w:eastAsia="Times New Roman"/>
          <w:lang w:val="fr-FR"/>
        </w:rPr>
      </w:pPr>
      <w:r w:rsidRPr="005F13B9">
        <w:rPr>
          <w:rFonts w:eastAsia="Times New Roman"/>
          <w:lang w:val="fr-FR"/>
        </w:rPr>
        <w:t>Certaines formes d'assistance technique</w:t>
      </w:r>
    </w:p>
    <w:p w14:paraId="26124056" w14:textId="48C5009F" w:rsidR="00C01277" w:rsidRPr="005F13B9" w:rsidRDefault="005F13B9" w:rsidP="004F7859">
      <w:pPr>
        <w:pStyle w:val="ListParagraph"/>
        <w:numPr>
          <w:ilvl w:val="0"/>
          <w:numId w:val="1"/>
        </w:numPr>
        <w:spacing w:line="252" w:lineRule="auto"/>
        <w:ind w:left="1080"/>
        <w:jc w:val="both"/>
        <w:rPr>
          <w:rFonts w:eastAsia="Times New Roman"/>
          <w:lang w:val="fr-FR"/>
        </w:rPr>
      </w:pPr>
      <w:r w:rsidRPr="005F13B9">
        <w:rPr>
          <w:rFonts w:eastAsia="Times New Roman"/>
          <w:lang w:val="fr-FR"/>
        </w:rPr>
        <w:t>Certains types d'assistance à la préparation de projets (APP)</w:t>
      </w:r>
    </w:p>
    <w:p w14:paraId="00082ECC" w14:textId="68AC38FA" w:rsidR="002557CF" w:rsidRPr="005F13B9" w:rsidRDefault="005F13B9" w:rsidP="004F7859">
      <w:pPr>
        <w:pStyle w:val="ListParagraph"/>
        <w:numPr>
          <w:ilvl w:val="0"/>
          <w:numId w:val="1"/>
        </w:numPr>
        <w:ind w:left="1080"/>
        <w:jc w:val="both"/>
        <w:rPr>
          <w:lang w:val="fr-FR"/>
        </w:rPr>
      </w:pPr>
      <w:r w:rsidRPr="005F13B9">
        <w:rPr>
          <w:lang w:val="fr-FR"/>
        </w:rPr>
        <w:t>Projets dont les bénéficiaires directs sont limités ou inexistants.</w:t>
      </w:r>
      <w:r w:rsidR="00FF6589" w:rsidRPr="005F13B9">
        <w:rPr>
          <w:lang w:val="fr-FR"/>
        </w:rPr>
        <w:t xml:space="preserve"> </w:t>
      </w:r>
    </w:p>
    <w:sectPr w:rsidR="002557CF" w:rsidRPr="005F13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BC33" w14:textId="77777777" w:rsidR="00D22E7B" w:rsidRDefault="00D22E7B" w:rsidP="002557CF">
      <w:pPr>
        <w:spacing w:after="0" w:line="240" w:lineRule="auto"/>
      </w:pPr>
      <w:r>
        <w:separator/>
      </w:r>
    </w:p>
  </w:endnote>
  <w:endnote w:type="continuationSeparator" w:id="0">
    <w:p w14:paraId="418060C5" w14:textId="77777777" w:rsidR="00D22E7B" w:rsidRDefault="00D22E7B" w:rsidP="0025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37C3" w14:textId="77777777" w:rsidR="00D22E7B" w:rsidRDefault="00D22E7B" w:rsidP="002557CF">
      <w:pPr>
        <w:spacing w:after="0" w:line="240" w:lineRule="auto"/>
      </w:pPr>
      <w:r>
        <w:separator/>
      </w:r>
    </w:p>
  </w:footnote>
  <w:footnote w:type="continuationSeparator" w:id="0">
    <w:p w14:paraId="1CCF41B1" w14:textId="77777777" w:rsidR="00D22E7B" w:rsidRDefault="00D22E7B" w:rsidP="00255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B55F6"/>
    <w:multiLevelType w:val="hybridMultilevel"/>
    <w:tmpl w:val="FE300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174CC1"/>
    <w:multiLevelType w:val="hybridMultilevel"/>
    <w:tmpl w:val="9A26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228DB"/>
    <w:multiLevelType w:val="hybridMultilevel"/>
    <w:tmpl w:val="FB2A2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3037935">
    <w:abstractNumId w:val="1"/>
  </w:num>
  <w:num w:numId="2" w16cid:durableId="159928747">
    <w:abstractNumId w:val="2"/>
  </w:num>
  <w:num w:numId="3" w16cid:durableId="948968837">
    <w:abstractNumId w:val="0"/>
  </w:num>
  <w:num w:numId="4" w16cid:durableId="1786847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7CF"/>
    <w:rsid w:val="000173C7"/>
    <w:rsid w:val="00047931"/>
    <w:rsid w:val="0005108D"/>
    <w:rsid w:val="000522C8"/>
    <w:rsid w:val="00091255"/>
    <w:rsid w:val="000A1525"/>
    <w:rsid w:val="000A1C43"/>
    <w:rsid w:val="001145A5"/>
    <w:rsid w:val="001275F0"/>
    <w:rsid w:val="0014035D"/>
    <w:rsid w:val="001541F0"/>
    <w:rsid w:val="001D256C"/>
    <w:rsid w:val="00202B0E"/>
    <w:rsid w:val="00207059"/>
    <w:rsid w:val="002557CF"/>
    <w:rsid w:val="002902DE"/>
    <w:rsid w:val="00297D85"/>
    <w:rsid w:val="002A0123"/>
    <w:rsid w:val="002A04B0"/>
    <w:rsid w:val="002A056B"/>
    <w:rsid w:val="002A1F6D"/>
    <w:rsid w:val="002A2857"/>
    <w:rsid w:val="002C033E"/>
    <w:rsid w:val="002D166F"/>
    <w:rsid w:val="002F34F9"/>
    <w:rsid w:val="003074BD"/>
    <w:rsid w:val="00331957"/>
    <w:rsid w:val="003E5C4A"/>
    <w:rsid w:val="00425BD0"/>
    <w:rsid w:val="004610B1"/>
    <w:rsid w:val="004A12B0"/>
    <w:rsid w:val="004F25D1"/>
    <w:rsid w:val="004F7859"/>
    <w:rsid w:val="005104F9"/>
    <w:rsid w:val="00514711"/>
    <w:rsid w:val="00523DBD"/>
    <w:rsid w:val="005243C3"/>
    <w:rsid w:val="00573F06"/>
    <w:rsid w:val="005C2829"/>
    <w:rsid w:val="005D35B9"/>
    <w:rsid w:val="005D5C7E"/>
    <w:rsid w:val="005D65EB"/>
    <w:rsid w:val="005E0E44"/>
    <w:rsid w:val="005F13B9"/>
    <w:rsid w:val="005F2718"/>
    <w:rsid w:val="005F41BB"/>
    <w:rsid w:val="00671C17"/>
    <w:rsid w:val="0068591E"/>
    <w:rsid w:val="006A55C2"/>
    <w:rsid w:val="006A6299"/>
    <w:rsid w:val="006C763B"/>
    <w:rsid w:val="00723E1B"/>
    <w:rsid w:val="00724D04"/>
    <w:rsid w:val="00753647"/>
    <w:rsid w:val="00762B4D"/>
    <w:rsid w:val="007C139B"/>
    <w:rsid w:val="007D651F"/>
    <w:rsid w:val="00830EEF"/>
    <w:rsid w:val="00844D53"/>
    <w:rsid w:val="008472C9"/>
    <w:rsid w:val="00873A1E"/>
    <w:rsid w:val="008C472F"/>
    <w:rsid w:val="00914F5E"/>
    <w:rsid w:val="00955CEA"/>
    <w:rsid w:val="00973474"/>
    <w:rsid w:val="009A15C5"/>
    <w:rsid w:val="009B1B2A"/>
    <w:rsid w:val="009B6137"/>
    <w:rsid w:val="009C431B"/>
    <w:rsid w:val="009D60D2"/>
    <w:rsid w:val="009E3BD1"/>
    <w:rsid w:val="009F113C"/>
    <w:rsid w:val="00A309F8"/>
    <w:rsid w:val="00A51F29"/>
    <w:rsid w:val="00A61641"/>
    <w:rsid w:val="00AA6921"/>
    <w:rsid w:val="00B121A9"/>
    <w:rsid w:val="00B32FC0"/>
    <w:rsid w:val="00B652F1"/>
    <w:rsid w:val="00B808CA"/>
    <w:rsid w:val="00BA233B"/>
    <w:rsid w:val="00BB2AA3"/>
    <w:rsid w:val="00BB392C"/>
    <w:rsid w:val="00BB7E7E"/>
    <w:rsid w:val="00BF3D8D"/>
    <w:rsid w:val="00BF3F0E"/>
    <w:rsid w:val="00C01277"/>
    <w:rsid w:val="00C14B77"/>
    <w:rsid w:val="00C45E30"/>
    <w:rsid w:val="00C56A02"/>
    <w:rsid w:val="00C72FF9"/>
    <w:rsid w:val="00C813B2"/>
    <w:rsid w:val="00C81B37"/>
    <w:rsid w:val="00CA3E53"/>
    <w:rsid w:val="00CC4B12"/>
    <w:rsid w:val="00CC4E7C"/>
    <w:rsid w:val="00D013D1"/>
    <w:rsid w:val="00D12AE3"/>
    <w:rsid w:val="00D22E7B"/>
    <w:rsid w:val="00D2326E"/>
    <w:rsid w:val="00D5285E"/>
    <w:rsid w:val="00D71F39"/>
    <w:rsid w:val="00D927B9"/>
    <w:rsid w:val="00DB5441"/>
    <w:rsid w:val="00DD4683"/>
    <w:rsid w:val="00DE076D"/>
    <w:rsid w:val="00DF6E4B"/>
    <w:rsid w:val="00E15820"/>
    <w:rsid w:val="00E4043E"/>
    <w:rsid w:val="00E4069D"/>
    <w:rsid w:val="00E43101"/>
    <w:rsid w:val="00EA536C"/>
    <w:rsid w:val="00EC5CEA"/>
    <w:rsid w:val="00EE208A"/>
    <w:rsid w:val="00EE21DB"/>
    <w:rsid w:val="00EF7FED"/>
    <w:rsid w:val="00FB5E5E"/>
    <w:rsid w:val="00FB6664"/>
    <w:rsid w:val="00FC0860"/>
    <w:rsid w:val="00FC332C"/>
    <w:rsid w:val="00FF65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93960"/>
  <w15:chartTrackingRefBased/>
  <w15:docId w15:val="{8318AFF5-6066-4DD3-9A05-0597FE10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7CF"/>
    <w:pPr>
      <w:ind w:left="720"/>
      <w:contextualSpacing/>
    </w:pPr>
  </w:style>
  <w:style w:type="character" w:styleId="CommentReference">
    <w:name w:val="annotation reference"/>
    <w:basedOn w:val="DefaultParagraphFont"/>
    <w:uiPriority w:val="99"/>
    <w:semiHidden/>
    <w:unhideWhenUsed/>
    <w:rsid w:val="009A15C5"/>
    <w:rPr>
      <w:sz w:val="16"/>
      <w:szCs w:val="16"/>
    </w:rPr>
  </w:style>
  <w:style w:type="paragraph" w:styleId="CommentText">
    <w:name w:val="annotation text"/>
    <w:basedOn w:val="Normal"/>
    <w:link w:val="CommentTextChar"/>
    <w:uiPriority w:val="99"/>
    <w:semiHidden/>
    <w:unhideWhenUsed/>
    <w:rsid w:val="009A15C5"/>
    <w:pPr>
      <w:spacing w:line="240" w:lineRule="auto"/>
    </w:pPr>
    <w:rPr>
      <w:sz w:val="20"/>
      <w:szCs w:val="20"/>
    </w:rPr>
  </w:style>
  <w:style w:type="character" w:customStyle="1" w:styleId="CommentTextChar">
    <w:name w:val="Comment Text Char"/>
    <w:basedOn w:val="DefaultParagraphFont"/>
    <w:link w:val="CommentText"/>
    <w:uiPriority w:val="99"/>
    <w:semiHidden/>
    <w:rsid w:val="009A15C5"/>
    <w:rPr>
      <w:sz w:val="20"/>
      <w:szCs w:val="20"/>
    </w:rPr>
  </w:style>
  <w:style w:type="paragraph" w:styleId="CommentSubject">
    <w:name w:val="annotation subject"/>
    <w:basedOn w:val="CommentText"/>
    <w:next w:val="CommentText"/>
    <w:link w:val="CommentSubjectChar"/>
    <w:uiPriority w:val="99"/>
    <w:semiHidden/>
    <w:unhideWhenUsed/>
    <w:rsid w:val="009A15C5"/>
    <w:rPr>
      <w:b/>
      <w:bCs/>
    </w:rPr>
  </w:style>
  <w:style w:type="character" w:customStyle="1" w:styleId="CommentSubjectChar">
    <w:name w:val="Comment Subject Char"/>
    <w:basedOn w:val="CommentTextChar"/>
    <w:link w:val="CommentSubject"/>
    <w:uiPriority w:val="99"/>
    <w:semiHidden/>
    <w:rsid w:val="009A15C5"/>
    <w:rPr>
      <w:b/>
      <w:bCs/>
      <w:sz w:val="20"/>
      <w:szCs w:val="20"/>
    </w:rPr>
  </w:style>
  <w:style w:type="paragraph" w:styleId="Revision">
    <w:name w:val="Revision"/>
    <w:hidden/>
    <w:uiPriority w:val="99"/>
    <w:semiHidden/>
    <w:rsid w:val="009A15C5"/>
    <w:pPr>
      <w:spacing w:after="0" w:line="240" w:lineRule="auto"/>
    </w:pPr>
  </w:style>
  <w:style w:type="character" w:styleId="Hyperlink">
    <w:name w:val="Hyperlink"/>
    <w:basedOn w:val="DefaultParagraphFont"/>
    <w:uiPriority w:val="99"/>
    <w:unhideWhenUsed/>
    <w:rsid w:val="00EE21DB"/>
    <w:rPr>
      <w:color w:val="0563C1" w:themeColor="hyperlink"/>
      <w:u w:val="single"/>
    </w:rPr>
  </w:style>
  <w:style w:type="character" w:styleId="UnresolvedMention">
    <w:name w:val="Unresolved Mention"/>
    <w:basedOn w:val="DefaultParagraphFont"/>
    <w:uiPriority w:val="99"/>
    <w:semiHidden/>
    <w:unhideWhenUsed/>
    <w:rsid w:val="00EE2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0370">
      <w:bodyDiv w:val="1"/>
      <w:marLeft w:val="0"/>
      <w:marRight w:val="0"/>
      <w:marTop w:val="0"/>
      <w:marBottom w:val="0"/>
      <w:divBdr>
        <w:top w:val="none" w:sz="0" w:space="0" w:color="auto"/>
        <w:left w:val="none" w:sz="0" w:space="0" w:color="auto"/>
        <w:bottom w:val="none" w:sz="0" w:space="0" w:color="auto"/>
        <w:right w:val="none" w:sz="0" w:space="0" w:color="auto"/>
      </w:divBdr>
    </w:div>
    <w:div w:id="587153466">
      <w:bodyDiv w:val="1"/>
      <w:marLeft w:val="0"/>
      <w:marRight w:val="0"/>
      <w:marTop w:val="0"/>
      <w:marBottom w:val="0"/>
      <w:divBdr>
        <w:top w:val="none" w:sz="0" w:space="0" w:color="auto"/>
        <w:left w:val="none" w:sz="0" w:space="0" w:color="auto"/>
        <w:bottom w:val="none" w:sz="0" w:space="0" w:color="auto"/>
        <w:right w:val="none" w:sz="0" w:space="0" w:color="auto"/>
      </w:divBdr>
    </w:div>
    <w:div w:id="16108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1.worldbank.org/curated/en/102351623838827502/pdf/Environmental-and-Social-Commitment-Plan-ESCP-West-Bengal-Building-State-Capability-for-Inclusive-Social-Protection-PforR-P174564.pdf" TargetMode="External"/><Relationship Id="rId3" Type="http://schemas.openxmlformats.org/officeDocument/2006/relationships/settings" Target="settings.xml"/><Relationship Id="rId7" Type="http://schemas.openxmlformats.org/officeDocument/2006/relationships/hyperlink" Target="https://documents1.worldbank.org/curated/en/383871624411115754/pdf/Environmental-and-Social-Commitment-Plan-ESCP-Promoting-an-Efficient-Education-System-in-Haiti-P1747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OPSES</dc:creator>
  <cp:keywords/>
  <dc:description/>
  <cp:lastModifiedBy>Caroline Van Kampen</cp:lastModifiedBy>
  <cp:revision>3</cp:revision>
  <dcterms:created xsi:type="dcterms:W3CDTF">2023-12-01T14:28:00Z</dcterms:created>
  <dcterms:modified xsi:type="dcterms:W3CDTF">2023-12-01T14:28:00Z</dcterms:modified>
</cp:coreProperties>
</file>