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BEB" w14:textId="570465ED" w:rsidR="002557CF" w:rsidRPr="00E13132" w:rsidRDefault="002557CF" w:rsidP="002557CF">
      <w:pPr>
        <w:jc w:val="center"/>
        <w:rPr>
          <w:b/>
          <w:bCs/>
          <w:lang w:val="es-ES_tradnl"/>
        </w:rPr>
      </w:pPr>
      <w:r w:rsidRPr="00E13132">
        <w:rPr>
          <w:b/>
          <w:lang w:val="es-ES_tradnl"/>
        </w:rPr>
        <w:t>HOJA INFORMATIVA SOBRE CÓMO PREPARAR LOS PPPI SEGÚN LOS NIVELES DE RIESGO</w:t>
      </w:r>
    </w:p>
    <w:p w14:paraId="443C1BDB" w14:textId="5918D987" w:rsidR="00CC4B12" w:rsidRPr="00E13132" w:rsidRDefault="00CC4B12" w:rsidP="002557CF">
      <w:pPr>
        <w:jc w:val="center"/>
        <w:rPr>
          <w:b/>
          <w:bCs/>
          <w:lang w:val="es-ES_tradnl"/>
        </w:rPr>
      </w:pPr>
      <w:r w:rsidRPr="00E13132">
        <w:rPr>
          <w:b/>
          <w:lang w:val="es-ES_tradnl"/>
        </w:rPr>
        <w:t>Estándar Ambiental y Social 10: Participación de las Partes Interesadas y Divulgación de Información</w:t>
      </w:r>
    </w:p>
    <w:p w14:paraId="0782A4E1" w14:textId="21F751CA" w:rsidR="0014035D" w:rsidRPr="00E13132" w:rsidRDefault="00BE7F58" w:rsidP="002557CF">
      <w:pPr>
        <w:jc w:val="center"/>
        <w:rPr>
          <w:b/>
          <w:bCs/>
          <w:lang w:val="es-ES_tradnl"/>
        </w:rPr>
      </w:pPr>
      <w:r>
        <w:rPr>
          <w:b/>
          <w:lang w:val="es-ES_tradnl"/>
        </w:rPr>
        <w:t>Noviembre</w:t>
      </w:r>
      <w:r w:rsidRPr="00E13132">
        <w:rPr>
          <w:b/>
          <w:lang w:val="es-ES_tradnl"/>
        </w:rPr>
        <w:t xml:space="preserve"> </w:t>
      </w:r>
      <w:r w:rsidR="00B808CA" w:rsidRPr="00E13132">
        <w:rPr>
          <w:b/>
          <w:lang w:val="es-ES_tradnl"/>
        </w:rPr>
        <w:t>de 2023</w:t>
      </w:r>
    </w:p>
    <w:p w14:paraId="78BE9425" w14:textId="53DDC0B1" w:rsidR="002557CF" w:rsidRPr="00E13132" w:rsidRDefault="002557CF" w:rsidP="002557CF">
      <w:pPr>
        <w:jc w:val="center"/>
        <w:rPr>
          <w:lang w:val="es-ES_tradnl"/>
        </w:rPr>
      </w:pPr>
    </w:p>
    <w:p w14:paraId="77F1796F" w14:textId="0F5BF9B2" w:rsidR="0014035D" w:rsidRPr="00E13132" w:rsidRDefault="000A1525" w:rsidP="004F7859">
      <w:pPr>
        <w:jc w:val="both"/>
        <w:rPr>
          <w:b/>
          <w:bCs/>
          <w:lang w:val="es-ES_tradnl"/>
        </w:rPr>
      </w:pPr>
      <w:r w:rsidRPr="00E13132">
        <w:rPr>
          <w:lang w:val="es-ES_tradnl"/>
        </w:rPr>
        <w:t>En el EAS 10 se destaca la importancia de la interacción abierta y transparente entre el Prestatario y las partes interesadas.</w:t>
      </w:r>
      <w:r w:rsidR="00A63486" w:rsidRPr="00E13132">
        <w:rPr>
          <w:lang w:val="es-ES_tradnl"/>
        </w:rPr>
        <w:t xml:space="preserve"> </w:t>
      </w:r>
      <w:r w:rsidRPr="00E13132">
        <w:rPr>
          <w:lang w:val="es-ES_tradnl"/>
        </w:rPr>
        <w:t xml:space="preserve">En consulta con el Banco, el Prestatario elaborará un </w:t>
      </w:r>
      <w:r w:rsidR="00800B5E" w:rsidRPr="00E13132">
        <w:rPr>
          <w:lang w:val="es-ES_tradnl"/>
        </w:rPr>
        <w:t>P</w:t>
      </w:r>
      <w:r w:rsidRPr="00E13132">
        <w:rPr>
          <w:lang w:val="es-ES_tradnl"/>
        </w:rPr>
        <w:t xml:space="preserve">lan de </w:t>
      </w:r>
      <w:r w:rsidR="00800B5E" w:rsidRPr="00E13132">
        <w:rPr>
          <w:lang w:val="es-ES_tradnl"/>
        </w:rPr>
        <w:t>P</w:t>
      </w:r>
      <w:r w:rsidRPr="00E13132">
        <w:rPr>
          <w:lang w:val="es-ES_tradnl"/>
        </w:rPr>
        <w:t xml:space="preserve">articipación de las </w:t>
      </w:r>
      <w:r w:rsidR="00800B5E" w:rsidRPr="00E13132">
        <w:rPr>
          <w:lang w:val="es-ES_tradnl"/>
        </w:rPr>
        <w:t>P</w:t>
      </w:r>
      <w:r w:rsidRPr="00E13132">
        <w:rPr>
          <w:lang w:val="es-ES_tradnl"/>
        </w:rPr>
        <w:t xml:space="preserve">artes </w:t>
      </w:r>
      <w:r w:rsidR="00800B5E" w:rsidRPr="00E13132">
        <w:rPr>
          <w:lang w:val="es-ES_tradnl"/>
        </w:rPr>
        <w:t>I</w:t>
      </w:r>
      <w:r w:rsidRPr="00E13132">
        <w:rPr>
          <w:lang w:val="es-ES_tradnl"/>
        </w:rPr>
        <w:t xml:space="preserve">nteresadas (PPPI) proporcional a la naturaleza y la escala del proyecto, y a sus posibles riesgos e impactos. El PPPI determinará de qué manera se gestionarán las comunicaciones con las partes interesadas, incluidas las personas afectadas por el proyecto, durante su preparación y ejecución. </w:t>
      </w:r>
    </w:p>
    <w:p w14:paraId="24991C7C" w14:textId="1F65981A" w:rsidR="002F34F9" w:rsidRPr="00E13132" w:rsidRDefault="002A0123" w:rsidP="004F7859">
      <w:pPr>
        <w:jc w:val="both"/>
        <w:rPr>
          <w:lang w:val="es-ES_tradnl"/>
        </w:rPr>
      </w:pPr>
      <w:r w:rsidRPr="00E13132">
        <w:rPr>
          <w:lang w:val="es-ES_tradnl"/>
        </w:rPr>
        <w:t xml:space="preserve">La preparación o no de un PPPI independiente depende de la naturaleza, el alcance y la escala del proyecto, y de sus posibles riesgos e impactos. </w:t>
      </w:r>
    </w:p>
    <w:p w14:paraId="4F42FA92" w14:textId="7756E1E8" w:rsidR="005104F9" w:rsidRPr="00E13132" w:rsidRDefault="001275F0" w:rsidP="004F7859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 w:rsidRPr="00E13132">
        <w:rPr>
          <w:lang w:val="es-ES_tradnl"/>
        </w:rPr>
        <w:t xml:space="preserve">En el caso de los </w:t>
      </w:r>
      <w:r w:rsidRPr="00E13132">
        <w:rPr>
          <w:b/>
          <w:lang w:val="es-ES_tradnl"/>
        </w:rPr>
        <w:t>proyectos de alto riesgo y riesgo considerable</w:t>
      </w:r>
      <w:r w:rsidRPr="00E13132">
        <w:rPr>
          <w:lang w:val="es-ES_tradnl"/>
        </w:rPr>
        <w:t xml:space="preserve">, en los que los riesgos ambientales y sociales pueden ser más complejos y, por lo tanto, </w:t>
      </w:r>
      <w:r w:rsidRPr="00A639EA">
        <w:rPr>
          <w:lang w:val="es-ES_tradnl"/>
        </w:rPr>
        <w:t xml:space="preserve">el proceso de participación de las partes interesadas podría </w:t>
      </w:r>
      <w:r w:rsidR="00A639EA">
        <w:rPr>
          <w:lang w:val="es-ES_tradnl"/>
        </w:rPr>
        <w:t>ser más compl</w:t>
      </w:r>
      <w:r w:rsidR="00032710">
        <w:rPr>
          <w:lang w:val="es-ES_tradnl"/>
        </w:rPr>
        <w:t>icado</w:t>
      </w:r>
      <w:r w:rsidRPr="00A639EA">
        <w:rPr>
          <w:lang w:val="es-ES_tradnl"/>
        </w:rPr>
        <w:t>, puede ser con</w:t>
      </w:r>
      <w:r w:rsidRPr="00E13132">
        <w:rPr>
          <w:lang w:val="es-ES_tradnl"/>
        </w:rPr>
        <w:t>veniente preparar un PPPI independiente en el que se describa en mayor detalle el análisis de las partes interesadas, el proceso de consulta y los comentarios recibidos.</w:t>
      </w:r>
      <w:r w:rsidR="00A63486" w:rsidRPr="00E13132">
        <w:rPr>
          <w:lang w:val="es-ES_tradnl"/>
        </w:rPr>
        <w:t xml:space="preserve"> </w:t>
      </w:r>
      <w:r w:rsidRPr="00E13132">
        <w:rPr>
          <w:lang w:val="es-ES_tradnl"/>
        </w:rPr>
        <w:t>Por ejemplo, en las operaciones de alto riesgo en las que puede haber diferentes tipos de partes interesadas en varios sitios, es probable que se necesite un PPPI independiente.</w:t>
      </w:r>
      <w:r w:rsidR="00A63486" w:rsidRPr="00E13132">
        <w:rPr>
          <w:lang w:val="es-ES_tradnl"/>
        </w:rPr>
        <w:t xml:space="preserve"> </w:t>
      </w:r>
      <w:r w:rsidRPr="00E13132">
        <w:rPr>
          <w:lang w:val="es-ES_tradnl"/>
        </w:rPr>
        <w:t>Asimismo, puede haber contextos nacionales, como situaciones de fragilidad, conflicto y violencia (FCV), en las que las consultas y el acceso sean difíciles, y se deben adoptar disposiciones especiales para garantizar que las consultas sean significativas con diversos actores.</w:t>
      </w:r>
      <w:r w:rsidR="00A63486" w:rsidRPr="00E13132">
        <w:rPr>
          <w:lang w:val="es-ES_tradnl"/>
        </w:rPr>
        <w:t xml:space="preserve"> </w:t>
      </w:r>
      <w:r w:rsidR="00800B5E" w:rsidRPr="00E13132">
        <w:rPr>
          <w:lang w:val="es-ES_tradnl"/>
        </w:rPr>
        <w:t>El</w:t>
      </w:r>
      <w:r w:rsidRPr="00E13132">
        <w:rPr>
          <w:lang w:val="es-ES_tradnl"/>
        </w:rPr>
        <w:t xml:space="preserve"> PPPI debe ser claro y conciso (se recomienda un máximo de 40 páginas). Debe incluir toda la información clave sobre la participación de las partes interesadas y la divulgación de información pertinente para el proyecto.</w:t>
      </w:r>
    </w:p>
    <w:p w14:paraId="4AA2E844" w14:textId="77777777" w:rsidR="00D5285E" w:rsidRPr="00E13132" w:rsidRDefault="00D5285E" w:rsidP="004F7859">
      <w:pPr>
        <w:pStyle w:val="ListParagraph"/>
        <w:ind w:left="360"/>
        <w:jc w:val="both"/>
        <w:rPr>
          <w:lang w:val="es-ES_tradnl"/>
        </w:rPr>
      </w:pPr>
    </w:p>
    <w:p w14:paraId="4C4EC647" w14:textId="2B1F3AA8" w:rsidR="0014035D" w:rsidRPr="00E13132" w:rsidRDefault="00B652F1" w:rsidP="004F7859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 w:rsidRPr="00E13132">
        <w:rPr>
          <w:b/>
          <w:lang w:val="es-ES_tradnl"/>
        </w:rPr>
        <w:t>Para proyectos de riesgo moderado</w:t>
      </w:r>
      <w:r w:rsidRPr="00E13132">
        <w:rPr>
          <w:lang w:val="es-ES_tradnl"/>
        </w:rPr>
        <w:t>, en los que los riesgos ambientales y sociales pueden ser menos complejos que los de alto riesgo</w:t>
      </w:r>
      <w:r w:rsidR="00BE7F58">
        <w:rPr>
          <w:lang w:val="es-ES_tradnl"/>
        </w:rPr>
        <w:t xml:space="preserve"> o </w:t>
      </w:r>
      <w:r w:rsidR="007932AB">
        <w:rPr>
          <w:lang w:val="es-ES_tradnl"/>
        </w:rPr>
        <w:t xml:space="preserve">riesgo </w:t>
      </w:r>
      <w:r w:rsidR="00BE7F58" w:rsidRPr="007932AB">
        <w:rPr>
          <w:bCs/>
          <w:lang w:val="es-ES_tradnl"/>
        </w:rPr>
        <w:t>considerable</w:t>
      </w:r>
      <w:r w:rsidRPr="00E13132">
        <w:rPr>
          <w:lang w:val="es-ES_tradnl"/>
        </w:rPr>
        <w:t xml:space="preserve">, se puede utilizar </w:t>
      </w:r>
      <w:r w:rsidR="00CC639E">
        <w:rPr>
          <w:lang w:val="es-ES_tradnl"/>
        </w:rPr>
        <w:t>la plantilla simplificada</w:t>
      </w:r>
      <w:r w:rsidRPr="00E13132">
        <w:rPr>
          <w:lang w:val="es-ES_tradnl"/>
        </w:rPr>
        <w:t xml:space="preserve"> del PPPI. Nuevamente, </w:t>
      </w:r>
      <w:r w:rsidR="00800B5E" w:rsidRPr="00E13132">
        <w:rPr>
          <w:lang w:val="es-ES_tradnl"/>
        </w:rPr>
        <w:t>el</w:t>
      </w:r>
      <w:r w:rsidRPr="00E13132">
        <w:rPr>
          <w:lang w:val="es-ES_tradnl"/>
        </w:rPr>
        <w:t xml:space="preserve"> PPPI debe ser claro y conciso (no debe tener más de 20 páginas, incluido el anexo). </w:t>
      </w:r>
    </w:p>
    <w:p w14:paraId="05197261" w14:textId="77777777" w:rsidR="0014035D" w:rsidRPr="00E13132" w:rsidRDefault="0014035D" w:rsidP="004F7859">
      <w:pPr>
        <w:pStyle w:val="ListParagraph"/>
        <w:jc w:val="both"/>
        <w:rPr>
          <w:b/>
          <w:bCs/>
          <w:lang w:val="es-ES_tradnl"/>
        </w:rPr>
      </w:pPr>
    </w:p>
    <w:p w14:paraId="54D22B6A" w14:textId="7D14F293" w:rsidR="005104F9" w:rsidRPr="00E13132" w:rsidRDefault="00523DBD" w:rsidP="004F7859">
      <w:pPr>
        <w:pStyle w:val="ListParagraph"/>
        <w:numPr>
          <w:ilvl w:val="0"/>
          <w:numId w:val="3"/>
        </w:numPr>
        <w:jc w:val="both"/>
        <w:rPr>
          <w:lang w:val="es-ES_tradnl"/>
        </w:rPr>
      </w:pPr>
      <w:r w:rsidRPr="00E13132">
        <w:rPr>
          <w:b/>
          <w:lang w:val="es-ES_tradnl"/>
        </w:rPr>
        <w:t>Para proyectos de bajo riesgo</w:t>
      </w:r>
    </w:p>
    <w:p w14:paraId="42463E1C" w14:textId="447D2327" w:rsidR="002557CF" w:rsidRPr="00E13132" w:rsidRDefault="002557CF" w:rsidP="004F7859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3132">
        <w:rPr>
          <w:lang w:val="es-ES_tradnl"/>
        </w:rPr>
        <w:t>En la nota al pie 3 del párrafo 13 del EAS 10</w:t>
      </w:r>
      <w:r w:rsidR="00800B5E" w:rsidRPr="00E13132">
        <w:rPr>
          <w:lang w:val="es-ES_tradnl"/>
        </w:rPr>
        <w:t>,</w:t>
      </w:r>
      <w:r w:rsidRPr="00E13132">
        <w:rPr>
          <w:lang w:val="es-ES_tradnl"/>
        </w:rPr>
        <w:t xml:space="preserve"> se señala lo siguiente: “</w:t>
      </w:r>
      <w:r w:rsidRPr="00E13132">
        <w:rPr>
          <w:i/>
          <w:iCs/>
          <w:lang w:val="es-ES_tradnl"/>
        </w:rPr>
        <w:t>Según la naturaleza y la escala de los riesgos e impactos del proyecto, los elementos de un PPPI se podrán incluir como parte del PCAS, y podría no ser necesaria la preparación de un PPPI independiente</w:t>
      </w:r>
      <w:r w:rsidRPr="00E13132">
        <w:rPr>
          <w:lang w:val="es-ES_tradnl"/>
        </w:rPr>
        <w:t>”.</w:t>
      </w:r>
      <w:r w:rsidR="00A63486" w:rsidRPr="00E13132">
        <w:rPr>
          <w:lang w:val="es-ES_tradnl"/>
        </w:rPr>
        <w:t xml:space="preserve"> </w:t>
      </w:r>
    </w:p>
    <w:p w14:paraId="10656265" w14:textId="77777777" w:rsidR="00C72FF9" w:rsidRPr="00E13132" w:rsidRDefault="00C72FF9" w:rsidP="004F7859">
      <w:pPr>
        <w:pStyle w:val="ListParagraph"/>
        <w:jc w:val="both"/>
        <w:rPr>
          <w:lang w:val="es-ES_tradnl"/>
        </w:rPr>
      </w:pPr>
    </w:p>
    <w:p w14:paraId="4A92824A" w14:textId="70650C21" w:rsidR="002A2857" w:rsidRPr="00E13132" w:rsidRDefault="002557CF" w:rsidP="004F7859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3132">
        <w:rPr>
          <w:b/>
          <w:lang w:val="es-ES_tradnl"/>
        </w:rPr>
        <w:t>Ejemplos de PPPI que se están incorpora</w:t>
      </w:r>
      <w:r w:rsidR="00CC639E">
        <w:rPr>
          <w:b/>
          <w:lang w:val="es-ES_tradnl"/>
        </w:rPr>
        <w:t>dos</w:t>
      </w:r>
      <w:r w:rsidRPr="00E13132">
        <w:rPr>
          <w:b/>
          <w:lang w:val="es-ES_tradnl"/>
        </w:rPr>
        <w:t xml:space="preserve"> en los PCAS:</w:t>
      </w:r>
      <w:r w:rsidR="00A63486" w:rsidRPr="00E13132">
        <w:rPr>
          <w:b/>
          <w:lang w:val="es-ES_tradnl"/>
        </w:rPr>
        <w:t xml:space="preserve"> </w:t>
      </w:r>
      <w:r w:rsidRPr="00E13132">
        <w:rPr>
          <w:lang w:val="es-ES_tradnl"/>
        </w:rPr>
        <w:t>En general, los PPPI pueden incorporarse en los PCAS en proyectos con bajos riesgos ambientales y sociales. En la sección del EAS 10 del PCAS</w:t>
      </w:r>
      <w:r w:rsidR="00800B5E" w:rsidRPr="00E13132">
        <w:rPr>
          <w:lang w:val="es-ES_tradnl"/>
        </w:rPr>
        <w:t>,</w:t>
      </w:r>
      <w:r w:rsidRPr="00E13132">
        <w:rPr>
          <w:lang w:val="es-ES_tradnl"/>
        </w:rPr>
        <w:t xml:space="preserve"> se puede incluir una descripción de la participación de las partes interesadas, la divulgación de información y el mecanismo de atención de quejas y reclamos. Véanse ejemplos:</w:t>
      </w:r>
      <w:r w:rsidR="00A63486" w:rsidRPr="00E13132">
        <w:rPr>
          <w:lang w:val="es-ES_tradnl"/>
        </w:rPr>
        <w:t xml:space="preserve"> </w:t>
      </w:r>
      <w:hyperlink r:id="rId7" w:history="1">
        <w:r w:rsidRPr="00E13132">
          <w:rPr>
            <w:rStyle w:val="Hyperlink"/>
            <w:lang w:val="es-ES_tradnl"/>
          </w:rPr>
          <w:t>P174707</w:t>
        </w:r>
      </w:hyperlink>
      <w:r w:rsidRPr="00E13132">
        <w:rPr>
          <w:lang w:val="es-ES_tradnl"/>
        </w:rPr>
        <w:t xml:space="preserve"> y </w:t>
      </w:r>
      <w:hyperlink r:id="rId8" w:history="1">
        <w:r w:rsidRPr="00E13132">
          <w:rPr>
            <w:rStyle w:val="Hyperlink"/>
            <w:lang w:val="es-ES_tradnl"/>
          </w:rPr>
          <w:t>P174564</w:t>
        </w:r>
      </w:hyperlink>
    </w:p>
    <w:p w14:paraId="719D3FC6" w14:textId="77777777" w:rsidR="002A2857" w:rsidRPr="00E13132" w:rsidRDefault="002A2857" w:rsidP="004F7859">
      <w:pPr>
        <w:pStyle w:val="ListParagraph"/>
        <w:jc w:val="both"/>
        <w:rPr>
          <w:lang w:val="es-ES_tradnl"/>
        </w:rPr>
      </w:pPr>
    </w:p>
    <w:p w14:paraId="2096FBE2" w14:textId="36BBEED6" w:rsidR="002557CF" w:rsidRPr="00E13132" w:rsidRDefault="006C763B" w:rsidP="004F7859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3132">
        <w:rPr>
          <w:lang w:val="es-ES_tradnl"/>
        </w:rPr>
        <w:t>Algunos ejemplos de estos proyectos de bajo riesgo son, entre otros, los siguientes:</w:t>
      </w:r>
    </w:p>
    <w:p w14:paraId="5B49CC44" w14:textId="7A884B11" w:rsidR="002557CF" w:rsidRPr="00E13132" w:rsidRDefault="002557CF" w:rsidP="004F7859">
      <w:pPr>
        <w:pStyle w:val="ListParagraph"/>
        <w:numPr>
          <w:ilvl w:val="0"/>
          <w:numId w:val="1"/>
        </w:numPr>
        <w:ind w:left="1080"/>
        <w:jc w:val="both"/>
        <w:rPr>
          <w:lang w:val="es-ES_tradnl"/>
        </w:rPr>
      </w:pPr>
      <w:r w:rsidRPr="00E13132">
        <w:rPr>
          <w:lang w:val="es-ES_tradnl"/>
        </w:rPr>
        <w:lastRenderedPageBreak/>
        <w:t>Operaciones de pequeños fondos fiduciarios ejecutados por el receptor relacionadas principalmente con estudios y fortalecimiento de capacidad</w:t>
      </w:r>
      <w:r w:rsidR="00CC639E">
        <w:rPr>
          <w:lang w:val="es-ES_tradnl"/>
        </w:rPr>
        <w:t>es</w:t>
      </w:r>
      <w:r w:rsidRPr="00E13132">
        <w:rPr>
          <w:lang w:val="es-ES_tradnl"/>
        </w:rPr>
        <w:t xml:space="preserve"> </w:t>
      </w:r>
    </w:p>
    <w:p w14:paraId="392E2B43" w14:textId="77777777" w:rsidR="002557CF" w:rsidRPr="00E13132" w:rsidRDefault="002557CF" w:rsidP="004F7859">
      <w:pPr>
        <w:pStyle w:val="ListParagraph"/>
        <w:numPr>
          <w:ilvl w:val="0"/>
          <w:numId w:val="1"/>
        </w:numPr>
        <w:ind w:left="1080"/>
        <w:jc w:val="both"/>
        <w:rPr>
          <w:lang w:val="es-ES_tradnl"/>
        </w:rPr>
      </w:pPr>
      <w:r w:rsidRPr="00E13132">
        <w:rPr>
          <w:lang w:val="es-ES_tradnl"/>
        </w:rPr>
        <w:t>Garantías financieras o de crédito</w:t>
      </w:r>
    </w:p>
    <w:p w14:paraId="3B3E8C05" w14:textId="77777777" w:rsidR="002557CF" w:rsidRPr="00E13132" w:rsidRDefault="002557CF" w:rsidP="004F7859">
      <w:pPr>
        <w:pStyle w:val="ListParagraph"/>
        <w:numPr>
          <w:ilvl w:val="0"/>
          <w:numId w:val="1"/>
        </w:numPr>
        <w:ind w:left="1080"/>
        <w:jc w:val="both"/>
        <w:rPr>
          <w:lang w:val="es-ES_tradnl"/>
        </w:rPr>
      </w:pPr>
      <w:r w:rsidRPr="00E13132">
        <w:rPr>
          <w:lang w:val="es-ES_tradnl"/>
        </w:rPr>
        <w:t>Sistemas de TI, apoyo al gobierno electrónico</w:t>
      </w:r>
    </w:p>
    <w:p w14:paraId="698E7E1F" w14:textId="77777777" w:rsidR="002557CF" w:rsidRPr="00E13132" w:rsidRDefault="002557CF" w:rsidP="004F7859">
      <w:pPr>
        <w:pStyle w:val="ListParagraph"/>
        <w:numPr>
          <w:ilvl w:val="0"/>
          <w:numId w:val="1"/>
        </w:numPr>
        <w:ind w:left="1080"/>
        <w:jc w:val="both"/>
        <w:rPr>
          <w:lang w:val="es-ES_tradnl"/>
        </w:rPr>
      </w:pPr>
      <w:r w:rsidRPr="00E13132">
        <w:rPr>
          <w:lang w:val="es-ES_tradnl"/>
        </w:rPr>
        <w:t xml:space="preserve">Programas de reforma de la administración pública </w:t>
      </w:r>
    </w:p>
    <w:p w14:paraId="25AD1780" w14:textId="77777777" w:rsidR="00C01277" w:rsidRPr="00E13132" w:rsidRDefault="002557CF" w:rsidP="004F7859">
      <w:pPr>
        <w:pStyle w:val="ListParagraph"/>
        <w:numPr>
          <w:ilvl w:val="0"/>
          <w:numId w:val="4"/>
        </w:numPr>
        <w:spacing w:line="252" w:lineRule="auto"/>
        <w:ind w:left="1080"/>
        <w:jc w:val="both"/>
        <w:rPr>
          <w:rFonts w:eastAsia="Times New Roman"/>
          <w:lang w:val="es-ES_tradnl"/>
        </w:rPr>
      </w:pPr>
      <w:r w:rsidRPr="00E13132">
        <w:rPr>
          <w:lang w:val="es-ES_tradnl"/>
        </w:rPr>
        <w:t>Fortalecimiento de los sistemas educativos (cuando no haya nuevos materiales de capacitación, contratación y capacitación de docentes, o construcción o remodelación de escuelas)</w:t>
      </w:r>
    </w:p>
    <w:p w14:paraId="20F8B36D" w14:textId="6C11DF25" w:rsidR="002557CF" w:rsidRPr="00E13132" w:rsidRDefault="002557CF" w:rsidP="004F7859">
      <w:pPr>
        <w:pStyle w:val="ListParagraph"/>
        <w:numPr>
          <w:ilvl w:val="0"/>
          <w:numId w:val="1"/>
        </w:numPr>
        <w:ind w:left="1080"/>
        <w:jc w:val="both"/>
        <w:rPr>
          <w:lang w:val="es-ES_tradnl"/>
        </w:rPr>
      </w:pPr>
      <w:r w:rsidRPr="00E13132">
        <w:rPr>
          <w:lang w:val="es-ES_tradnl"/>
        </w:rPr>
        <w:t>Proyectos de fortalecimiento de la capacidad de evaluación y seguimiento</w:t>
      </w:r>
    </w:p>
    <w:p w14:paraId="0C57F9AE" w14:textId="77777777" w:rsidR="00C01277" w:rsidRPr="00E13132" w:rsidRDefault="00C01277" w:rsidP="004F7859">
      <w:pPr>
        <w:pStyle w:val="ListParagraph"/>
        <w:numPr>
          <w:ilvl w:val="0"/>
          <w:numId w:val="1"/>
        </w:numPr>
        <w:spacing w:line="252" w:lineRule="auto"/>
        <w:ind w:left="1080"/>
        <w:jc w:val="both"/>
        <w:rPr>
          <w:rFonts w:eastAsia="Times New Roman"/>
          <w:lang w:val="es-ES_tradnl"/>
        </w:rPr>
      </w:pPr>
      <w:r w:rsidRPr="00E13132">
        <w:rPr>
          <w:lang w:val="es-ES_tradnl"/>
        </w:rPr>
        <w:t>Determinados tipos de asistencia técnica</w:t>
      </w:r>
    </w:p>
    <w:p w14:paraId="26124056" w14:textId="77777777" w:rsidR="00C01277" w:rsidRPr="00E13132" w:rsidRDefault="00C01277" w:rsidP="004F7859">
      <w:pPr>
        <w:pStyle w:val="ListParagraph"/>
        <w:numPr>
          <w:ilvl w:val="0"/>
          <w:numId w:val="1"/>
        </w:numPr>
        <w:spacing w:line="252" w:lineRule="auto"/>
        <w:ind w:left="1080"/>
        <w:jc w:val="both"/>
        <w:rPr>
          <w:rFonts w:eastAsia="Times New Roman"/>
          <w:lang w:val="es-ES_tradnl"/>
        </w:rPr>
      </w:pPr>
      <w:r w:rsidRPr="00E13132">
        <w:rPr>
          <w:lang w:val="es-ES_tradnl"/>
        </w:rPr>
        <w:t>Determinados tipos de asistencia para la preparación de proyectos</w:t>
      </w:r>
    </w:p>
    <w:p w14:paraId="00082ECC" w14:textId="0E3E8A7D" w:rsidR="002557CF" w:rsidRPr="00E13132" w:rsidRDefault="00FF6589" w:rsidP="004F7859">
      <w:pPr>
        <w:pStyle w:val="ListParagraph"/>
        <w:numPr>
          <w:ilvl w:val="0"/>
          <w:numId w:val="1"/>
        </w:numPr>
        <w:ind w:left="1080"/>
        <w:jc w:val="both"/>
        <w:rPr>
          <w:lang w:val="es-ES_tradnl"/>
        </w:rPr>
      </w:pPr>
      <w:r w:rsidRPr="00E13132">
        <w:rPr>
          <w:lang w:val="es-ES_tradnl"/>
        </w:rPr>
        <w:t xml:space="preserve">Proyectos </w:t>
      </w:r>
      <w:r w:rsidR="00CC639E">
        <w:rPr>
          <w:lang w:val="es-ES_tradnl"/>
        </w:rPr>
        <w:t xml:space="preserve">sin </w:t>
      </w:r>
      <w:r w:rsidRPr="00E13132">
        <w:rPr>
          <w:lang w:val="es-ES_tradnl"/>
        </w:rPr>
        <w:t xml:space="preserve">beneficiarios directos o </w:t>
      </w:r>
      <w:r w:rsidR="00001280">
        <w:rPr>
          <w:lang w:val="es-ES_tradnl"/>
        </w:rPr>
        <w:t xml:space="preserve">con beneficiarios directos </w:t>
      </w:r>
      <w:r w:rsidRPr="00E13132">
        <w:rPr>
          <w:lang w:val="es-ES_tradnl"/>
        </w:rPr>
        <w:t xml:space="preserve">limitados </w:t>
      </w:r>
    </w:p>
    <w:sectPr w:rsidR="002557CF" w:rsidRPr="00E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ED29" w14:textId="77777777" w:rsidR="001C706F" w:rsidRDefault="001C706F" w:rsidP="002557CF">
      <w:pPr>
        <w:spacing w:after="0" w:line="240" w:lineRule="auto"/>
      </w:pPr>
      <w:r>
        <w:separator/>
      </w:r>
    </w:p>
  </w:endnote>
  <w:endnote w:type="continuationSeparator" w:id="0">
    <w:p w14:paraId="2B9FC0A8" w14:textId="77777777" w:rsidR="001C706F" w:rsidRDefault="001C706F" w:rsidP="0025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91EB" w14:textId="77777777" w:rsidR="001C706F" w:rsidRDefault="001C706F" w:rsidP="002557CF">
      <w:pPr>
        <w:spacing w:after="0" w:line="240" w:lineRule="auto"/>
      </w:pPr>
      <w:r>
        <w:separator/>
      </w:r>
    </w:p>
  </w:footnote>
  <w:footnote w:type="continuationSeparator" w:id="0">
    <w:p w14:paraId="1E3F3D00" w14:textId="77777777" w:rsidR="001C706F" w:rsidRDefault="001C706F" w:rsidP="0025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5F6"/>
    <w:multiLevelType w:val="hybridMultilevel"/>
    <w:tmpl w:val="FE300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74CC1"/>
    <w:multiLevelType w:val="hybridMultilevel"/>
    <w:tmpl w:val="9A2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28DB"/>
    <w:multiLevelType w:val="hybridMultilevel"/>
    <w:tmpl w:val="FB2A2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28730">
    <w:abstractNumId w:val="1"/>
  </w:num>
  <w:num w:numId="2" w16cid:durableId="1802261243">
    <w:abstractNumId w:val="2"/>
  </w:num>
  <w:num w:numId="3" w16cid:durableId="1713649776">
    <w:abstractNumId w:val="0"/>
  </w:num>
  <w:num w:numId="4" w16cid:durableId="153199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CF"/>
    <w:rsid w:val="00001280"/>
    <w:rsid w:val="000173C7"/>
    <w:rsid w:val="00032710"/>
    <w:rsid w:val="00047931"/>
    <w:rsid w:val="0005108D"/>
    <w:rsid w:val="000522C8"/>
    <w:rsid w:val="000A1525"/>
    <w:rsid w:val="001275F0"/>
    <w:rsid w:val="0014035D"/>
    <w:rsid w:val="001541F0"/>
    <w:rsid w:val="001C706F"/>
    <w:rsid w:val="001D256C"/>
    <w:rsid w:val="00202B0E"/>
    <w:rsid w:val="00207059"/>
    <w:rsid w:val="002557CF"/>
    <w:rsid w:val="00297D85"/>
    <w:rsid w:val="002A0123"/>
    <w:rsid w:val="002A04B0"/>
    <w:rsid w:val="002A056B"/>
    <w:rsid w:val="002A1F6D"/>
    <w:rsid w:val="002A2857"/>
    <w:rsid w:val="002C033E"/>
    <w:rsid w:val="002D166F"/>
    <w:rsid w:val="002F34F9"/>
    <w:rsid w:val="003074BD"/>
    <w:rsid w:val="00320C93"/>
    <w:rsid w:val="00331957"/>
    <w:rsid w:val="00365265"/>
    <w:rsid w:val="00425BD0"/>
    <w:rsid w:val="004610B1"/>
    <w:rsid w:val="004C4FB8"/>
    <w:rsid w:val="004F25D1"/>
    <w:rsid w:val="004F7859"/>
    <w:rsid w:val="005104F9"/>
    <w:rsid w:val="00514711"/>
    <w:rsid w:val="00523DBD"/>
    <w:rsid w:val="005243C3"/>
    <w:rsid w:val="00563B34"/>
    <w:rsid w:val="00573F06"/>
    <w:rsid w:val="005C2829"/>
    <w:rsid w:val="005D65EB"/>
    <w:rsid w:val="005E0E44"/>
    <w:rsid w:val="005E4933"/>
    <w:rsid w:val="005F2718"/>
    <w:rsid w:val="005F41BB"/>
    <w:rsid w:val="0066063C"/>
    <w:rsid w:val="00671C17"/>
    <w:rsid w:val="006A55C2"/>
    <w:rsid w:val="006A6299"/>
    <w:rsid w:val="006C763B"/>
    <w:rsid w:val="00723E1B"/>
    <w:rsid w:val="00724D04"/>
    <w:rsid w:val="00753647"/>
    <w:rsid w:val="00762B4D"/>
    <w:rsid w:val="007932AB"/>
    <w:rsid w:val="007A0239"/>
    <w:rsid w:val="007C139B"/>
    <w:rsid w:val="007D651F"/>
    <w:rsid w:val="00800B5E"/>
    <w:rsid w:val="00830EEF"/>
    <w:rsid w:val="00844D53"/>
    <w:rsid w:val="008472C9"/>
    <w:rsid w:val="00873A1E"/>
    <w:rsid w:val="008C472F"/>
    <w:rsid w:val="00914F5E"/>
    <w:rsid w:val="00955CEA"/>
    <w:rsid w:val="009731D5"/>
    <w:rsid w:val="00973474"/>
    <w:rsid w:val="009A15C5"/>
    <w:rsid w:val="009B6137"/>
    <w:rsid w:val="009C431B"/>
    <w:rsid w:val="009D60D2"/>
    <w:rsid w:val="009E3BD1"/>
    <w:rsid w:val="009F113C"/>
    <w:rsid w:val="00A309F8"/>
    <w:rsid w:val="00A51F29"/>
    <w:rsid w:val="00A61641"/>
    <w:rsid w:val="00A63486"/>
    <w:rsid w:val="00A639EA"/>
    <w:rsid w:val="00AA6921"/>
    <w:rsid w:val="00B121A9"/>
    <w:rsid w:val="00B32FC0"/>
    <w:rsid w:val="00B567C2"/>
    <w:rsid w:val="00B652F1"/>
    <w:rsid w:val="00B808CA"/>
    <w:rsid w:val="00BB392C"/>
    <w:rsid w:val="00BE7F58"/>
    <w:rsid w:val="00BF3D8D"/>
    <w:rsid w:val="00BF3F0E"/>
    <w:rsid w:val="00C01277"/>
    <w:rsid w:val="00C14B77"/>
    <w:rsid w:val="00C3133E"/>
    <w:rsid w:val="00C42BA4"/>
    <w:rsid w:val="00C45E30"/>
    <w:rsid w:val="00C72FF9"/>
    <w:rsid w:val="00C81B37"/>
    <w:rsid w:val="00CA3E53"/>
    <w:rsid w:val="00CC4B12"/>
    <w:rsid w:val="00CC639E"/>
    <w:rsid w:val="00D013D1"/>
    <w:rsid w:val="00D12AE3"/>
    <w:rsid w:val="00D2326E"/>
    <w:rsid w:val="00D5285E"/>
    <w:rsid w:val="00D71F39"/>
    <w:rsid w:val="00D927B9"/>
    <w:rsid w:val="00DD4683"/>
    <w:rsid w:val="00DE076D"/>
    <w:rsid w:val="00DF3628"/>
    <w:rsid w:val="00DF6E4B"/>
    <w:rsid w:val="00E13132"/>
    <w:rsid w:val="00E15820"/>
    <w:rsid w:val="00E4043E"/>
    <w:rsid w:val="00E4069D"/>
    <w:rsid w:val="00E43101"/>
    <w:rsid w:val="00EA536C"/>
    <w:rsid w:val="00EC5CEA"/>
    <w:rsid w:val="00EE208A"/>
    <w:rsid w:val="00EE21DB"/>
    <w:rsid w:val="00EF7FED"/>
    <w:rsid w:val="00F52FEE"/>
    <w:rsid w:val="00FB6664"/>
    <w:rsid w:val="00FC0860"/>
    <w:rsid w:val="00FC332C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3960"/>
  <w15:chartTrackingRefBased/>
  <w15:docId w15:val="{8318AFF5-6066-4DD3-9A05-0597FE1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5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5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1DB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E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1.worldbank.org/curated/en/102351623838827502/pdf/Environmental-and-Social-Commitment-Plan-ESCP-West-Bengal-Building-State-Capability-for-Inclusive-Social-Protection-PforR-P17456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uments1.worldbank.org/curated/en/383871624411115754/pdf/Environmental-and-Social-Commitment-Plan-ESCP-Promoting-an-Efficient-Education-System-in-Haiti-P1747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OPSES</dc:creator>
  <cp:keywords/>
  <dc:description/>
  <cp:lastModifiedBy>Caroline Van Kampen</cp:lastModifiedBy>
  <cp:revision>3</cp:revision>
  <dcterms:created xsi:type="dcterms:W3CDTF">2023-12-01T14:31:00Z</dcterms:created>
  <dcterms:modified xsi:type="dcterms:W3CDTF">2023-12-01T14:31:00Z</dcterms:modified>
</cp:coreProperties>
</file>